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6"/>
          <w:szCs w:val="26"/>
          <w:b w:val="1"/>
          <w:bCs w:val="1"/>
          <w:color w:val="auto"/>
        </w:rPr>
        <w:t>UNITED STATES</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26"/>
          <w:szCs w:val="26"/>
          <w:b w:val="1"/>
          <w:bCs w:val="1"/>
          <w:color w:val="auto"/>
        </w:rPr>
        <w:t>SECURITIES AND EXCHANGE COMMISSION</w:t>
      </w:r>
    </w:p>
    <w:p>
      <w:pPr>
        <w:spacing w:after="0" w:line="173"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WASHINGTON, D.C. 20549</w:t>
      </w:r>
    </w:p>
    <w:p>
      <w:pPr>
        <w:spacing w:after="0" w:line="162" w:lineRule="exact"/>
        <w:rPr>
          <w:sz w:val="24"/>
          <w:szCs w:val="24"/>
          <w:color w:val="auto"/>
        </w:rPr>
      </w:pPr>
    </w:p>
    <w:p>
      <w:pPr>
        <w:jc w:val="center"/>
        <w:ind w:right="-99"/>
        <w:spacing w:after="0"/>
        <w:rPr>
          <w:sz w:val="20"/>
          <w:szCs w:val="20"/>
          <w:color w:val="auto"/>
        </w:rPr>
      </w:pPr>
      <w:r>
        <w:rPr>
          <w:rFonts w:ascii="Arial" w:cs="Arial" w:eastAsia="Arial" w:hAnsi="Arial"/>
          <w:sz w:val="26"/>
          <w:szCs w:val="26"/>
          <w:b w:val="1"/>
          <w:bCs w:val="1"/>
          <w:color w:val="auto"/>
        </w:rPr>
        <w:t>FORM 8-K</w:t>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CURRENT REPORT</w:t>
      </w:r>
    </w:p>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70" w:lineRule="exact"/>
        <w:rPr>
          <w:sz w:val="24"/>
          <w:szCs w:val="24"/>
          <w:color w:val="auto"/>
        </w:rPr>
      </w:pPr>
    </w:p>
    <w:p>
      <w:pPr>
        <w:jc w:val="center"/>
        <w:ind w:right="-99"/>
        <w:spacing w:after="0"/>
        <w:rPr>
          <w:sz w:val="20"/>
          <w:szCs w:val="20"/>
          <w:color w:val="auto"/>
        </w:rPr>
      </w:pPr>
      <w:r>
        <w:rPr>
          <w:rFonts w:ascii="Arial" w:cs="Arial" w:eastAsia="Arial" w:hAnsi="Arial"/>
          <w:sz w:val="15"/>
          <w:szCs w:val="15"/>
          <w:color w:val="auto"/>
        </w:rPr>
        <w:t>Date of Report (Date of Earliest Event Reported): May 1, 2018</w:t>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26"/>
          <w:szCs w:val="26"/>
          <w:b w:val="1"/>
          <w:bCs w:val="1"/>
          <w:color w:val="auto"/>
        </w:rPr>
        <w:t>ACADIA REALTY TRUST</w:t>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380"/>
          </w:cols>
          <w:pgMar w:left="220" w:top="739" w:right="299" w:bottom="1440" w:gutter="0" w:footer="0" w:header="0"/>
        </w:sectPr>
      </w:pPr>
    </w:p>
    <w:p>
      <w:pPr>
        <w:spacing w:after="0" w:line="308" w:lineRule="exact"/>
        <w:rPr>
          <w:sz w:val="24"/>
          <w:szCs w:val="24"/>
          <w:color w:val="auto"/>
        </w:rPr>
      </w:pPr>
    </w:p>
    <w:p>
      <w:pPr>
        <w:ind w:left="2240"/>
        <w:spacing w:after="0"/>
        <w:rPr>
          <w:sz w:val="20"/>
          <w:szCs w:val="20"/>
          <w:color w:val="auto"/>
        </w:rPr>
      </w:pPr>
      <w:r>
        <w:rPr>
          <w:rFonts w:ascii="Arial" w:cs="Arial" w:eastAsia="Arial" w:hAnsi="Arial"/>
          <w:sz w:val="12"/>
          <w:szCs w:val="12"/>
          <w:color w:val="auto"/>
        </w:rPr>
        <w:t>Maryland</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1880"/>
        <w:spacing w:after="0"/>
        <w:rPr>
          <w:sz w:val="20"/>
          <w:szCs w:val="20"/>
          <w:color w:val="auto"/>
        </w:rPr>
      </w:pPr>
      <w:r>
        <w:rPr>
          <w:rFonts w:ascii="Arial" w:cs="Arial" w:eastAsia="Arial" w:hAnsi="Arial"/>
          <w:sz w:val="12"/>
          <w:szCs w:val="12"/>
          <w:color w:val="auto"/>
        </w:rPr>
        <w:t>1-12002</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Arial" w:cs="Arial" w:eastAsia="Arial" w:hAnsi="Arial"/>
          <w:sz w:val="12"/>
          <w:szCs w:val="12"/>
          <w:color w:val="auto"/>
        </w:rPr>
        <w:t>23-2715194</w:t>
      </w:r>
    </w:p>
    <w:p>
      <w:pPr>
        <w:spacing w:after="0" w:line="85" w:lineRule="exact"/>
        <w:rPr>
          <w:sz w:val="24"/>
          <w:szCs w:val="24"/>
          <w:color w:val="auto"/>
        </w:rPr>
      </w:pPr>
    </w:p>
    <w:p>
      <w:pPr>
        <w:sectPr>
          <w:pgSz w:w="11900" w:h="16838" w:orient="portrait"/>
          <w:cols w:equalWidth="0" w:num="3">
            <w:col w:w="4820" w:space="720"/>
            <w:col w:w="2380" w:space="720"/>
            <w:col w:w="2740"/>
          </w:cols>
          <w:pgMar w:left="220" w:top="739" w:right="299" w:bottom="1440" w:gutter="0" w:footer="0" w:header="0"/>
          <w:type w:val="continuous"/>
        </w:sectPr>
      </w:pPr>
    </w:p>
    <w:p>
      <w:pPr>
        <w:jc w:val="center"/>
        <w:ind w:left="720"/>
        <w:spacing w:after="0"/>
        <w:rPr>
          <w:sz w:val="20"/>
          <w:szCs w:val="20"/>
          <w:color w:val="auto"/>
        </w:rPr>
      </w:pPr>
      <w:r>
        <w:rPr>
          <w:rFonts w:ascii="Arial" w:cs="Arial" w:eastAsia="Arial" w:hAnsi="Arial"/>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800"/>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3">
            <w:col w:w="4340" w:space="720"/>
            <w:col w:w="2260" w:space="720"/>
            <w:col w:w="3340"/>
          </w:cols>
          <w:pgMar w:left="220" w:top="739" w:right="299" w:bottom="1440" w:gutter="0" w:footer="0" w:header="0"/>
          <w:type w:val="continuous"/>
        </w:sectPr>
      </w:pP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411 Theodore Fremd Avenue</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Suite 300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Rye, New York 10580</w:t>
      </w:r>
    </w:p>
    <w:p>
      <w:pPr>
        <w:spacing w:after="0" w:line="157"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(Address of principal executive offices) (Zip Code)</w:t>
      </w:r>
    </w:p>
    <w:p>
      <w:pPr>
        <w:spacing w:after="0" w:line="166"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(914) 288-8100</w:t>
      </w:r>
    </w:p>
    <w:p>
      <w:pPr>
        <w:spacing w:after="0" w:line="166"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(Registrant’s telephone number, including area code)</w:t>
      </w:r>
    </w:p>
    <w:p>
      <w:pPr>
        <w:spacing w:after="0" w:line="200" w:lineRule="exact"/>
        <w:rPr>
          <w:sz w:val="24"/>
          <w:szCs w:val="24"/>
          <w:color w:val="auto"/>
        </w:rPr>
      </w:pPr>
    </w:p>
    <w:p>
      <w:pPr>
        <w:spacing w:after="0" w:line="305"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380"/>
          </w:cols>
          <w:pgMar w:left="220" w:top="739" w:right="299" w:bottom="1440" w:gutter="0" w:footer="0" w:header="0"/>
          <w:type w:val="continuous"/>
        </w:sect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65" w:lineRule="exact"/>
        <w:rPr>
          <w:sz w:val="24"/>
          <w:szCs w:val="24"/>
          <w:color w:val="auto"/>
        </w:rPr>
      </w:pPr>
    </w:p>
    <w:p>
      <w:pPr>
        <w:spacing w:after="0"/>
        <w:rPr>
          <w:sz w:val="20"/>
          <w:szCs w:val="20"/>
          <w:color w:val="auto"/>
        </w:rPr>
      </w:pPr>
      <w:r>
        <w:rPr>
          <w:rFonts w:ascii="Arial" w:cs="Arial" w:eastAsia="Arial" w:hAnsi="Arial"/>
          <w:sz w:val="15"/>
          <w:szCs w:val="15"/>
          <w:color w:val="auto"/>
        </w:rPr>
        <w:t>o Written communications pursuant to Rule 425 under the Securities Act (17 CFR 230.425 )</w:t>
      </w:r>
    </w:p>
    <w:p>
      <w:pPr>
        <w:spacing w:after="0" w:line="46" w:lineRule="exact"/>
        <w:rPr>
          <w:sz w:val="24"/>
          <w:szCs w:val="24"/>
          <w:color w:val="auto"/>
        </w:rPr>
      </w:pPr>
    </w:p>
    <w:p>
      <w:pPr>
        <w:spacing w:after="0"/>
        <w:rPr>
          <w:sz w:val="20"/>
          <w:szCs w:val="20"/>
          <w:color w:val="auto"/>
        </w:rPr>
      </w:pPr>
      <w:r>
        <w:rPr>
          <w:rFonts w:ascii="Arial" w:cs="Arial" w:eastAsia="Arial" w:hAnsi="Arial"/>
          <w:sz w:val="15"/>
          <w:szCs w:val="15"/>
          <w:color w:val="auto"/>
        </w:rPr>
        <w:t>o Soliciting material pursuant to Rule 14a-12 under the Exchange Act (17 CFR 240.14a-12)</w:t>
      </w:r>
    </w:p>
    <w:p>
      <w:pPr>
        <w:spacing w:after="0" w:line="46" w:lineRule="exact"/>
        <w:rPr>
          <w:sz w:val="24"/>
          <w:szCs w:val="24"/>
          <w:color w:val="auto"/>
        </w:rPr>
      </w:pPr>
    </w:p>
    <w:p>
      <w:pPr>
        <w:spacing w:after="0"/>
        <w:rPr>
          <w:sz w:val="20"/>
          <w:szCs w:val="20"/>
          <w:color w:val="auto"/>
        </w:rPr>
      </w:pPr>
      <w:r>
        <w:rPr>
          <w:rFonts w:ascii="Arial" w:cs="Arial" w:eastAsia="Arial" w:hAnsi="Arial"/>
          <w:sz w:val="15"/>
          <w:szCs w:val="15"/>
          <w:color w:val="auto"/>
        </w:rPr>
        <w:t>o Pre-commencement communications pursuant to Rule 14d-2(b) under the Exchange Act (17 CFR 240.14d-2(b))</w:t>
      </w:r>
    </w:p>
    <w:p>
      <w:pPr>
        <w:spacing w:after="0" w:line="46" w:lineRule="exact"/>
        <w:rPr>
          <w:sz w:val="24"/>
          <w:szCs w:val="24"/>
          <w:color w:val="auto"/>
        </w:rPr>
      </w:pPr>
    </w:p>
    <w:p>
      <w:pPr>
        <w:spacing w:after="0"/>
        <w:rPr>
          <w:sz w:val="20"/>
          <w:szCs w:val="20"/>
          <w:color w:val="auto"/>
        </w:rPr>
      </w:pPr>
      <w:r>
        <w:rPr>
          <w:rFonts w:ascii="Arial" w:cs="Arial" w:eastAsia="Arial" w:hAnsi="Arial"/>
          <w:sz w:val="15"/>
          <w:szCs w:val="15"/>
          <w:color w:val="auto"/>
        </w:rPr>
        <w:t>o Pre-commencement communications pursuant to Rule 13e-4(c) under the Exchange Act (17 CFR 240.13e-4(c))</w:t>
      </w:r>
    </w:p>
    <w:p>
      <w:pPr>
        <w:spacing w:after="0" w:line="68" w:lineRule="exact"/>
        <w:rPr>
          <w:sz w:val="24"/>
          <w:szCs w:val="24"/>
          <w:color w:val="auto"/>
        </w:rPr>
      </w:pPr>
    </w:p>
    <w:p>
      <w:pPr>
        <w:ind w:right="180"/>
        <w:spacing w:after="0" w:line="259" w:lineRule="auto"/>
        <w:rPr>
          <w:sz w:val="20"/>
          <w:szCs w:val="20"/>
          <w:color w:val="auto"/>
        </w:rPr>
      </w:pPr>
      <w:r>
        <w:rPr>
          <w:rFonts w:ascii="Arial" w:cs="Arial" w:eastAsia="Arial" w:hAnsi="Arial"/>
          <w:sz w:val="15"/>
          <w:szCs w:val="15"/>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09"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Emerging growth company o</w:t>
      </w:r>
    </w:p>
    <w:p>
      <w:pPr>
        <w:spacing w:after="0" w:line="134" w:lineRule="exact"/>
        <w:rPr>
          <w:sz w:val="24"/>
          <w:szCs w:val="24"/>
          <w:color w:val="auto"/>
        </w:rPr>
      </w:pPr>
    </w:p>
    <w:p>
      <w:pPr>
        <w:spacing w:after="0" w:line="259"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80"/>
          </w:cols>
          <w:pgMar w:left="220" w:top="739" w:right="299" w:bottom="1440" w:gutter="0" w:footer="0" w:header="0"/>
          <w:type w:val="continuous"/>
        </w:sectPr>
      </w:pPr>
    </w:p>
    <w:bookmarkStart w:id="1" w:name="page2"/>
    <w:bookmarkEnd w:id="1"/>
    <w:p>
      <w:pPr>
        <w:ind w:left="20"/>
        <w:spacing w:after="0"/>
        <w:tabs>
          <w:tab w:leader="none" w:pos="1500" w:val="left"/>
        </w:tabs>
        <w:rPr>
          <w:sz w:val="20"/>
          <w:szCs w:val="20"/>
          <w:color w:val="auto"/>
        </w:rPr>
      </w:pPr>
      <w:r>
        <w:rPr>
          <w:rFonts w:ascii="Arial" w:cs="Arial" w:eastAsia="Arial" w:hAnsi="Arial"/>
          <w:sz w:val="15"/>
          <w:szCs w:val="15"/>
          <w:b w:val="1"/>
          <w:bCs w:val="1"/>
          <w:color w:val="auto"/>
        </w:rPr>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On May 1, 2018, Acadia Realty Trust (the “Company”) issued a press release announcing its consolidated financial results for the quarter ended March 31, 2018. A copy of this press release is attached to this report on Form 8-K as Exhibit 99.1 and incorporated herein by reference. In addition, on May 1, 2018, the Company made available supplemental information concerning the ownership, operations and portfolio of the Company as of and for the quarter ended March 31, 2018. A copy of this supplemental information is attached to this report on Form 8-K as Exhibit 99.2 and incorporated herein by reference.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information included in this Item 2.02, including the information included in Exhibits 99.1 and 99.2 attached hereto, is intended to be furnished solely pursuant to this Item 2.02, and is not deemed to be “filed” for purposes of Section 18 of the Securities Exchange Act of 1934, as amended (the “Exchange Act”), or incorporated by reference into any filing under the Securities Act of 1933, as amended (“Securities Act”) or the Exchange Act, or otherwise subject to the liabilities of Sections 11 and 12 (a) (2) of the Securities Act.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Arial" w:cs="Arial" w:eastAsia="Arial" w:hAnsi="Arial"/>
                <w:sz w:val="15"/>
                <w:szCs w:val="15"/>
                <w:b w:val="1"/>
                <w:bCs w:val="1"/>
                <w:color w:val="auto"/>
              </w:rPr>
              <w:t>Item 9.01.</w:t>
            </w:r>
          </w:p>
        </w:tc>
        <w:tc>
          <w:tcPr>
            <w:tcW w:w="6500" w:type="dxa"/>
            <w:vAlign w:val="bottom"/>
            <w:gridSpan w:val="3"/>
          </w:tcPr>
          <w:p>
            <w:pPr>
              <w:ind w:left="240"/>
              <w:spacing w:after="0"/>
              <w:rPr>
                <w:sz w:val="20"/>
                <w:szCs w:val="20"/>
                <w:color w:val="auto"/>
              </w:rPr>
            </w:pPr>
            <w:r>
              <w:rPr>
                <w:rFonts w:ascii="Arial" w:cs="Arial" w:eastAsia="Arial" w:hAnsi="Arial"/>
                <w:sz w:val="15"/>
                <w:szCs w:val="15"/>
                <w:b w:val="1"/>
                <w:bCs w:val="1"/>
                <w:color w:val="auto"/>
              </w:rPr>
              <w:t>Financial Statements and Exhibits.</w:t>
            </w:r>
          </w:p>
        </w:tc>
      </w:tr>
      <w:tr>
        <w:trPr>
          <w:trHeight w:val="372"/>
        </w:trPr>
        <w:tc>
          <w:tcPr>
            <w:tcW w:w="1280" w:type="dxa"/>
            <w:vAlign w:val="bottom"/>
            <w:gridSpan w:val="4"/>
          </w:tcPr>
          <w:p>
            <w:pPr>
              <w:spacing w:after="0"/>
              <w:rPr>
                <w:sz w:val="20"/>
                <w:szCs w:val="20"/>
                <w:color w:val="auto"/>
              </w:rPr>
            </w:pPr>
            <w:r>
              <w:rPr>
                <w:rFonts w:ascii="Arial" w:cs="Arial" w:eastAsia="Arial" w:hAnsi="Arial"/>
                <w:sz w:val="15"/>
                <w:szCs w:val="15"/>
                <w:color w:val="auto"/>
              </w:rPr>
              <w:t>(d) Exhibits</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450"/>
        </w:trPr>
        <w:tc>
          <w:tcPr>
            <w:tcW w:w="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5"/>
                <w:szCs w:val="15"/>
                <w:b w:val="1"/>
                <w:bCs w:val="1"/>
                <w:color w:val="auto"/>
              </w:rPr>
              <w:t>Exhibit Number</w:t>
            </w:r>
          </w:p>
        </w:tc>
        <w:tc>
          <w:tcPr>
            <w:tcW w:w="480" w:type="dxa"/>
            <w:vAlign w:val="bottom"/>
          </w:tcPr>
          <w:p>
            <w:pPr>
              <w:spacing w:after="0"/>
              <w:rPr>
                <w:sz w:val="24"/>
                <w:szCs w:val="24"/>
                <w:color w:val="auto"/>
              </w:rPr>
            </w:pPr>
          </w:p>
        </w:tc>
        <w:tc>
          <w:tcPr>
            <w:tcW w:w="6020" w:type="dxa"/>
            <w:vAlign w:val="bottom"/>
            <w:gridSpan w:val="2"/>
          </w:tcPr>
          <w:p>
            <w:pPr>
              <w:ind w:left="40"/>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0" w:type="dxa"/>
            <w:vAlign w:val="bottom"/>
            <w:tcBorders>
              <w:bottom w:val="single" w:sz="8" w:color="0000FF"/>
            </w:tcBorders>
          </w:tcPr>
          <w:p>
            <w:pPr>
              <w:spacing w:after="0"/>
              <w:rPr>
                <w:rFonts w:ascii="Arial" w:cs="Arial" w:eastAsia="Arial" w:hAnsi="Arial"/>
                <w:sz w:val="15"/>
                <w:szCs w:val="15"/>
                <w:color w:val="0000FF"/>
                <w:w w:val="82"/>
              </w:rPr>
            </w:pPr>
            <w:hyperlink w:anchor="page4">
              <w:r>
                <w:rPr>
                  <w:rFonts w:ascii="Arial" w:cs="Arial" w:eastAsia="Arial" w:hAnsi="Arial"/>
                  <w:sz w:val="15"/>
                  <w:szCs w:val="15"/>
                  <w:color w:val="0000FF"/>
                  <w:w w:val="82"/>
                </w:rPr>
                <w:t>99.</w:t>
              </w:r>
              <w:r>
                <w:rPr>
                  <w:rFonts w:ascii="Arial" w:cs="Arial" w:eastAsia="Arial" w:hAnsi="Arial"/>
                  <w:sz w:val="15"/>
                  <w:szCs w:val="15"/>
                  <w:u w:val="single" w:color="auto"/>
                  <w:color w:val="0000FF"/>
                  <w:w w:val="82"/>
                </w:rPr>
                <w:t>1</w:t>
              </w:r>
            </w:hyperlink>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20" w:type="dxa"/>
            <w:vAlign w:val="bottom"/>
            <w:gridSpan w:val="2"/>
          </w:tcPr>
          <w:p>
            <w:pPr>
              <w:ind w:left="40"/>
              <w:spacing w:after="0"/>
              <w:rPr>
                <w:sz w:val="20"/>
                <w:szCs w:val="20"/>
                <w:color w:val="auto"/>
              </w:rPr>
            </w:pPr>
            <w:r>
              <w:rPr>
                <w:rFonts w:ascii="Arial" w:cs="Arial" w:eastAsia="Arial" w:hAnsi="Arial"/>
                <w:sz w:val="15"/>
                <w:szCs w:val="15"/>
                <w:color w:val="auto"/>
              </w:rPr>
              <w:t>Press release of the Company dated May 1, 2018.</w:t>
            </w:r>
          </w:p>
        </w:tc>
      </w:tr>
      <w:tr>
        <w:trPr>
          <w:trHeight w:val="199"/>
        </w:trPr>
        <w:tc>
          <w:tcPr>
            <w:tcW w:w="20" w:type="dxa"/>
            <w:vAlign w:val="bottom"/>
          </w:tcPr>
          <w:p>
            <w:pPr>
              <w:spacing w:after="0"/>
              <w:rPr>
                <w:sz w:val="17"/>
                <w:szCs w:val="17"/>
                <w:color w:val="auto"/>
              </w:rPr>
            </w:pPr>
          </w:p>
        </w:tc>
        <w:tc>
          <w:tcPr>
            <w:tcW w:w="260" w:type="dxa"/>
            <w:vAlign w:val="bottom"/>
            <w:tcBorders>
              <w:bottom w:val="single" w:sz="8" w:color="0000FF"/>
            </w:tcBorders>
          </w:tcPr>
          <w:p>
            <w:pPr>
              <w:spacing w:after="0"/>
              <w:rPr>
                <w:rFonts w:ascii="Arial" w:cs="Arial" w:eastAsia="Arial" w:hAnsi="Arial"/>
                <w:sz w:val="15"/>
                <w:szCs w:val="15"/>
                <w:color w:val="0000FF"/>
                <w:w w:val="82"/>
              </w:rPr>
            </w:pPr>
            <w:hyperlink w:anchor="page13">
              <w:r>
                <w:rPr>
                  <w:rFonts w:ascii="Arial" w:cs="Arial" w:eastAsia="Arial" w:hAnsi="Arial"/>
                  <w:sz w:val="15"/>
                  <w:szCs w:val="15"/>
                  <w:color w:val="0000FF"/>
                  <w:w w:val="82"/>
                </w:rPr>
                <w:t>99.</w:t>
              </w:r>
              <w:r>
                <w:rPr>
                  <w:rFonts w:ascii="Arial" w:cs="Arial" w:eastAsia="Arial" w:hAnsi="Arial"/>
                  <w:sz w:val="15"/>
                  <w:szCs w:val="15"/>
                  <w:u w:val="single" w:color="auto"/>
                  <w:color w:val="0000FF"/>
                  <w:w w:val="82"/>
                </w:rPr>
                <w:t>2</w:t>
              </w:r>
            </w:hyperlink>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20" w:type="dxa"/>
            <w:vAlign w:val="bottom"/>
            <w:gridSpan w:val="2"/>
          </w:tcPr>
          <w:p>
            <w:pPr>
              <w:ind w:left="40"/>
              <w:spacing w:after="0"/>
              <w:rPr>
                <w:sz w:val="20"/>
                <w:szCs w:val="20"/>
                <w:color w:val="auto"/>
              </w:rPr>
            </w:pPr>
            <w:r>
              <w:rPr>
                <w:rFonts w:ascii="Arial" w:cs="Arial" w:eastAsia="Arial" w:hAnsi="Arial"/>
                <w:sz w:val="15"/>
                <w:szCs w:val="15"/>
                <w:color w:val="auto"/>
                <w:w w:val="87"/>
              </w:rPr>
              <w:t>Financial and Operating Reporting Supplement of the Company for the quarter ended March 31, 2018.</w:t>
            </w:r>
          </w:p>
        </w:tc>
      </w:tr>
    </w:tbl>
    <w:p>
      <w:pPr>
        <w:sectPr>
          <w:pgSz w:w="11900" w:h="16838" w:orient="portrait"/>
          <w:cols w:equalWidth="0" w:num="1">
            <w:col w:w="11460"/>
          </w:cols>
          <w:pgMar w:left="220" w:top="628" w:right="219" w:bottom="1440" w:gutter="0" w:footer="0" w:header="0"/>
        </w:sectPr>
      </w:pPr>
    </w:p>
    <w:bookmarkStart w:id="2" w:name="page3"/>
    <w:bookmarkEnd w:id="2"/>
    <w:p>
      <w:pPr>
        <w:ind w:left="5260"/>
        <w:spacing w:after="0"/>
        <w:rPr>
          <w:sz w:val="20"/>
          <w:szCs w:val="20"/>
          <w:color w:val="auto"/>
        </w:rPr>
      </w:pPr>
      <w:r>
        <w:rPr>
          <w:rFonts w:ascii="Arial" w:cs="Arial" w:eastAsia="Arial" w:hAnsi="Arial"/>
          <w:sz w:val="15"/>
          <w:szCs w:val="15"/>
          <w:b w:val="1"/>
          <w:bCs w:val="1"/>
          <w:color w:val="auto"/>
        </w:rPr>
        <w:t>SIGNATURES</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1900" w:type="dxa"/>
        <w:tblCellMar>
          <w:top w:w="0" w:type="dxa"/>
          <w:left w:w="0" w:type="dxa"/>
          <w:bottom w:w="0" w:type="dxa"/>
          <w:right w:w="0" w:type="dxa"/>
        </w:tblCellMar>
      </w:tblPr>
      <w:tr>
        <w:trPr>
          <w:trHeight w:val="179"/>
        </w:trPr>
        <w:tc>
          <w:tcPr>
            <w:tcW w:w="316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Arial" w:cs="Arial" w:eastAsia="Arial" w:hAnsi="Arial"/>
                <w:sz w:val="15"/>
                <w:szCs w:val="15"/>
                <w:b w:val="1"/>
                <w:bCs w:val="1"/>
                <w:color w:val="auto"/>
                <w:w w:val="97"/>
              </w:rPr>
              <w:t>ACADIA REALTY TRUST</w:t>
            </w:r>
          </w:p>
        </w:tc>
      </w:tr>
      <w:tr>
        <w:trPr>
          <w:trHeight w:val="184"/>
        </w:trPr>
        <w:tc>
          <w:tcPr>
            <w:tcW w:w="3160" w:type="dxa"/>
            <w:vAlign w:val="bottom"/>
          </w:tcPr>
          <w:p>
            <w:pPr>
              <w:spacing w:after="0"/>
              <w:rPr>
                <w:sz w:val="20"/>
                <w:szCs w:val="20"/>
                <w:color w:val="auto"/>
              </w:rPr>
            </w:pPr>
            <w:r>
              <w:rPr>
                <w:rFonts w:ascii="Arial" w:cs="Arial" w:eastAsia="Arial" w:hAnsi="Arial"/>
                <w:sz w:val="15"/>
                <w:szCs w:val="15"/>
                <w:color w:val="auto"/>
              </w:rPr>
              <w:t>Dated:</w:t>
            </w:r>
          </w:p>
        </w:tc>
        <w:tc>
          <w:tcPr>
            <w:tcW w:w="1740" w:type="dxa"/>
            <w:vAlign w:val="bottom"/>
            <w:gridSpan w:val="2"/>
          </w:tcPr>
          <w:p>
            <w:pPr>
              <w:spacing w:after="0"/>
              <w:rPr>
                <w:sz w:val="20"/>
                <w:szCs w:val="20"/>
                <w:color w:val="auto"/>
              </w:rPr>
            </w:pPr>
            <w:r>
              <w:rPr>
                <w:rFonts w:ascii="Arial" w:cs="Arial" w:eastAsia="Arial" w:hAnsi="Arial"/>
                <w:sz w:val="15"/>
                <w:szCs w:val="15"/>
                <w:color w:val="auto"/>
              </w:rPr>
              <w:t>(Registrant)</w:t>
            </w:r>
          </w:p>
        </w:tc>
      </w:tr>
      <w:tr>
        <w:trPr>
          <w:trHeight w:val="712"/>
        </w:trPr>
        <w:tc>
          <w:tcPr>
            <w:tcW w:w="316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By: /s/ John Gottfried</w:t>
            </w:r>
          </w:p>
        </w:tc>
        <w:tc>
          <w:tcPr>
            <w:tcW w:w="460" w:type="dxa"/>
            <w:vAlign w:val="bottom"/>
          </w:tcPr>
          <w:p>
            <w:pPr>
              <w:spacing w:after="0"/>
              <w:rPr>
                <w:sz w:val="24"/>
                <w:szCs w:val="24"/>
                <w:color w:val="auto"/>
              </w:rPr>
            </w:pPr>
          </w:p>
        </w:tc>
      </w:tr>
      <w:tr>
        <w:trPr>
          <w:trHeight w:val="352"/>
        </w:trPr>
        <w:tc>
          <w:tcPr>
            <w:tcW w:w="316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5"/>
                <w:szCs w:val="15"/>
                <w:color w:val="auto"/>
              </w:rPr>
              <w:t>Name: John Gottfried</w:t>
            </w:r>
          </w:p>
        </w:tc>
      </w:tr>
      <w:tr>
        <w:trPr>
          <w:trHeight w:val="175"/>
        </w:trPr>
        <w:tc>
          <w:tcPr>
            <w:tcW w:w="316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Arial" w:cs="Arial" w:eastAsia="Arial" w:hAnsi="Arial"/>
                <w:sz w:val="15"/>
                <w:szCs w:val="15"/>
                <w:color w:val="auto"/>
              </w:rPr>
              <w:t>Title: Sr. Vice President</w:t>
            </w:r>
          </w:p>
        </w:tc>
      </w:tr>
      <w:tr>
        <w:trPr>
          <w:trHeight w:val="184"/>
        </w:trPr>
        <w:tc>
          <w:tcPr>
            <w:tcW w:w="3160" w:type="dxa"/>
            <w:vAlign w:val="bottom"/>
          </w:tcPr>
          <w:p>
            <w:pPr>
              <w:spacing w:after="0"/>
              <w:rPr>
                <w:sz w:val="20"/>
                <w:szCs w:val="20"/>
                <w:color w:val="auto"/>
              </w:rPr>
            </w:pPr>
            <w:r>
              <w:rPr>
                <w:rFonts w:ascii="Arial" w:cs="Arial" w:eastAsia="Arial" w:hAnsi="Arial"/>
                <w:sz w:val="15"/>
                <w:szCs w:val="15"/>
                <w:color w:val="auto"/>
              </w:rPr>
              <w:t>May 3, 2018</w:t>
            </w:r>
          </w:p>
        </w:tc>
        <w:tc>
          <w:tcPr>
            <w:tcW w:w="1740" w:type="dxa"/>
            <w:vAlign w:val="bottom"/>
            <w:gridSpan w:val="2"/>
          </w:tcPr>
          <w:p>
            <w:pPr>
              <w:spacing w:after="0"/>
              <w:rPr>
                <w:sz w:val="20"/>
                <w:szCs w:val="20"/>
                <w:color w:val="auto"/>
              </w:rPr>
            </w:pPr>
            <w:r>
              <w:rPr>
                <w:rFonts w:ascii="Arial" w:cs="Arial" w:eastAsia="Arial" w:hAnsi="Arial"/>
                <w:sz w:val="15"/>
                <w:szCs w:val="15"/>
                <w:color w:val="auto"/>
                <w:w w:val="97"/>
              </w:rPr>
              <w:t>and Chief Financial Officer</w:t>
            </w:r>
          </w:p>
        </w:tc>
      </w:tr>
    </w:tbl>
    <w:p>
      <w:pPr>
        <w:sectPr>
          <w:pgSz w:w="11900" w:h="16838" w:orient="portrait"/>
          <w:cols w:equalWidth="0" w:num="1">
            <w:col w:w="10600"/>
          </w:cols>
          <w:pgMar w:left="220" w:top="835" w:right="107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auto"/>
        </w:rPr>
        <w:t>Exhibit 99.1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ACADIA REALTY TRUST REPORTS FIRST QUARTER 2018 OPERATING RESULTS</w:t>
      </w:r>
    </w:p>
    <w:p>
      <w:pPr>
        <w:spacing w:after="0" w:line="177"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color w:val="auto"/>
        </w:rPr>
        <w:t xml:space="preserve">RYE, NY (May 1, 2018) </w:t>
      </w:r>
      <w:r>
        <w:rPr>
          <w:rFonts w:ascii="Arial" w:cs="Arial" w:eastAsia="Arial" w:hAnsi="Arial"/>
          <w:sz w:val="16"/>
          <w:szCs w:val="16"/>
          <w:color w:val="auto"/>
        </w:rPr>
        <w:t>- Acadia Realty Trust (NYSE:AKR) (“Acadia” or the “Company”) today reported operating results for the quarter ended March 31, 2018. All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are on a fully-diluted basis.</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Acadia operates dual platforms, comprised of a high-quality core real estate portfolio (“Core Portfolio”), which owns and operates assets in the nation’s most dynamic urban and street-retail corridors, and a series of discretionary, institutional funds (“Funds”) that target opportunistic and value-add investments.</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auto"/>
        </w:rPr>
        <w:t>Please refer to the tables and notes accompanying this press release for further details on operating results and additional disclosures related to net income, funds from operations ("FFO") and net operating income ("NOI").</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177" w:lineRule="exact"/>
        <w:rPr>
          <w:sz w:val="20"/>
          <w:szCs w:val="20"/>
          <w:color w:val="auto"/>
        </w:rPr>
      </w:pPr>
    </w:p>
    <w:p>
      <w:pPr>
        <w:ind w:left="260" w:hanging="253"/>
        <w:spacing w:after="0"/>
        <w:tabs>
          <w:tab w:leader="none" w:pos="260" w:val="left"/>
        </w:tabs>
        <w:numPr>
          <w:ilvl w:val="0"/>
          <w:numId w:val="1"/>
        </w:numPr>
        <w:rPr>
          <w:rFonts w:ascii="Arial" w:cs="Arial" w:eastAsia="Arial" w:hAnsi="Arial"/>
          <w:sz w:val="15"/>
          <w:szCs w:val="15"/>
          <w:color w:val="auto"/>
        </w:rPr>
      </w:pPr>
      <w:r>
        <w:rPr>
          <w:rFonts w:ascii="Arial" w:cs="Arial" w:eastAsia="Arial" w:hAnsi="Arial"/>
          <w:sz w:val="16"/>
          <w:szCs w:val="16"/>
          <w:b w:val="1"/>
          <w:bCs w:val="1"/>
          <w:color w:val="auto"/>
        </w:rPr>
        <w:t xml:space="preserve">Earnings: </w:t>
      </w:r>
      <w:r>
        <w:rPr>
          <w:rFonts w:ascii="Arial" w:cs="Arial" w:eastAsia="Arial" w:hAnsi="Arial"/>
          <w:sz w:val="16"/>
          <w:szCs w:val="16"/>
          <w:color w:val="auto"/>
        </w:rPr>
        <w:t>Generated earnings per share of $0.09 for the first quarter; FFO per share was $0.33 for the first quarter</w:t>
      </w:r>
    </w:p>
    <w:p>
      <w:pPr>
        <w:spacing w:after="0" w:line="45" w:lineRule="exact"/>
        <w:rPr>
          <w:rFonts w:ascii="Arial" w:cs="Arial" w:eastAsia="Arial" w:hAnsi="Arial"/>
          <w:sz w:val="15"/>
          <w:szCs w:val="15"/>
          <w:color w:val="auto"/>
        </w:rPr>
      </w:pPr>
    </w:p>
    <w:p>
      <w:pPr>
        <w:ind w:left="260" w:hanging="253"/>
        <w:spacing w:after="0"/>
        <w:tabs>
          <w:tab w:leader="none" w:pos="260" w:val="left"/>
        </w:tabs>
        <w:numPr>
          <w:ilvl w:val="0"/>
          <w:numId w:val="1"/>
        </w:numPr>
        <w:rPr>
          <w:rFonts w:ascii="Arial" w:cs="Arial" w:eastAsia="Arial" w:hAnsi="Arial"/>
          <w:sz w:val="15"/>
          <w:szCs w:val="15"/>
          <w:color w:val="auto"/>
        </w:rPr>
      </w:pPr>
      <w:r>
        <w:rPr>
          <w:rFonts w:ascii="Arial" w:cs="Arial" w:eastAsia="Arial" w:hAnsi="Arial"/>
          <w:sz w:val="16"/>
          <w:szCs w:val="16"/>
          <w:b w:val="1"/>
          <w:bCs w:val="1"/>
          <w:color w:val="auto"/>
        </w:rPr>
        <w:t xml:space="preserve">Core Portfolio Operating Results: </w:t>
      </w:r>
      <w:r>
        <w:rPr>
          <w:rFonts w:ascii="Arial" w:cs="Arial" w:eastAsia="Arial" w:hAnsi="Arial"/>
          <w:sz w:val="16"/>
          <w:szCs w:val="16"/>
          <w:color w:val="auto"/>
        </w:rPr>
        <w:t>Solid Core operating fundamentals</w:t>
      </w:r>
    </w:p>
    <w:p>
      <w:pPr>
        <w:spacing w:after="0" w:line="49" w:lineRule="exact"/>
        <w:rPr>
          <w:rFonts w:ascii="Arial" w:cs="Arial" w:eastAsia="Arial" w:hAnsi="Arial"/>
          <w:sz w:val="15"/>
          <w:szCs w:val="15"/>
          <w:color w:val="auto"/>
        </w:rPr>
      </w:pPr>
    </w:p>
    <w:p>
      <w:pPr>
        <w:ind w:left="800" w:hanging="268"/>
        <w:spacing w:after="0"/>
        <w:tabs>
          <w:tab w:leader="none" w:pos="800" w:val="left"/>
        </w:tabs>
        <w:numPr>
          <w:ilvl w:val="1"/>
          <w:numId w:val="1"/>
        </w:numPr>
        <w:rPr>
          <w:rFonts w:ascii="Arial" w:cs="Arial" w:eastAsia="Arial" w:hAnsi="Arial"/>
          <w:sz w:val="16"/>
          <w:szCs w:val="16"/>
          <w:color w:val="auto"/>
        </w:rPr>
      </w:pPr>
      <w:r>
        <w:rPr>
          <w:rFonts w:ascii="Arial" w:cs="Arial" w:eastAsia="Arial" w:hAnsi="Arial"/>
          <w:sz w:val="16"/>
          <w:szCs w:val="16"/>
          <w:color w:val="auto"/>
        </w:rPr>
        <w:t>To date, achieved 60% of our 2018 leasing goals based on NOI, representing approximately $5 million of annualized NOI</w:t>
      </w:r>
    </w:p>
    <w:p>
      <w:pPr>
        <w:spacing w:after="0" w:line="45" w:lineRule="exact"/>
        <w:rPr>
          <w:rFonts w:ascii="Arial" w:cs="Arial" w:eastAsia="Arial" w:hAnsi="Arial"/>
          <w:sz w:val="16"/>
          <w:szCs w:val="16"/>
          <w:color w:val="auto"/>
        </w:rPr>
      </w:pPr>
    </w:p>
    <w:p>
      <w:pPr>
        <w:ind w:left="800" w:hanging="268"/>
        <w:spacing w:after="0"/>
        <w:tabs>
          <w:tab w:leader="none" w:pos="800" w:val="left"/>
        </w:tabs>
        <w:numPr>
          <w:ilvl w:val="1"/>
          <w:numId w:val="1"/>
        </w:numPr>
        <w:rPr>
          <w:rFonts w:ascii="Arial" w:cs="Arial" w:eastAsia="Arial" w:hAnsi="Arial"/>
          <w:sz w:val="16"/>
          <w:szCs w:val="16"/>
          <w:color w:val="auto"/>
        </w:rPr>
      </w:pPr>
      <w:r>
        <w:rPr>
          <w:rFonts w:ascii="Arial" w:cs="Arial" w:eastAsia="Arial" w:hAnsi="Arial"/>
          <w:sz w:val="16"/>
          <w:szCs w:val="16"/>
          <w:color w:val="auto"/>
        </w:rPr>
        <w:t>Rent growth of 15.3% on new and renewal leases for the quarter on a cash basis</w:t>
      </w:r>
    </w:p>
    <w:p>
      <w:pPr>
        <w:spacing w:after="0" w:line="45" w:lineRule="exact"/>
        <w:rPr>
          <w:rFonts w:ascii="Arial" w:cs="Arial" w:eastAsia="Arial" w:hAnsi="Arial"/>
          <w:sz w:val="16"/>
          <w:szCs w:val="16"/>
          <w:color w:val="auto"/>
        </w:rPr>
      </w:pPr>
    </w:p>
    <w:p>
      <w:pPr>
        <w:ind w:left="800" w:hanging="268"/>
        <w:spacing w:after="0"/>
        <w:tabs>
          <w:tab w:leader="none" w:pos="800" w:val="left"/>
        </w:tabs>
        <w:numPr>
          <w:ilvl w:val="1"/>
          <w:numId w:val="1"/>
        </w:numPr>
        <w:rPr>
          <w:rFonts w:ascii="Arial" w:cs="Arial" w:eastAsia="Arial" w:hAnsi="Arial"/>
          <w:sz w:val="16"/>
          <w:szCs w:val="16"/>
          <w:color w:val="auto"/>
        </w:rPr>
      </w:pPr>
      <w:r>
        <w:rPr>
          <w:rFonts w:ascii="Arial" w:cs="Arial" w:eastAsia="Arial" w:hAnsi="Arial"/>
          <w:sz w:val="16"/>
          <w:szCs w:val="16"/>
          <w:color w:val="auto"/>
        </w:rPr>
        <w:t>Reported 95.3% leased occupancy as of March 31, 2018</w:t>
      </w:r>
    </w:p>
    <w:p>
      <w:pPr>
        <w:spacing w:after="0" w:line="45" w:lineRule="exact"/>
        <w:rPr>
          <w:rFonts w:ascii="Arial" w:cs="Arial" w:eastAsia="Arial" w:hAnsi="Arial"/>
          <w:sz w:val="16"/>
          <w:szCs w:val="16"/>
          <w:color w:val="auto"/>
        </w:rPr>
      </w:pPr>
    </w:p>
    <w:p>
      <w:pPr>
        <w:ind w:left="800" w:hanging="268"/>
        <w:spacing w:after="0" w:line="268" w:lineRule="auto"/>
        <w:tabs>
          <w:tab w:leader="none" w:pos="800" w:val="left"/>
        </w:tabs>
        <w:numPr>
          <w:ilvl w:val="1"/>
          <w:numId w:val="1"/>
        </w:numPr>
        <w:rPr>
          <w:rFonts w:ascii="Arial" w:cs="Arial" w:eastAsia="Arial" w:hAnsi="Arial"/>
          <w:sz w:val="16"/>
          <w:szCs w:val="16"/>
          <w:color w:val="auto"/>
        </w:rPr>
      </w:pPr>
      <w:r>
        <w:rPr>
          <w:rFonts w:ascii="Arial" w:cs="Arial" w:eastAsia="Arial" w:hAnsi="Arial"/>
          <w:sz w:val="16"/>
          <w:szCs w:val="16"/>
          <w:color w:val="auto"/>
        </w:rPr>
        <w:t>As projected, same-property net operating income decreased 1.0% for the first quarter (excluding redevelopment), driven by the previously-reported recapture of occupancy during 2017 which impacted period-over-period comparability</w:t>
      </w:r>
    </w:p>
    <w:p>
      <w:pPr>
        <w:ind w:left="260" w:hanging="253"/>
        <w:spacing w:after="0"/>
        <w:tabs>
          <w:tab w:leader="none" w:pos="2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Core Structured Finance Investments: </w:t>
      </w:r>
      <w:r>
        <w:rPr>
          <w:rFonts w:ascii="Arial" w:cs="Arial" w:eastAsia="Arial" w:hAnsi="Arial"/>
          <w:sz w:val="16"/>
          <w:szCs w:val="16"/>
          <w:color w:val="auto"/>
        </w:rPr>
        <w:t>As projected, the Company received repayment of a $26 million Core note receivable in the first quarter of 2018</w:t>
      </w:r>
    </w:p>
    <w:p>
      <w:pPr>
        <w:spacing w:after="0" w:line="45" w:lineRule="exact"/>
        <w:rPr>
          <w:rFonts w:ascii="Arial" w:cs="Arial" w:eastAsia="Arial" w:hAnsi="Arial"/>
          <w:sz w:val="16"/>
          <w:szCs w:val="16"/>
          <w:b w:val="1"/>
          <w:bCs w:val="1"/>
          <w:color w:val="auto"/>
        </w:rPr>
      </w:pPr>
    </w:p>
    <w:p>
      <w:pPr>
        <w:ind w:left="260" w:hanging="253"/>
        <w:spacing w:after="0" w:line="270" w:lineRule="auto"/>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Fund Transactional Activity: </w:t>
      </w:r>
      <w:r>
        <w:rPr>
          <w:rFonts w:ascii="Arial" w:cs="Arial" w:eastAsia="Arial" w:hAnsi="Arial"/>
          <w:sz w:val="16"/>
          <w:szCs w:val="16"/>
          <w:color w:val="auto"/>
        </w:rPr>
        <w:t>Fund V acquired a high-yield investment during the first quarter for $45 million; Fund IV completed $8 million of dispositions during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quarter</w:t>
      </w:r>
    </w:p>
    <w:p>
      <w:pPr>
        <w:spacing w:after="0" w:line="1" w:lineRule="exact"/>
        <w:rPr>
          <w:rFonts w:ascii="Arial" w:cs="Arial" w:eastAsia="Arial" w:hAnsi="Arial"/>
          <w:sz w:val="16"/>
          <w:szCs w:val="16"/>
          <w:color w:val="auto"/>
        </w:rPr>
      </w:pPr>
    </w:p>
    <w:p>
      <w:pPr>
        <w:jc w:val="both"/>
        <w:ind w:left="260" w:hanging="253"/>
        <w:spacing w:after="0" w:line="258" w:lineRule="auto"/>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Balance Sheet: </w:t>
      </w:r>
      <w:r>
        <w:rPr>
          <w:rFonts w:ascii="Arial" w:cs="Arial" w:eastAsia="Arial" w:hAnsi="Arial"/>
          <w:sz w:val="16"/>
          <w:szCs w:val="16"/>
          <w:color w:val="auto"/>
        </w:rPr>
        <w:t>As a result of successful capital recycling efforts, the Company repurchased $32 million through March 31, 2018, pursuant to its new share repurchase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on a leverage-neutral basis; As previously reported, the Company extended the maturity of its corporate unsecured facility resulting in reduced borrowing costs and improved flexibility</w:t>
      </w:r>
    </w:p>
    <w:p>
      <w:pPr>
        <w:spacing w:after="0" w:line="7" w:lineRule="exact"/>
        <w:rPr>
          <w:rFonts w:ascii="Arial" w:cs="Arial" w:eastAsia="Arial" w:hAnsi="Arial"/>
          <w:sz w:val="16"/>
          <w:szCs w:val="16"/>
          <w:color w:val="auto"/>
        </w:rPr>
      </w:pPr>
    </w:p>
    <w:p>
      <w:pPr>
        <w:ind w:left="260" w:hanging="253"/>
        <w:spacing w:after="0" w:line="274" w:lineRule="auto"/>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Guidance: </w:t>
      </w:r>
      <w:r>
        <w:rPr>
          <w:rFonts w:ascii="Arial" w:cs="Arial" w:eastAsia="Arial" w:hAnsi="Arial"/>
          <w:sz w:val="16"/>
          <w:szCs w:val="16"/>
          <w:color w:val="auto"/>
        </w:rPr>
        <w:t>Following its strong leasing efforts and its portfolio performance to date, the Company reaffirms its 2018 guidance of FFO per share of $1.33 to $1.45 and same-property net operating income growth of 1-3%, including 2-7% growth in the second half of the year</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“Our first-quarter operating results were consistent with our expectations but, more importantly, we continued to make significant progress on both our immediate leasing goals and our long-term growth plans,” stated Kenneth F. Bernstein, President and CEO of Acadia Realty Trust. “At the beginning of this year, we laid out important leasing goals for our high-quality core portfolio; this leasing, together with two key redevelopments, should drive strong, organic NOI growth over the next several years. In the fund platform, we continue to selectively acquire durable high-yield properties while we watch the disruption in our industry translate into other actionable opportunities. Especially during times like these, it feels good to have significant dry powder, both on balance sheet and in our fund platform, to execute on interesting investment opportunities as they arise.”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60"/>
          </w:cols>
          <w:pgMar w:left="220" w:top="496" w:right="2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auto"/>
        </w:rPr>
        <w:t>FINANCIAL RESULTS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A complete reconciliation, in dollars and per share amounts, of net income to FFO is included in the financial tables of this release.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Net Income</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income attributable to common shareholders for the quarter ended March 31, 2018 was $7 million, or $0.09 per share. Net income attributable to common shareholders for the quarter ended March 31, 2017 was $16 million, or $0.18 per share. The decrease in net income for the quarter was attributable to gains on dispositions of unconsolidated properties in 2017 as well as a reduction in the current quarter in interest income following the monetization of structured finance investments and the impact of the previously discussed recapture of occupancy.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FFO</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Consistent with our expectations, FFO for the quarter ended March 31, 2018 was $29 million, or $0.33 per share compared to $35 million, or $0.40 per share for the quarter ended March 31, 2017. The decrease in FFO for the quarter was primarily due to a reduction in interest income in the current quarter following the monetization of structured finance investments and the previously discussed recapture of occupancy.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CORE PORTFOLIO</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Core Operating Results</w:t>
      </w:r>
    </w:p>
    <w:p>
      <w:pPr>
        <w:spacing w:after="0" w:line="181" w:lineRule="exact"/>
        <w:rPr>
          <w:sz w:val="20"/>
          <w:szCs w:val="20"/>
          <w:color w:val="auto"/>
        </w:rPr>
      </w:pPr>
    </w:p>
    <w:p>
      <w:pPr>
        <w:jc w:val="both"/>
        <w:spacing w:after="0" w:line="309" w:lineRule="auto"/>
        <w:rPr>
          <w:sz w:val="20"/>
          <w:szCs w:val="20"/>
          <w:color w:val="auto"/>
        </w:rPr>
      </w:pPr>
      <w:r>
        <w:rPr>
          <w:rFonts w:ascii="Arial" w:cs="Arial" w:eastAsia="Arial" w:hAnsi="Arial"/>
          <w:sz w:val="14"/>
          <w:szCs w:val="14"/>
          <w:color w:val="auto"/>
        </w:rPr>
        <w:t>The Company's 2018 leasing goal is to execute leases comprising approximately $8 million of NOI on a run rate basis. To date, the Company has executed leases comprising approximately $5 million of annualized NOI at its key street and urban locations on Madison Avenue (New York), Armitage Avenue (Lincoln Park, Chicago), M Street (Georgetown, Washington DC) and Greenwich Avenue (Greenwich, CT). As such, the Company has achieved 60% of its leasing goals at rents in line with its expectations.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projected, the Company reported a decrease in same-property net operating income of 1.0% for the first quarter (excluding redevelopment) driven by the previously-reported recapture of occupancy during 2017, which impacted period-over-period comparability.</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Core Portfolio was 94.4% occupied and 95.3% leased as of March 31, 2018, compared to 93.9% occupied and 95.3% leased as of December 31, 2017. The leased rate includes space that is leased but not yet occupied and excludes development and redevelopment properties.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During the first quarter, the Company generated a 23.3% increase in average rents on a GAAP basis, and a 15.3% increase on a cash basis, on 9 new and renewal leases aggregating 66,000 square feet.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Redevelopment Update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color w:val="auto"/>
        </w:rPr>
        <w:t xml:space="preserve">City Center, San Francisco, CA. </w:t>
      </w:r>
      <w:r>
        <w:rPr>
          <w:rFonts w:ascii="Arial" w:cs="Arial" w:eastAsia="Arial" w:hAnsi="Arial"/>
          <w:sz w:val="15"/>
          <w:szCs w:val="15"/>
          <w:color w:val="auto"/>
        </w:rPr>
        <w:t>The Company has commenced construction on the 40,000-square foot expansion of City Center, its Target-anchored urban shopping center</w:t>
      </w:r>
      <w:r>
        <w:rPr>
          <w:rFonts w:ascii="Arial" w:cs="Arial" w:eastAsia="Arial" w:hAnsi="Arial"/>
          <w:sz w:val="15"/>
          <w:szCs w:val="15"/>
          <w:b w:val="1"/>
          <w:bCs w:val="1"/>
          <w:color w:val="auto"/>
        </w:rPr>
        <w:t xml:space="preserve"> </w:t>
      </w:r>
      <w:r>
        <w:rPr>
          <w:rFonts w:ascii="Arial" w:cs="Arial" w:eastAsia="Arial" w:hAnsi="Arial"/>
          <w:sz w:val="15"/>
          <w:szCs w:val="15"/>
          <w:color w:val="auto"/>
        </w:rPr>
        <w:t>located in San Francisco. The expansion space is approximately 80% pre-leased, with anticipated tenant delivery and rent commencement in 2019.</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Clark and Diversey, Lincoln Park, Chicago, IL. </w:t>
      </w:r>
      <w:r>
        <w:rPr>
          <w:rFonts w:ascii="Arial" w:cs="Arial" w:eastAsia="Arial" w:hAnsi="Arial"/>
          <w:sz w:val="16"/>
          <w:szCs w:val="16"/>
          <w:color w:val="auto"/>
        </w:rPr>
        <w:t>Construction is currently underway on the Company's 30,000-square foot development located at the corner of Clark Street and</w:t>
      </w:r>
      <w:r>
        <w:rPr>
          <w:rFonts w:ascii="Arial" w:cs="Arial" w:eastAsia="Arial" w:hAnsi="Arial"/>
          <w:sz w:val="16"/>
          <w:szCs w:val="16"/>
          <w:b w:val="1"/>
          <w:bCs w:val="1"/>
          <w:color w:val="auto"/>
        </w:rPr>
        <w:t xml:space="preserve"> </w:t>
      </w:r>
      <w:r>
        <w:rPr>
          <w:rFonts w:ascii="Arial" w:cs="Arial" w:eastAsia="Arial" w:hAnsi="Arial"/>
          <w:sz w:val="16"/>
          <w:szCs w:val="16"/>
          <w:color w:val="auto"/>
        </w:rPr>
        <w:t>Diversey Parkway in Lincoln Park, Chicago. The Company anticipates construction completion and delivery of approximately 75% of the total leasable space to T.J. Maxx and Blue Mercury in the second half of 2018.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60"/>
          </w:cols>
          <w:pgMar w:left="220" w:top="492" w:right="2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auto"/>
        </w:rPr>
        <w:t>FUND PLATFORM</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Fund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completed a $45 million Fund V acquisition during first quarter 2018 as follows:</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Trussville Promenade, Trussville, AL (Fund V). </w:t>
      </w:r>
      <w:r>
        <w:rPr>
          <w:rFonts w:ascii="Arial" w:cs="Arial" w:eastAsia="Arial" w:hAnsi="Arial"/>
          <w:sz w:val="16"/>
          <w:szCs w:val="16"/>
          <w:color w:val="auto"/>
        </w:rPr>
        <w:t>As previously reported, in February 2018, Fund V acquired a 464,000-square foot shopping center, located in Trussville, AL</w:t>
      </w:r>
      <w:r>
        <w:rPr>
          <w:rFonts w:ascii="Arial" w:cs="Arial" w:eastAsia="Arial" w:hAnsi="Arial"/>
          <w:sz w:val="16"/>
          <w:szCs w:val="16"/>
          <w:b w:val="1"/>
          <w:bCs w:val="1"/>
          <w:color w:val="auto"/>
        </w:rPr>
        <w:t xml:space="preserve"> </w:t>
      </w:r>
      <w:r>
        <w:rPr>
          <w:rFonts w:ascii="Arial" w:cs="Arial" w:eastAsia="Arial" w:hAnsi="Arial"/>
          <w:sz w:val="16"/>
          <w:szCs w:val="16"/>
          <w:color w:val="auto"/>
        </w:rPr>
        <w:t>(Birmingham MSA), for $45 million. The property is 95% leased and its anchors include Walmart, Marshalls, and Ross Dress for Less. This investment is consistent with the Fund platform’s high-yield opportunistic strategy.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Fund Dispositions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completed $34 million of Fund dispositions during 2018 as follows: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108-110 W Broughton St, Savannah, GA (Fund IV). </w:t>
      </w:r>
      <w:r>
        <w:rPr>
          <w:rFonts w:ascii="Arial" w:cs="Arial" w:eastAsia="Arial" w:hAnsi="Arial"/>
          <w:sz w:val="16"/>
          <w:szCs w:val="16"/>
          <w:color w:val="auto"/>
        </w:rPr>
        <w:t>As previously reported, in January 2018, Fund IV completed the sale of another two properties in its Broughton St</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 in Savannah, GA for $8 million. The mixed use properties total 11,000 square feet and are 100% occupied; Bluemercury and Tommy Bahama are the key retail tenants. To date, Fund IV has sold seven of 23 properties in its Broughton St Collection, aggregating 31,000 square feet of approximately 200,000 square feet of retail, residential, and office space.</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 xml:space="preserve">Sherman Plaza, New York, NY (Fund II). </w:t>
      </w:r>
      <w:r>
        <w:rPr>
          <w:rFonts w:ascii="Arial" w:cs="Arial" w:eastAsia="Arial" w:hAnsi="Arial"/>
          <w:sz w:val="16"/>
          <w:szCs w:val="16"/>
          <w:color w:val="auto"/>
        </w:rPr>
        <w:t>Subsequent to the first quarter, Fund II completed the sale of Sherman Plaza, located in upper Manhattan, to a residential developer</w:t>
      </w:r>
      <w:r>
        <w:rPr>
          <w:rFonts w:ascii="Arial" w:cs="Arial" w:eastAsia="Arial" w:hAnsi="Arial"/>
          <w:sz w:val="16"/>
          <w:szCs w:val="16"/>
          <w:b w:val="1"/>
          <w:bCs w:val="1"/>
          <w:color w:val="auto"/>
        </w:rPr>
        <w:t xml:space="preserve"> </w:t>
      </w:r>
      <w:r>
        <w:rPr>
          <w:rFonts w:ascii="Arial" w:cs="Arial" w:eastAsia="Arial" w:hAnsi="Arial"/>
          <w:sz w:val="16"/>
          <w:szCs w:val="16"/>
          <w:color w:val="auto"/>
        </w:rPr>
        <w:t>for $26 million. Following this sale, Fund II’s sole real estate investment is City Point.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BALANCE SHEET</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has maintained its solid, low-leveraged balance sheet by reducing its Core pro rata debt by $19 million during the most recent quarter. As of March 31, 2018, the Company’s net debt to EBITDA ratio for the Core Portfolio was 4.9x.</w:t>
      </w:r>
    </w:p>
    <w:p>
      <w:pPr>
        <w:spacing w:after="0" w:line="14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During the first quarter 2018, the Company completed a $500 million Senior Unsecured Credit Facility comprised of a $150 million revolving credit facility and a $350 million term loan. The new facility extended the maturity dates of its prior facilities, and provided a reduction in all-in pricing and improvements to market terms and conditions.</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Through April 30, 2018, the Company has repurchased $54 million, or 2.2 million shares, pursuant to its new share repurchase program on a leverage-neutral basis, of which $32 million was acquired as of March 31, 2018.</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2018 GUIDANCE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reaffirms that its 2018 annual earnings per share will range from $0.37 to $0.48 and 2018 FFO per share will range from $1.33 to $1.45.</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Company’s 2018 operating assumptions are reaffirmed as follows:</w:t>
      </w:r>
    </w:p>
    <w:p>
      <w:pPr>
        <w:spacing w:after="0" w:line="188" w:lineRule="exact"/>
        <w:rPr>
          <w:sz w:val="20"/>
          <w:szCs w:val="20"/>
          <w:color w:val="auto"/>
        </w:rPr>
      </w:pPr>
    </w:p>
    <w:p>
      <w:pPr>
        <w:ind w:left="540" w:hanging="270"/>
        <w:spacing w:after="0"/>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2018 annual growth of 1% to 3% in same-property NOI (excluding redevelopments):</w:t>
      </w:r>
    </w:p>
    <w:p>
      <w:pPr>
        <w:spacing w:after="0" w:line="15" w:lineRule="exact"/>
        <w:rPr>
          <w:rFonts w:ascii="Arial" w:cs="Arial" w:eastAsia="Arial" w:hAnsi="Arial"/>
          <w:sz w:val="16"/>
          <w:szCs w:val="16"/>
          <w:color w:val="auto"/>
        </w:rPr>
      </w:pPr>
    </w:p>
    <w:p>
      <w:pPr>
        <w:ind w:left="1060" w:hanging="266"/>
        <w:spacing w:after="0"/>
        <w:tabs>
          <w:tab w:leader="none" w:pos="106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first half of 2018: (2%) to 0%</w:t>
      </w:r>
    </w:p>
    <w:p>
      <w:pPr>
        <w:spacing w:after="0" w:line="1" w:lineRule="exact"/>
        <w:rPr>
          <w:rFonts w:ascii="Arial" w:cs="Arial" w:eastAsia="Arial" w:hAnsi="Arial"/>
          <w:sz w:val="16"/>
          <w:szCs w:val="16"/>
          <w:color w:val="auto"/>
        </w:rPr>
      </w:pPr>
    </w:p>
    <w:p>
      <w:pPr>
        <w:ind w:left="1060" w:hanging="266"/>
        <w:spacing w:after="0"/>
        <w:tabs>
          <w:tab w:leader="none" w:pos="1060" w:val="left"/>
        </w:tabs>
        <w:numPr>
          <w:ilvl w:val="1"/>
          <w:numId w:val="2"/>
        </w:numPr>
        <w:rPr>
          <w:rFonts w:ascii="Arial" w:cs="Arial" w:eastAsia="Arial" w:hAnsi="Arial"/>
          <w:sz w:val="16"/>
          <w:szCs w:val="16"/>
          <w:color w:val="auto"/>
        </w:rPr>
      </w:pPr>
      <w:r>
        <w:rPr>
          <w:rFonts w:ascii="Arial" w:cs="Arial" w:eastAsia="Arial" w:hAnsi="Arial"/>
          <w:sz w:val="16"/>
          <w:szCs w:val="16"/>
          <w:color w:val="auto"/>
        </w:rPr>
        <w:t>second half of 2018: 2% to 7%</w:t>
      </w:r>
    </w:p>
    <w:p>
      <w:pPr>
        <w:spacing w:after="0" w:line="1" w:lineRule="exact"/>
        <w:rPr>
          <w:rFonts w:ascii="Arial" w:cs="Arial" w:eastAsia="Arial" w:hAnsi="Arial"/>
          <w:sz w:val="16"/>
          <w:szCs w:val="16"/>
          <w:color w:val="auto"/>
        </w:rPr>
      </w:pPr>
    </w:p>
    <w:p>
      <w:pPr>
        <w:ind w:left="540" w:hanging="270"/>
        <w:spacing w:after="0"/>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variability and range of estimates is primarily dependent upon the rent commencement dates of certain executed key leases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60"/>
          </w:cols>
          <w:pgMar w:left="220" w:top="492" w:right="2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Management will conduct a conference call on Wednesday, May 2, 2018 at 12:00 PM ET to review the Company’s earnings and operating results. Dial-in and webcast information is listed below.</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Live Conference Call:</w:t>
      </w:r>
    </w:p>
    <w:p>
      <w:pPr>
        <w:spacing w:after="0" w:line="2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Wednesday, May 2, 2018</w:t>
      </w:r>
    </w:p>
    <w:p>
      <w:pPr>
        <w:spacing w:after="0" w:line="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color w:val="auto"/>
        </w:rPr>
        <w:t>Time:</w:t>
      </w:r>
      <w:r>
        <w:rPr>
          <w:sz w:val="20"/>
          <w:szCs w:val="20"/>
          <w:color w:val="auto"/>
        </w:rPr>
        <w:tab/>
      </w:r>
      <w:r>
        <w:rPr>
          <w:rFonts w:ascii="Arial" w:cs="Arial" w:eastAsia="Arial" w:hAnsi="Arial"/>
          <w:sz w:val="16"/>
          <w:szCs w:val="16"/>
          <w:color w:val="auto"/>
        </w:rPr>
        <w:t>12:00 PM ET</w:t>
      </w:r>
    </w:p>
    <w:p>
      <w:pPr>
        <w:spacing w:after="0" w:line="2"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Dial#:</w:t>
      </w:r>
      <w:r>
        <w:rPr>
          <w:sz w:val="20"/>
          <w:szCs w:val="20"/>
          <w:color w:val="auto"/>
        </w:rPr>
        <w:tab/>
      </w:r>
      <w:r>
        <w:rPr>
          <w:rFonts w:ascii="Arial" w:cs="Arial" w:eastAsia="Arial" w:hAnsi="Arial"/>
          <w:sz w:val="16"/>
          <w:szCs w:val="16"/>
          <w:color w:val="auto"/>
        </w:rPr>
        <w:t>844-309-6711</w:t>
      </w:r>
    </w:p>
    <w:p>
      <w:pPr>
        <w:spacing w:after="0" w:line="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Passcode:</w:t>
      </w:r>
      <w:r>
        <w:rPr>
          <w:sz w:val="20"/>
          <w:szCs w:val="20"/>
          <w:color w:val="auto"/>
        </w:rPr>
        <w:tab/>
      </w:r>
      <w:r>
        <w:rPr>
          <w:rFonts w:ascii="Arial" w:cs="Arial" w:eastAsia="Arial" w:hAnsi="Arial"/>
          <w:sz w:val="16"/>
          <w:szCs w:val="16"/>
          <w:color w:val="auto"/>
        </w:rPr>
        <w:t>“Acadia Realty” or “6882817”</w:t>
      </w:r>
    </w:p>
    <w:p>
      <w:pPr>
        <w:spacing w:after="0" w:line="2"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Webcast (Listen-only):</w:t>
      </w:r>
      <w:r>
        <w:rPr>
          <w:sz w:val="20"/>
          <w:szCs w:val="20"/>
          <w:color w:val="auto"/>
        </w:rPr>
        <w:tab/>
      </w:r>
      <w:r>
        <w:rPr>
          <w:rFonts w:ascii="Arial" w:cs="Arial" w:eastAsia="Arial" w:hAnsi="Arial"/>
          <w:sz w:val="14"/>
          <w:szCs w:val="14"/>
          <w:u w:val="single" w:color="auto"/>
          <w:color w:val="0000FF"/>
        </w:rPr>
        <w:t xml:space="preserve">www.acadiarealty.com </w:t>
      </w:r>
      <w:r>
        <w:rPr>
          <w:rFonts w:ascii="Arial" w:cs="Arial" w:eastAsia="Arial" w:hAnsi="Arial"/>
          <w:sz w:val="14"/>
          <w:szCs w:val="14"/>
          <w:color w:val="000000"/>
        </w:rPr>
        <w:t>under</w:t>
      </w:r>
      <w:r>
        <w:rPr>
          <w:rFonts w:ascii="Arial" w:cs="Arial" w:eastAsia="Arial" w:hAnsi="Arial"/>
          <w:sz w:val="14"/>
          <w:szCs w:val="14"/>
          <w:u w:val="single" w:color="auto"/>
          <w:color w:val="0000FF"/>
        </w:rPr>
        <w:t xml:space="preserve"> </w:t>
      </w:r>
      <w:r>
        <w:rPr>
          <w:rFonts w:ascii="Arial" w:cs="Arial" w:eastAsia="Arial" w:hAnsi="Arial"/>
          <w:sz w:val="14"/>
          <w:szCs w:val="14"/>
          <w:u w:val="single" w:color="auto"/>
          <w:color w:val="000000"/>
        </w:rPr>
        <w:t>Investors, Presentations &amp; Events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Phone Replay:</w:t>
      </w:r>
    </w:p>
    <w:p>
      <w:pPr>
        <w:spacing w:after="0" w:line="20"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Dial#:</w:t>
      </w:r>
      <w:r>
        <w:rPr>
          <w:sz w:val="20"/>
          <w:szCs w:val="20"/>
          <w:color w:val="auto"/>
        </w:rPr>
        <w:tab/>
      </w:r>
      <w:r>
        <w:rPr>
          <w:rFonts w:ascii="Arial" w:cs="Arial" w:eastAsia="Arial" w:hAnsi="Arial"/>
          <w:sz w:val="16"/>
          <w:szCs w:val="16"/>
          <w:color w:val="auto"/>
        </w:rPr>
        <w:t>855-859-2056</w:t>
      </w:r>
    </w:p>
    <w:p>
      <w:pPr>
        <w:spacing w:after="0" w:line="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Passcode:</w:t>
      </w:r>
      <w:r>
        <w:rPr>
          <w:sz w:val="20"/>
          <w:szCs w:val="20"/>
          <w:color w:val="auto"/>
        </w:rPr>
        <w:tab/>
      </w:r>
      <w:r>
        <w:rPr>
          <w:rFonts w:ascii="Arial" w:cs="Arial" w:eastAsia="Arial" w:hAnsi="Arial"/>
          <w:sz w:val="16"/>
          <w:szCs w:val="16"/>
          <w:color w:val="auto"/>
        </w:rPr>
        <w:t>“6882817”</w:t>
      </w:r>
    </w:p>
    <w:p>
      <w:pPr>
        <w:spacing w:after="0" w:line="2" w:lineRule="exact"/>
        <w:rPr>
          <w:sz w:val="20"/>
          <w:szCs w:val="20"/>
          <w:color w:val="auto"/>
        </w:rPr>
      </w:pPr>
    </w:p>
    <w:p>
      <w:pPr>
        <w:spacing w:after="0"/>
        <w:tabs>
          <w:tab w:leader="none" w:pos="1400" w:val="left"/>
        </w:tabs>
        <w:rPr>
          <w:sz w:val="20"/>
          <w:szCs w:val="20"/>
          <w:color w:val="auto"/>
        </w:rPr>
      </w:pPr>
      <w:r>
        <w:rPr>
          <w:rFonts w:ascii="Arial" w:cs="Arial" w:eastAsia="Arial" w:hAnsi="Arial"/>
          <w:sz w:val="16"/>
          <w:szCs w:val="16"/>
          <w:color w:val="auto"/>
        </w:rPr>
        <w:t>Available Through:</w:t>
      </w:r>
      <w:r>
        <w:rPr>
          <w:sz w:val="20"/>
          <w:szCs w:val="20"/>
          <w:color w:val="auto"/>
        </w:rPr>
        <w:tab/>
      </w:r>
      <w:r>
        <w:rPr>
          <w:rFonts w:ascii="Arial" w:cs="Arial" w:eastAsia="Arial" w:hAnsi="Arial"/>
          <w:sz w:val="14"/>
          <w:szCs w:val="14"/>
          <w:color w:val="auto"/>
        </w:rPr>
        <w:t>Wednesday, May 9, 2018</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6"/>
          <w:szCs w:val="16"/>
          <w:b w:val="1"/>
          <w:bCs w:val="1"/>
          <w:u w:val="single" w:color="auto"/>
          <w:color w:val="auto"/>
        </w:rPr>
        <w:t>Webcast Replay:</w:t>
      </w:r>
      <w:r>
        <w:rPr>
          <w:sz w:val="20"/>
          <w:szCs w:val="20"/>
          <w:color w:val="auto"/>
        </w:rPr>
        <w:tab/>
      </w:r>
      <w:r>
        <w:rPr>
          <w:rFonts w:ascii="Arial" w:cs="Arial" w:eastAsia="Arial" w:hAnsi="Arial"/>
          <w:sz w:val="14"/>
          <w:szCs w:val="14"/>
          <w:u w:val="single" w:color="auto"/>
          <w:color w:val="0000FF"/>
        </w:rPr>
        <w:t xml:space="preserve">www.acadiarealty.com </w:t>
      </w:r>
      <w:r>
        <w:rPr>
          <w:rFonts w:ascii="Arial" w:cs="Arial" w:eastAsia="Arial" w:hAnsi="Arial"/>
          <w:sz w:val="14"/>
          <w:szCs w:val="14"/>
          <w:color w:val="000000"/>
        </w:rPr>
        <w:t>under</w:t>
      </w:r>
      <w:r>
        <w:rPr>
          <w:rFonts w:ascii="Arial" w:cs="Arial" w:eastAsia="Arial" w:hAnsi="Arial"/>
          <w:sz w:val="14"/>
          <w:szCs w:val="14"/>
          <w:u w:val="single" w:color="auto"/>
          <w:color w:val="0000FF"/>
        </w:rPr>
        <w:t xml:space="preserve"> </w:t>
      </w:r>
      <w:r>
        <w:rPr>
          <w:rFonts w:ascii="Arial" w:cs="Arial" w:eastAsia="Arial" w:hAnsi="Arial"/>
          <w:sz w:val="14"/>
          <w:szCs w:val="14"/>
          <w:u w:val="single" w:color="auto"/>
          <w:color w:val="000000"/>
        </w:rPr>
        <w:t>Investors, Presentations &amp; Events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Acadia Realty Trust</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Acadia Realty Trust is an equity real estate investment trust focused on delivering long-term, profitable growth via its dual - Core and Fund - operating platforms and its disciplined, location-driven investment strategy. Acadia Realty Trust is accomplishing this goal by building a best-in-class core real estate portfolio with meaningful concentrations of assets in the nation’s most dynamic urban and street-retail corridors; making profitable opportunistic and value-add investments through its series of discretionary, institutional funds; and maintaining a strong balance sheet. For further information, please visit </w:t>
      </w:r>
      <w:r>
        <w:rPr>
          <w:rFonts w:ascii="Arial" w:cs="Arial" w:eastAsia="Arial" w:hAnsi="Arial"/>
          <w:sz w:val="16"/>
          <w:szCs w:val="16"/>
          <w:u w:val="single" w:color="auto"/>
          <w:color w:val="0000FF"/>
        </w:rPr>
        <w:t>www.acadiarealty.com</w:t>
      </w:r>
      <w:r>
        <w:rPr>
          <w:rFonts w:ascii="Arial" w:cs="Arial" w:eastAsia="Arial" w:hAnsi="Arial"/>
          <w:sz w:val="16"/>
          <w:szCs w:val="16"/>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Certain matters in this press release may constitute forward-looking statements within the meaning of federal securities law and as such may involve known and unknown risks, uncertainties and other factors that may cause the actual results, performances or achievements of Acadia to be materially different from any future results, performances or achievements expressed or implied by such forward-looking statements. These forward-looking statements include statements regarding Acadia’s future financial results and its ability to capitalize on potential investment opportunities. Factors that could cause the Company’s forward-looking statements to differ from its future results include, but are not limited to, those discussed under the headings “Risk Factors” and “Management’s Discussion and Analysis of Financial Condition and Results of Operations” in the Company’s most recent annual report on Form 10-K filed with the SEC on February 27, 2018 (“Form 10-K”) and other periodic reports filed with the SEC, including risks related to: (i) political and economic uncertainty; (ii) the Company’s reliance on revenues derived from major tenants; (iii) the Company’s limited control over joint venture investments; (iv) the Company’s partnership structure; (v) real estate and the geographic concentration of the Company’s properties; (vi) market interest rates; (vii) leverage; (viii) liability for environmental matters; (ix) the Company’s growth strategy; (x) the Company’s status as a REIT; (xi) uninsured losses; (xii) information technology security threats and (xiii) the loss of key executives. Copies of the Form 10-K and the other periodic reports Acadia files with the SEC are available on the Company’s website at www.acadiarealty.com. Any forward-looking statements in this press release speak only as of the date hereof. Acadia expressly disclaims any obligation or undertaking to release publicly any updates or revisions to any forward-looking statements contained herein to reflect any change in Acadia’s expectations with regard thereto or change in events, conditions or circumstances on which any such statement is based.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60"/>
          </w:cols>
          <w:pgMar w:left="220" w:top="492"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ACADIA REALTY TRUST AND SUBSIDIARIES</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 xml:space="preserve">Consolidated Statements of Operations </w:t>
      </w:r>
      <w:r>
        <w:rPr>
          <w:rFonts w:ascii="Arial" w:cs="Arial" w:eastAsia="Arial" w:hAnsi="Arial"/>
          <w:sz w:val="20"/>
          <w:szCs w:val="20"/>
          <w:b w:val="1"/>
          <w:bCs w:val="1"/>
          <w:color w:val="auto"/>
          <w:vertAlign w:val="superscript"/>
        </w:rPr>
        <w:t>(a)</w:t>
      </w:r>
    </w:p>
    <w:p>
      <w:pPr>
        <w:jc w:val="center"/>
        <w:ind w:right="20"/>
        <w:spacing w:after="0"/>
        <w:rPr>
          <w:sz w:val="20"/>
          <w:szCs w:val="20"/>
          <w:color w:val="auto"/>
        </w:rPr>
      </w:pPr>
      <w:r>
        <w:rPr>
          <w:rFonts w:ascii="Arial" w:cs="Arial" w:eastAsia="Arial" w:hAnsi="Arial"/>
          <w:sz w:val="13"/>
          <w:szCs w:val="13"/>
          <w:i w:val="1"/>
          <w:iCs w:val="1"/>
          <w:color w:val="auto"/>
        </w:rPr>
        <w:t>(dollars and Common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940" w:type="dxa"/>
            <w:vAlign w:val="bottom"/>
            <w:gridSpan w:val="5"/>
          </w:tcPr>
          <w:p>
            <w:pPr>
              <w:jc w:val="right"/>
              <w:spacing w:after="0"/>
              <w:rPr>
                <w:sz w:val="20"/>
                <w:szCs w:val="20"/>
                <w:color w:val="auto"/>
              </w:rPr>
            </w:pPr>
            <w:r>
              <w:rPr>
                <w:rFonts w:ascii="Arial" w:cs="Arial" w:eastAsia="Arial" w:hAnsi="Arial"/>
                <w:sz w:val="13"/>
                <w:szCs w:val="13"/>
                <w:b w:val="1"/>
                <w:bCs w:val="1"/>
                <w:color w:val="auto"/>
                <w:w w:val="96"/>
              </w:rPr>
              <w:t>Three Months Ended March 31,</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8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7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4"/>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880" w:type="dxa"/>
            <w:vAlign w:val="bottom"/>
          </w:tcPr>
          <w:p>
            <w:pPr>
              <w:spacing w:after="0"/>
              <w:rPr>
                <w:sz w:val="15"/>
                <w:szCs w:val="15"/>
                <w:color w:val="auto"/>
              </w:rPr>
            </w:pPr>
          </w:p>
        </w:tc>
        <w:tc>
          <w:tcPr>
            <w:tcW w:w="5840" w:type="dxa"/>
            <w:vAlign w:val="bottom"/>
            <w:gridSpan w:val="2"/>
          </w:tcPr>
          <w:p>
            <w:pPr>
              <w:jc w:val="right"/>
              <w:ind w:right="4714"/>
              <w:spacing w:after="0"/>
              <w:rPr>
                <w:sz w:val="20"/>
                <w:szCs w:val="20"/>
                <w:color w:val="auto"/>
              </w:rPr>
            </w:pPr>
            <w:r>
              <w:rPr>
                <w:rFonts w:ascii="Arial" w:cs="Arial" w:eastAsia="Arial" w:hAnsi="Arial"/>
                <w:sz w:val="13"/>
                <w:szCs w:val="13"/>
                <w:b w:val="1"/>
                <w:bCs w:val="1"/>
                <w:i w:val="1"/>
                <w:iCs w:val="1"/>
                <w:color w:val="auto"/>
              </w:rPr>
              <w:t>Revenues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3"/>
                <w:szCs w:val="13"/>
                <w:color w:val="auto"/>
              </w:rPr>
              <w:t>Rental income</w:t>
            </w:r>
          </w:p>
        </w:tc>
        <w:tc>
          <w:tcPr>
            <w:tcW w:w="58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50,779</w:t>
            </w:r>
          </w:p>
        </w:tc>
        <w:tc>
          <w:tcPr>
            <w:tcW w:w="100" w:type="dxa"/>
            <w:vAlign w:val="bottom"/>
          </w:tcPr>
          <w:p>
            <w:pPr>
              <w:spacing w:after="0"/>
              <w:rPr>
                <w:sz w:val="19"/>
                <w:szCs w:val="19"/>
                <w:color w:val="auto"/>
              </w:rPr>
            </w:pP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48,585</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3"/>
                <w:szCs w:val="13"/>
                <w:color w:val="auto"/>
              </w:rPr>
              <w:t>Expense reimbursements</w:t>
            </w: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11,208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12,316</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3"/>
                <w:szCs w:val="13"/>
                <w:color w:val="auto"/>
              </w:rPr>
              <w:t>Other</w:t>
            </w: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1,137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1,098</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20"/>
                <w:szCs w:val="20"/>
                <w:color w:val="auto"/>
              </w:rPr>
            </w:pPr>
            <w:r>
              <w:rPr>
                <w:rFonts w:ascii="Arial" w:cs="Arial" w:eastAsia="Arial" w:hAnsi="Arial"/>
                <w:sz w:val="13"/>
                <w:szCs w:val="13"/>
                <w:color w:val="auto"/>
              </w:rPr>
              <w:t>Total revenues</w:t>
            </w: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63,124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61,999</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5840" w:type="dxa"/>
            <w:vAlign w:val="bottom"/>
            <w:gridSpan w:val="2"/>
          </w:tcPr>
          <w:p>
            <w:pPr>
              <w:jc w:val="right"/>
              <w:ind w:right="4434"/>
              <w:spacing w:after="0"/>
              <w:rPr>
                <w:sz w:val="20"/>
                <w:szCs w:val="20"/>
                <w:color w:val="auto"/>
              </w:rPr>
            </w:pPr>
            <w:r>
              <w:rPr>
                <w:rFonts w:ascii="Arial" w:cs="Arial" w:eastAsia="Arial" w:hAnsi="Arial"/>
                <w:sz w:val="13"/>
                <w:szCs w:val="13"/>
                <w:b w:val="1"/>
                <w:bCs w:val="1"/>
                <w:i w:val="1"/>
                <w:iCs w:val="1"/>
                <w:color w:val="auto"/>
              </w:rPr>
              <w:t>Operating expenses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28,576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24,536</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8,470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8,469</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3"/>
                <w:szCs w:val="13"/>
                <w:color w:val="auto"/>
              </w:rPr>
              <w:t>Real estate taxes</w:t>
            </w: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8,959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10,606</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3"/>
                <w:szCs w:val="13"/>
                <w:color w:val="auto"/>
              </w:rPr>
              <w:t>Property operating</w:t>
            </w: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10,338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8,197</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3"/>
                <w:szCs w:val="13"/>
                <w:color w:val="auto"/>
              </w:rPr>
              <w:t>Other operating</w:t>
            </w: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20"/>
                <w:szCs w:val="20"/>
                <w:color w:val="auto"/>
              </w:rPr>
            </w:pPr>
            <w:r>
              <w:rPr>
                <w:rFonts w:ascii="Arial" w:cs="Arial" w:eastAsia="Arial" w:hAnsi="Arial"/>
                <w:sz w:val="13"/>
                <w:szCs w:val="13"/>
                <w:color w:val="auto"/>
              </w:rPr>
              <w:t>Total operating expenses</w:t>
            </w: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56,423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52,102</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3880" w:type="dxa"/>
            <w:vAlign w:val="bottom"/>
          </w:tcPr>
          <w:p>
            <w:pPr>
              <w:spacing w:after="0"/>
              <w:rPr>
                <w:sz w:val="20"/>
                <w:szCs w:val="20"/>
                <w:color w:val="auto"/>
              </w:rPr>
            </w:pPr>
            <w:r>
              <w:rPr>
                <w:rFonts w:ascii="Arial" w:cs="Arial" w:eastAsia="Arial" w:hAnsi="Arial"/>
                <w:sz w:val="13"/>
                <w:szCs w:val="13"/>
                <w:color w:val="auto"/>
              </w:rPr>
              <w:t>Operating income</w:t>
            </w:r>
          </w:p>
        </w:tc>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6,701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9,897</w:t>
            </w:r>
          </w:p>
        </w:tc>
        <w:tc>
          <w:tcPr>
            <w:tcW w:w="0" w:type="dxa"/>
            <w:vAlign w:val="bottom"/>
          </w:tcPr>
          <w:p>
            <w:pPr>
              <w:spacing w:after="0"/>
              <w:rPr>
                <w:sz w:val="1"/>
                <w:szCs w:val="1"/>
                <w:color w:val="auto"/>
              </w:rPr>
            </w:pPr>
          </w:p>
        </w:tc>
      </w:tr>
      <w:tr>
        <w:trPr>
          <w:trHeight w:val="436"/>
        </w:trPr>
        <w:tc>
          <w:tcPr>
            <w:tcW w:w="3880" w:type="dxa"/>
            <w:vAlign w:val="bottom"/>
          </w:tcPr>
          <w:p>
            <w:pPr>
              <w:spacing w:after="0"/>
              <w:rPr>
                <w:sz w:val="20"/>
                <w:szCs w:val="20"/>
                <w:color w:val="auto"/>
              </w:rPr>
            </w:pPr>
            <w:r>
              <w:rPr>
                <w:rFonts w:ascii="Arial" w:cs="Arial" w:eastAsia="Arial" w:hAnsi="Arial"/>
                <w:sz w:val="13"/>
                <w:szCs w:val="13"/>
                <w:color w:val="auto"/>
                <w:w w:val="99"/>
              </w:rPr>
              <w:t>Equity in earnings and gains of unconsolidated affiliates inclusive of</w:t>
            </w:r>
          </w:p>
        </w:tc>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20"/>
                <w:szCs w:val="20"/>
                <w:color w:val="auto"/>
              </w:rPr>
            </w:pPr>
            <w:r>
              <w:rPr>
                <w:rFonts w:ascii="Arial" w:cs="Arial" w:eastAsia="Arial" w:hAnsi="Arial"/>
                <w:sz w:val="13"/>
                <w:szCs w:val="13"/>
                <w:color w:val="auto"/>
              </w:rPr>
              <w:t>gains on disposition of properties of $0 and $11,846 respectively</w:t>
            </w: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1,684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12,703</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3"/>
                <w:szCs w:val="13"/>
                <w:color w:val="auto"/>
              </w:rPr>
              <w:t>Interest income</w:t>
            </w: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3,737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8,984</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3"/>
                <w:szCs w:val="13"/>
                <w:color w:val="auto"/>
              </w:rPr>
              <w:t>Interest expense</w:t>
            </w: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(15,890)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(11,488)</w:t>
            </w:r>
          </w:p>
        </w:tc>
        <w:tc>
          <w:tcPr>
            <w:tcW w:w="0" w:type="dxa"/>
            <w:vAlign w:val="bottom"/>
          </w:tcPr>
          <w:p>
            <w:pPr>
              <w:spacing w:after="0"/>
              <w:rPr>
                <w:sz w:val="1"/>
                <w:szCs w:val="1"/>
                <w:color w:val="auto"/>
              </w:rPr>
            </w:pPr>
          </w:p>
        </w:tc>
      </w:tr>
      <w:tr>
        <w:trPr>
          <w:trHeight w:val="28"/>
        </w:trPr>
        <w:tc>
          <w:tcPr>
            <w:tcW w:w="3880" w:type="dxa"/>
            <w:vAlign w:val="bottom"/>
            <w:vMerge w:val="restart"/>
          </w:tcPr>
          <w:p>
            <w:pPr>
              <w:spacing w:after="0"/>
              <w:rPr>
                <w:sz w:val="20"/>
                <w:szCs w:val="20"/>
                <w:color w:val="auto"/>
              </w:rPr>
            </w:pPr>
            <w:r>
              <w:rPr>
                <w:rFonts w:ascii="Arial" w:cs="Arial" w:eastAsia="Arial" w:hAnsi="Arial"/>
                <w:sz w:val="13"/>
                <w:szCs w:val="13"/>
                <w:color w:val="auto"/>
              </w:rPr>
              <w:t>(Loss) income from continuing operations</w:t>
            </w:r>
          </w:p>
        </w:tc>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880" w:type="dxa"/>
            <w:vAlign w:val="bottom"/>
            <w:vMerge w:val="continue"/>
          </w:tcPr>
          <w:p>
            <w:pPr>
              <w:spacing w:after="0"/>
              <w:rPr>
                <w:sz w:val="13"/>
                <w:szCs w:val="13"/>
                <w:color w:val="auto"/>
              </w:rPr>
            </w:pPr>
          </w:p>
        </w:tc>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20"/>
                <w:szCs w:val="20"/>
                <w:color w:val="auto"/>
              </w:rPr>
            </w:pPr>
            <w:r>
              <w:rPr>
                <w:rFonts w:ascii="Arial" w:cs="Arial" w:eastAsia="Arial" w:hAnsi="Arial"/>
                <w:sz w:val="13"/>
                <w:szCs w:val="13"/>
                <w:color w:val="auto"/>
              </w:rPr>
              <w:t>before income taxes</w:t>
            </w: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(3,768)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20,096</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3"/>
                <w:szCs w:val="13"/>
                <w:color w:val="auto"/>
              </w:rPr>
              <w:t>Income tax provision</w:t>
            </w: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(392)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28"/>
        </w:trPr>
        <w:tc>
          <w:tcPr>
            <w:tcW w:w="3880" w:type="dxa"/>
            <w:vAlign w:val="bottom"/>
            <w:vMerge w:val="restart"/>
          </w:tcPr>
          <w:p>
            <w:pPr>
              <w:spacing w:after="0"/>
              <w:rPr>
                <w:sz w:val="20"/>
                <w:szCs w:val="20"/>
                <w:color w:val="auto"/>
              </w:rPr>
            </w:pPr>
            <w:r>
              <w:rPr>
                <w:rFonts w:ascii="Arial" w:cs="Arial" w:eastAsia="Arial" w:hAnsi="Arial"/>
                <w:sz w:val="13"/>
                <w:szCs w:val="13"/>
                <w:b w:val="1"/>
                <w:bCs w:val="1"/>
                <w:color w:val="auto"/>
              </w:rPr>
              <w:t>Net (loss) income</w:t>
            </w:r>
          </w:p>
        </w:tc>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(4,160)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19,971</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3"/>
                <w:szCs w:val="13"/>
                <w:color w:val="auto"/>
              </w:rPr>
              <w:t>Net loss (income) attributable to noncontrolling interests</w:t>
            </w: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11,579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(4,340)</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20"/>
                <w:szCs w:val="20"/>
                <w:color w:val="auto"/>
              </w:rPr>
            </w:pPr>
            <w:r>
              <w:rPr>
                <w:rFonts w:ascii="Arial" w:cs="Arial" w:eastAsia="Arial" w:hAnsi="Arial"/>
                <w:sz w:val="13"/>
                <w:szCs w:val="13"/>
                <w:color w:val="auto"/>
              </w:rPr>
              <w:t>Net income attributable to Acadia</w:t>
            </w:r>
          </w:p>
        </w:tc>
        <w:tc>
          <w:tcPr>
            <w:tcW w:w="58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7,419</w:t>
            </w:r>
          </w:p>
        </w:tc>
        <w:tc>
          <w:tcPr>
            <w:tcW w:w="100" w:type="dxa"/>
            <w:vAlign w:val="bottom"/>
          </w:tcPr>
          <w:p>
            <w:pPr>
              <w:spacing w:after="0"/>
              <w:rPr>
                <w:sz w:val="16"/>
                <w:szCs w:val="16"/>
                <w:color w:val="auto"/>
              </w:rPr>
            </w:pP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15,631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880" w:type="dxa"/>
            <w:vAlign w:val="bottom"/>
          </w:tcPr>
          <w:p>
            <w:pPr>
              <w:spacing w:after="0"/>
              <w:rPr>
                <w:sz w:val="20"/>
                <w:szCs w:val="20"/>
                <w:color w:val="auto"/>
              </w:rPr>
            </w:pPr>
            <w:r>
              <w:rPr>
                <w:rFonts w:ascii="Arial" w:cs="Arial" w:eastAsia="Arial" w:hAnsi="Arial"/>
                <w:sz w:val="13"/>
                <w:szCs w:val="13"/>
                <w:color w:val="auto"/>
              </w:rPr>
              <w:t>Less: net income attributable to participating securities</w:t>
            </w:r>
          </w:p>
        </w:tc>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20"/>
                <w:szCs w:val="20"/>
                <w:color w:val="auto"/>
              </w:rPr>
            </w:pPr>
            <w:r>
              <w:rPr>
                <w:rFonts w:ascii="Arial" w:cs="Arial" w:eastAsia="Arial" w:hAnsi="Arial"/>
                <w:sz w:val="13"/>
                <w:szCs w:val="13"/>
                <w:color w:val="auto"/>
              </w:rPr>
              <w:t>Net income attributable to Common Shareholders - basic</w:t>
            </w:r>
          </w:p>
        </w:tc>
        <w:tc>
          <w:tcPr>
            <w:tcW w:w="58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7,375</w:t>
            </w:r>
          </w:p>
        </w:tc>
        <w:tc>
          <w:tcPr>
            <w:tcW w:w="100" w:type="dxa"/>
            <w:vAlign w:val="bottom"/>
          </w:tcPr>
          <w:p>
            <w:pPr>
              <w:spacing w:after="0"/>
              <w:rPr>
                <w:sz w:val="16"/>
                <w:szCs w:val="16"/>
                <w:color w:val="auto"/>
              </w:rPr>
            </w:pP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15,469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80" w:type="dxa"/>
            <w:vAlign w:val="bottom"/>
          </w:tcPr>
          <w:p>
            <w:pPr>
              <w:spacing w:after="0"/>
              <w:rPr>
                <w:sz w:val="20"/>
                <w:szCs w:val="20"/>
                <w:color w:val="auto"/>
              </w:rPr>
            </w:pPr>
            <w:r>
              <w:rPr>
                <w:rFonts w:ascii="Arial" w:cs="Arial" w:eastAsia="Arial" w:hAnsi="Arial"/>
                <w:sz w:val="13"/>
                <w:szCs w:val="13"/>
                <w:color w:val="auto"/>
              </w:rPr>
              <w:t>Weighted average shares for diluted earnings per share</w:t>
            </w:r>
          </w:p>
        </w:tc>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83,438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83,645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880" w:type="dxa"/>
            <w:vAlign w:val="bottom"/>
          </w:tcPr>
          <w:p>
            <w:pPr>
              <w:spacing w:after="0"/>
              <w:rPr>
                <w:sz w:val="20"/>
                <w:szCs w:val="20"/>
                <w:color w:val="auto"/>
              </w:rPr>
            </w:pPr>
            <w:r>
              <w:rPr>
                <w:rFonts w:ascii="Arial" w:cs="Arial" w:eastAsia="Arial" w:hAnsi="Arial"/>
                <w:sz w:val="13"/>
                <w:szCs w:val="13"/>
                <w:color w:val="auto"/>
              </w:rPr>
              <w:t xml:space="preserve">Net Earnings per share - basic and diluted </w:t>
            </w:r>
            <w:r>
              <w:rPr>
                <w:rFonts w:ascii="Arial" w:cs="Arial" w:eastAsia="Arial" w:hAnsi="Arial"/>
                <w:sz w:val="17"/>
                <w:szCs w:val="17"/>
                <w:color w:val="auto"/>
                <w:vertAlign w:val="superscript"/>
              </w:rPr>
              <w:t>(b)</w:t>
            </w:r>
          </w:p>
        </w:tc>
        <w:tc>
          <w:tcPr>
            <w:tcW w:w="58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24"/>
                <w:szCs w:val="24"/>
                <w:color w:val="auto"/>
              </w:rPr>
            </w:pP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0.18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40"/>
          </w:cols>
          <w:pgMar w:left="240" w:top="492" w:right="2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ACADIA REALTY TRUST AND SUBSIDIARIES</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 xml:space="preserve">Reconciliation of Consolidated Net Income to Funds From Operations </w:t>
      </w:r>
      <w:r>
        <w:rPr>
          <w:rFonts w:ascii="Arial" w:cs="Arial" w:eastAsia="Arial" w:hAnsi="Arial"/>
          <w:sz w:val="20"/>
          <w:szCs w:val="20"/>
          <w:b w:val="1"/>
          <w:bCs w:val="1"/>
          <w:color w:val="auto"/>
          <w:vertAlign w:val="superscript"/>
        </w:rPr>
        <w:t>(a, c)</w:t>
      </w:r>
    </w:p>
    <w:p>
      <w:pPr>
        <w:jc w:val="center"/>
        <w:ind w:right="20"/>
        <w:spacing w:after="0"/>
        <w:rPr>
          <w:sz w:val="20"/>
          <w:szCs w:val="20"/>
          <w:color w:val="auto"/>
        </w:rPr>
      </w:pPr>
      <w:r>
        <w:rPr>
          <w:rFonts w:ascii="Arial" w:cs="Arial" w:eastAsia="Arial" w:hAnsi="Arial"/>
          <w:sz w:val="13"/>
          <w:szCs w:val="13"/>
          <w:i w:val="1"/>
          <w:iCs w:val="1"/>
          <w:color w:val="auto"/>
        </w:rPr>
        <w:t>(dollars and Common Shares and Units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20" w:type="dxa"/>
            <w:vAlign w:val="bottom"/>
          </w:tcPr>
          <w:p>
            <w:pPr>
              <w:spacing w:after="0"/>
              <w:rPr>
                <w:sz w:val="14"/>
                <w:szCs w:val="14"/>
                <w:color w:val="auto"/>
              </w:rPr>
            </w:pPr>
          </w:p>
        </w:tc>
        <w:tc>
          <w:tcPr>
            <w:tcW w:w="2760" w:type="dxa"/>
            <w:vAlign w:val="bottom"/>
            <w:gridSpan w:val="4"/>
          </w:tcPr>
          <w:p>
            <w:pPr>
              <w:jc w:val="right"/>
              <w:ind w:right="114"/>
              <w:spacing w:after="0"/>
              <w:rPr>
                <w:sz w:val="20"/>
                <w:szCs w:val="20"/>
                <w:color w:val="auto"/>
              </w:rPr>
            </w:pPr>
            <w:r>
              <w:rPr>
                <w:rFonts w:ascii="Arial" w:cs="Arial" w:eastAsia="Arial" w:hAnsi="Arial"/>
                <w:sz w:val="13"/>
                <w:szCs w:val="13"/>
                <w:b w:val="1"/>
                <w:bCs w:val="1"/>
                <w:color w:val="auto"/>
              </w:rPr>
              <w:t>Three Months Ended March 31,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12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b w:val="1"/>
                <w:bCs w:val="1"/>
                <w:color w:val="auto"/>
              </w:rPr>
              <w:t>2018</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4"/>
              <w:spacing w:after="0"/>
              <w:rPr>
                <w:sz w:val="20"/>
                <w:szCs w:val="20"/>
                <w:color w:val="auto"/>
              </w:rPr>
            </w:pPr>
            <w:r>
              <w:rPr>
                <w:rFonts w:ascii="Arial" w:cs="Arial" w:eastAsia="Arial" w:hAnsi="Arial"/>
                <w:sz w:val="13"/>
                <w:szCs w:val="13"/>
                <w:b w:val="1"/>
                <w:bCs w:val="1"/>
                <w:color w:val="auto"/>
              </w:rPr>
              <w:t>2017</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1"/>
        </w:trPr>
        <w:tc>
          <w:tcPr>
            <w:tcW w:w="8120" w:type="dxa"/>
            <w:vAlign w:val="bottom"/>
          </w:tcPr>
          <w:p>
            <w:pPr>
              <w:spacing w:after="0"/>
              <w:rPr>
                <w:sz w:val="20"/>
                <w:szCs w:val="20"/>
                <w:color w:val="auto"/>
              </w:rPr>
            </w:pPr>
            <w:r>
              <w:rPr>
                <w:rFonts w:ascii="Arial" w:cs="Arial" w:eastAsia="Arial" w:hAnsi="Arial"/>
                <w:sz w:val="13"/>
                <w:szCs w:val="13"/>
                <w:color w:val="auto"/>
              </w:rPr>
              <w:t>Net income attributable to Acadia</w:t>
            </w:r>
          </w:p>
        </w:tc>
        <w:tc>
          <w:tcPr>
            <w:tcW w:w="1040" w:type="dxa"/>
            <w:vAlign w:val="bottom"/>
          </w:tcPr>
          <w:p>
            <w:pPr>
              <w:jc w:val="right"/>
              <w:ind w:right="874"/>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7,419</w:t>
            </w:r>
          </w:p>
        </w:tc>
        <w:tc>
          <w:tcPr>
            <w:tcW w:w="120" w:type="dxa"/>
            <w:vAlign w:val="bottom"/>
          </w:tcPr>
          <w:p>
            <w:pPr>
              <w:spacing w:after="0"/>
              <w:rPr>
                <w:sz w:val="24"/>
                <w:szCs w:val="24"/>
                <w:color w:val="auto"/>
              </w:rPr>
            </w:pPr>
          </w:p>
        </w:tc>
        <w:tc>
          <w:tcPr>
            <w:tcW w:w="1020" w:type="dxa"/>
            <w:vAlign w:val="bottom"/>
          </w:tcPr>
          <w:p>
            <w:pPr>
              <w:jc w:val="right"/>
              <w:ind w:right="87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15,631</w:t>
            </w:r>
          </w:p>
        </w:tc>
        <w:tc>
          <w:tcPr>
            <w:tcW w:w="0" w:type="dxa"/>
            <w:vAlign w:val="bottom"/>
          </w:tcPr>
          <w:p>
            <w:pPr>
              <w:spacing w:after="0"/>
              <w:rPr>
                <w:sz w:val="1"/>
                <w:szCs w:val="1"/>
                <w:color w:val="auto"/>
              </w:rPr>
            </w:pPr>
          </w:p>
        </w:tc>
      </w:tr>
      <w:tr>
        <w:trPr>
          <w:trHeight w:val="437"/>
        </w:trPr>
        <w:tc>
          <w:tcPr>
            <w:tcW w:w="8120" w:type="dxa"/>
            <w:vAlign w:val="bottom"/>
          </w:tcPr>
          <w:p>
            <w:pPr>
              <w:spacing w:after="0"/>
              <w:rPr>
                <w:sz w:val="20"/>
                <w:szCs w:val="20"/>
                <w:color w:val="auto"/>
              </w:rPr>
            </w:pPr>
            <w:r>
              <w:rPr>
                <w:rFonts w:ascii="Arial" w:cs="Arial" w:eastAsia="Arial" w:hAnsi="Arial"/>
                <w:sz w:val="13"/>
                <w:szCs w:val="13"/>
                <w:color w:val="auto"/>
              </w:rPr>
              <w:t>Depreciation of real estate and amortization of leasing costs (net of noncontrolling interests' share)</w:t>
            </w:r>
          </w:p>
        </w:tc>
        <w:tc>
          <w:tcPr>
            <w:tcW w:w="1040" w:type="dxa"/>
            <w:vAlign w:val="bottom"/>
          </w:tcPr>
          <w:p>
            <w:pPr>
              <w:spacing w:after="0"/>
              <w:rPr>
                <w:sz w:val="24"/>
                <w:szCs w:val="24"/>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21,085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21,533</w:t>
            </w:r>
          </w:p>
        </w:tc>
        <w:tc>
          <w:tcPr>
            <w:tcW w:w="0" w:type="dxa"/>
            <w:vAlign w:val="bottom"/>
          </w:tcPr>
          <w:p>
            <w:pPr>
              <w:spacing w:after="0"/>
              <w:rPr>
                <w:sz w:val="1"/>
                <w:szCs w:val="1"/>
                <w:color w:val="auto"/>
              </w:rPr>
            </w:pPr>
          </w:p>
        </w:tc>
      </w:tr>
      <w:tr>
        <w:trPr>
          <w:trHeight w:val="437"/>
        </w:trPr>
        <w:tc>
          <w:tcPr>
            <w:tcW w:w="8120" w:type="dxa"/>
            <w:vAlign w:val="bottom"/>
          </w:tcPr>
          <w:p>
            <w:pPr>
              <w:spacing w:after="0"/>
              <w:rPr>
                <w:sz w:val="20"/>
                <w:szCs w:val="20"/>
                <w:color w:val="auto"/>
              </w:rPr>
            </w:pPr>
            <w:r>
              <w:rPr>
                <w:rFonts w:ascii="Arial" w:cs="Arial" w:eastAsia="Arial" w:hAnsi="Arial"/>
                <w:sz w:val="13"/>
                <w:szCs w:val="13"/>
                <w:color w:val="auto"/>
              </w:rPr>
              <w:t>Gain on sale (net of noncontrolling interests’ share)</w:t>
            </w:r>
          </w:p>
        </w:tc>
        <w:tc>
          <w:tcPr>
            <w:tcW w:w="104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(2,742)</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Income attributable to Common OP Unit holders</w:t>
            </w:r>
          </w:p>
        </w:tc>
        <w:tc>
          <w:tcPr>
            <w:tcW w:w="1040" w:type="dxa"/>
            <w:vAlign w:val="bottom"/>
          </w:tcPr>
          <w:p>
            <w:pPr>
              <w:spacing w:after="0"/>
              <w:rPr>
                <w:sz w:val="19"/>
                <w:szCs w:val="19"/>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477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923</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Distributions - Preferred OP Units</w:t>
            </w:r>
          </w:p>
        </w:tc>
        <w:tc>
          <w:tcPr>
            <w:tcW w:w="1040" w:type="dxa"/>
            <w:vAlign w:val="bottom"/>
          </w:tcPr>
          <w:p>
            <w:pPr>
              <w:spacing w:after="0"/>
              <w:rPr>
                <w:sz w:val="19"/>
                <w:szCs w:val="19"/>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28"/>
        </w:trPr>
        <w:tc>
          <w:tcPr>
            <w:tcW w:w="8120" w:type="dxa"/>
            <w:vAlign w:val="bottom"/>
            <w:vMerge w:val="restart"/>
          </w:tcPr>
          <w:p>
            <w:pPr>
              <w:spacing w:after="0"/>
              <w:rPr>
                <w:sz w:val="20"/>
                <w:szCs w:val="20"/>
                <w:color w:val="auto"/>
              </w:rPr>
            </w:pPr>
            <w:r>
              <w:rPr>
                <w:rFonts w:ascii="Arial" w:cs="Arial" w:eastAsia="Arial" w:hAnsi="Arial"/>
                <w:sz w:val="13"/>
                <w:szCs w:val="13"/>
                <w:color w:val="auto"/>
              </w:rPr>
              <w:t>Funds from operations attributable to Common Shareholders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20" w:type="dxa"/>
            <w:vAlign w:val="bottom"/>
            <w:vMerge w:val="continue"/>
          </w:tcPr>
          <w:p>
            <w:pPr>
              <w:spacing w:after="0"/>
              <w:rPr>
                <w:sz w:val="13"/>
                <w:szCs w:val="13"/>
                <w:color w:val="auto"/>
              </w:rPr>
            </w:pPr>
          </w:p>
        </w:tc>
        <w:tc>
          <w:tcPr>
            <w:tcW w:w="1040" w:type="dxa"/>
            <w:vAlign w:val="bottom"/>
            <w:vMerge w:val="restart"/>
          </w:tcPr>
          <w:p>
            <w:pPr>
              <w:jc w:val="right"/>
              <w:ind w:right="874"/>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54"/>
              <w:spacing w:after="0"/>
              <w:rPr>
                <w:sz w:val="20"/>
                <w:szCs w:val="20"/>
                <w:color w:val="auto"/>
              </w:rPr>
            </w:pPr>
            <w:r>
              <w:rPr>
                <w:rFonts w:ascii="Arial" w:cs="Arial" w:eastAsia="Arial" w:hAnsi="Arial"/>
                <w:sz w:val="13"/>
                <w:szCs w:val="13"/>
                <w:color w:val="auto"/>
              </w:rPr>
              <w:t>29,116</w:t>
            </w:r>
          </w:p>
        </w:tc>
        <w:tc>
          <w:tcPr>
            <w:tcW w:w="120" w:type="dxa"/>
            <w:vAlign w:val="bottom"/>
          </w:tcPr>
          <w:p>
            <w:pPr>
              <w:spacing w:after="0"/>
              <w:rPr>
                <w:sz w:val="13"/>
                <w:szCs w:val="13"/>
                <w:color w:val="auto"/>
              </w:rPr>
            </w:pPr>
          </w:p>
        </w:tc>
        <w:tc>
          <w:tcPr>
            <w:tcW w:w="1020" w:type="dxa"/>
            <w:vAlign w:val="bottom"/>
            <w:vMerge w:val="restart"/>
          </w:tcPr>
          <w:p>
            <w:pPr>
              <w:jc w:val="right"/>
              <w:ind w:right="874"/>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34"/>
              <w:spacing w:after="0"/>
              <w:rPr>
                <w:sz w:val="20"/>
                <w:szCs w:val="20"/>
                <w:color w:val="auto"/>
              </w:rPr>
            </w:pPr>
            <w:r>
              <w:rPr>
                <w:rFonts w:ascii="Arial" w:cs="Arial" w:eastAsia="Arial" w:hAnsi="Arial"/>
                <w:sz w:val="13"/>
                <w:szCs w:val="13"/>
                <w:color w:val="auto"/>
              </w:rPr>
              <w:t>35,484</w:t>
            </w:r>
          </w:p>
        </w:tc>
        <w:tc>
          <w:tcPr>
            <w:tcW w:w="0" w:type="dxa"/>
            <w:vAlign w:val="bottom"/>
          </w:tcPr>
          <w:p>
            <w:pPr>
              <w:spacing w:after="0"/>
              <w:rPr>
                <w:sz w:val="1"/>
                <w:szCs w:val="1"/>
                <w:color w:val="auto"/>
              </w:rPr>
            </w:pPr>
          </w:p>
        </w:tc>
      </w:tr>
      <w:tr>
        <w:trPr>
          <w:trHeight w:val="177"/>
        </w:trPr>
        <w:tc>
          <w:tcPr>
            <w:tcW w:w="8120" w:type="dxa"/>
            <w:vAlign w:val="bottom"/>
          </w:tcPr>
          <w:p>
            <w:pPr>
              <w:ind w:left="100"/>
              <w:spacing w:after="0"/>
              <w:rPr>
                <w:sz w:val="20"/>
                <w:szCs w:val="20"/>
                <w:color w:val="auto"/>
              </w:rPr>
            </w:pPr>
            <w:r>
              <w:rPr>
                <w:rFonts w:ascii="Arial" w:cs="Arial" w:eastAsia="Arial" w:hAnsi="Arial"/>
                <w:sz w:val="13"/>
                <w:szCs w:val="13"/>
                <w:color w:val="auto"/>
              </w:rPr>
              <w:t>and Common OP Unit holders</w:t>
            </w:r>
          </w:p>
        </w:tc>
        <w:tc>
          <w:tcPr>
            <w:tcW w:w="10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2840"/>
              <w:spacing w:after="0"/>
              <w:rPr>
                <w:sz w:val="20"/>
                <w:szCs w:val="20"/>
                <w:color w:val="auto"/>
              </w:rPr>
            </w:pPr>
            <w:r>
              <w:rPr>
                <w:rFonts w:ascii="Arial" w:cs="Arial" w:eastAsia="Arial" w:hAnsi="Arial"/>
                <w:sz w:val="13"/>
                <w:szCs w:val="13"/>
                <w:i w:val="1"/>
                <w:iCs w:val="1"/>
                <w:color w:val="auto"/>
              </w:rPr>
              <w:t>Funds From Operations per Share - Diluted</w:t>
            </w: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81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120" w:type="dxa"/>
            <w:vAlign w:val="bottom"/>
          </w:tcPr>
          <w:p>
            <w:pPr>
              <w:spacing w:after="0"/>
              <w:rPr>
                <w:sz w:val="20"/>
                <w:szCs w:val="20"/>
                <w:color w:val="auto"/>
              </w:rPr>
            </w:pPr>
            <w:r>
              <w:rPr>
                <w:rFonts w:ascii="Arial" w:cs="Arial" w:eastAsia="Arial" w:hAnsi="Arial"/>
                <w:sz w:val="13"/>
                <w:szCs w:val="13"/>
                <w:color w:val="auto"/>
              </w:rPr>
              <w:t xml:space="preserve">Weighted average number of Common Shares and Common OP Units </w:t>
            </w:r>
            <w:r>
              <w:rPr>
                <w:rFonts w:ascii="Arial" w:cs="Arial" w:eastAsia="Arial" w:hAnsi="Arial"/>
                <w:sz w:val="17"/>
                <w:szCs w:val="17"/>
                <w:color w:val="auto"/>
                <w:vertAlign w:val="superscript"/>
              </w:rPr>
              <w:t>(d)</w:t>
            </w: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89,067</w:t>
            </w: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89,024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20" w:type="dxa"/>
            <w:vAlign w:val="bottom"/>
          </w:tcPr>
          <w:p>
            <w:pPr>
              <w:spacing w:after="0"/>
              <w:rPr>
                <w:sz w:val="20"/>
                <w:szCs w:val="20"/>
                <w:color w:val="auto"/>
              </w:rPr>
            </w:pPr>
            <w:r>
              <w:rPr>
                <w:rFonts w:ascii="Arial" w:cs="Arial" w:eastAsia="Arial" w:hAnsi="Arial"/>
                <w:sz w:val="13"/>
                <w:szCs w:val="13"/>
                <w:color w:val="auto"/>
              </w:rPr>
              <w:t>Diluted Funds from operations, per Common Share and Common OP Unit</w:t>
            </w:r>
          </w:p>
        </w:tc>
        <w:tc>
          <w:tcPr>
            <w:tcW w:w="1040" w:type="dxa"/>
            <w:vAlign w:val="bottom"/>
            <w:tcBorders>
              <w:bottom w:val="single" w:sz="8" w:color="auto"/>
            </w:tcBorders>
          </w:tcPr>
          <w:p>
            <w:pPr>
              <w:jc w:val="right"/>
              <w:ind w:right="874"/>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0.33</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40" w:top="492" w:right="2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ACADIA REALTY TRUST AND SUBSIDIARIES</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 xml:space="preserve">Reconciliation of Consolidated Operating Income to Net Property Operating Income (“NOI”) </w:t>
      </w:r>
      <w:r>
        <w:rPr>
          <w:rFonts w:ascii="Arial" w:cs="Arial" w:eastAsia="Arial" w:hAnsi="Arial"/>
          <w:sz w:val="20"/>
          <w:szCs w:val="20"/>
          <w:b w:val="1"/>
          <w:bCs w:val="1"/>
          <w:color w:val="auto"/>
          <w:vertAlign w:val="superscript"/>
        </w:rPr>
        <w:t>(a)</w:t>
      </w:r>
    </w:p>
    <w:p>
      <w:pPr>
        <w:jc w:val="center"/>
        <w:ind w:right="20"/>
        <w:spacing w:after="0"/>
        <w:rPr>
          <w:sz w:val="20"/>
          <w:szCs w:val="20"/>
          <w:color w:val="auto"/>
        </w:rPr>
      </w:pPr>
      <w:r>
        <w:rPr>
          <w:rFonts w:ascii="Arial" w:cs="Arial" w:eastAsia="Arial" w:hAnsi="Arial"/>
          <w:sz w:val="13"/>
          <w:szCs w:val="13"/>
          <w:i w:val="1"/>
          <w:i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20" w:type="dxa"/>
            <w:vAlign w:val="bottom"/>
          </w:tcPr>
          <w:p>
            <w:pPr>
              <w:spacing w:after="0"/>
              <w:rPr>
                <w:sz w:val="14"/>
                <w:szCs w:val="14"/>
                <w:color w:val="auto"/>
              </w:rPr>
            </w:pPr>
          </w:p>
        </w:tc>
        <w:tc>
          <w:tcPr>
            <w:tcW w:w="2760" w:type="dxa"/>
            <w:vAlign w:val="bottom"/>
            <w:gridSpan w:val="4"/>
          </w:tcPr>
          <w:p>
            <w:pPr>
              <w:jc w:val="right"/>
              <w:ind w:right="114"/>
              <w:spacing w:after="0"/>
              <w:rPr>
                <w:sz w:val="20"/>
                <w:szCs w:val="20"/>
                <w:color w:val="auto"/>
              </w:rPr>
            </w:pPr>
            <w:r>
              <w:rPr>
                <w:rFonts w:ascii="Arial" w:cs="Arial" w:eastAsia="Arial" w:hAnsi="Arial"/>
                <w:sz w:val="13"/>
                <w:szCs w:val="13"/>
                <w:b w:val="1"/>
                <w:bCs w:val="1"/>
                <w:color w:val="auto"/>
              </w:rPr>
              <w:t>Three Months Ended March 31,</w:t>
            </w:r>
          </w:p>
        </w:tc>
        <w:tc>
          <w:tcPr>
            <w:tcW w:w="560" w:type="dxa"/>
            <w:vAlign w:val="bottom"/>
          </w:tcPr>
          <w:p>
            <w:pPr>
              <w:spacing w:after="0"/>
              <w:rPr>
                <w:sz w:val="14"/>
                <w:szCs w:val="14"/>
                <w:color w:val="auto"/>
              </w:rPr>
            </w:pPr>
          </w:p>
        </w:tc>
      </w:tr>
      <w:tr>
        <w:trPr>
          <w:trHeight w:val="28"/>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2"/>
        </w:trPr>
        <w:tc>
          <w:tcPr>
            <w:tcW w:w="812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b w:val="1"/>
                <w:bCs w:val="1"/>
                <w:color w:val="auto"/>
              </w:rPr>
              <w:t>2018</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4"/>
              <w:spacing w:after="0"/>
              <w:rPr>
                <w:sz w:val="20"/>
                <w:szCs w:val="20"/>
                <w:color w:val="auto"/>
              </w:rPr>
            </w:pPr>
            <w:r>
              <w:rPr>
                <w:rFonts w:ascii="Arial" w:cs="Arial" w:eastAsia="Arial" w:hAnsi="Arial"/>
                <w:sz w:val="13"/>
                <w:szCs w:val="13"/>
                <w:b w:val="1"/>
                <w:bCs w:val="1"/>
                <w:color w:val="auto"/>
              </w:rPr>
              <w:t>2017</w:t>
            </w:r>
          </w:p>
        </w:tc>
        <w:tc>
          <w:tcPr>
            <w:tcW w:w="560" w:type="dxa"/>
            <w:vAlign w:val="bottom"/>
          </w:tcPr>
          <w:p>
            <w:pPr>
              <w:spacing w:after="0"/>
              <w:rPr>
                <w:sz w:val="15"/>
                <w:szCs w:val="15"/>
                <w:color w:val="auto"/>
              </w:rPr>
            </w:pPr>
          </w:p>
        </w:tc>
      </w:tr>
      <w:tr>
        <w:trPr>
          <w:trHeight w:val="28"/>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422"/>
        </w:trPr>
        <w:tc>
          <w:tcPr>
            <w:tcW w:w="8120" w:type="dxa"/>
            <w:vAlign w:val="bottom"/>
          </w:tcPr>
          <w:p>
            <w:pPr>
              <w:spacing w:after="0"/>
              <w:rPr>
                <w:sz w:val="20"/>
                <w:szCs w:val="20"/>
                <w:color w:val="auto"/>
              </w:rPr>
            </w:pPr>
            <w:r>
              <w:rPr>
                <w:rFonts w:ascii="Arial" w:cs="Arial" w:eastAsia="Arial" w:hAnsi="Arial"/>
                <w:sz w:val="13"/>
                <w:szCs w:val="13"/>
                <w:color w:val="auto"/>
              </w:rPr>
              <w:t>Consolidated operating income</w:t>
            </w:r>
          </w:p>
        </w:tc>
        <w:tc>
          <w:tcPr>
            <w:tcW w:w="1040" w:type="dxa"/>
            <w:vAlign w:val="bottom"/>
          </w:tcPr>
          <w:p>
            <w:pPr>
              <w:jc w:val="right"/>
              <w:ind w:right="874"/>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6,701</w:t>
            </w:r>
          </w:p>
        </w:tc>
        <w:tc>
          <w:tcPr>
            <w:tcW w:w="120" w:type="dxa"/>
            <w:vAlign w:val="bottom"/>
          </w:tcPr>
          <w:p>
            <w:pPr>
              <w:spacing w:after="0"/>
              <w:rPr>
                <w:sz w:val="24"/>
                <w:szCs w:val="24"/>
                <w:color w:val="auto"/>
              </w:rPr>
            </w:pPr>
          </w:p>
        </w:tc>
        <w:tc>
          <w:tcPr>
            <w:tcW w:w="1020" w:type="dxa"/>
            <w:vAlign w:val="bottom"/>
          </w:tcPr>
          <w:p>
            <w:pPr>
              <w:jc w:val="right"/>
              <w:ind w:right="87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9,897</w:t>
            </w: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Add back:</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9"/>
        </w:trPr>
        <w:tc>
          <w:tcPr>
            <w:tcW w:w="8120" w:type="dxa"/>
            <w:vAlign w:val="bottom"/>
          </w:tcPr>
          <w:p>
            <w:pPr>
              <w:ind w:left="80"/>
              <w:spacing w:after="0"/>
              <w:rPr>
                <w:sz w:val="20"/>
                <w:szCs w:val="20"/>
                <w:color w:val="auto"/>
              </w:rPr>
            </w:pPr>
            <w:r>
              <w:rPr>
                <w:rFonts w:ascii="Arial" w:cs="Arial" w:eastAsia="Arial" w:hAnsi="Arial"/>
                <w:sz w:val="13"/>
                <w:szCs w:val="13"/>
                <w:color w:val="auto"/>
              </w:rPr>
              <w:t>General and administrative</w:t>
            </w:r>
          </w:p>
        </w:tc>
        <w:tc>
          <w:tcPr>
            <w:tcW w:w="1040" w:type="dxa"/>
            <w:vAlign w:val="bottom"/>
          </w:tcPr>
          <w:p>
            <w:pPr>
              <w:spacing w:after="0"/>
              <w:rPr>
                <w:sz w:val="19"/>
                <w:szCs w:val="19"/>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8,470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8,469</w:t>
            </w:r>
          </w:p>
        </w:tc>
      </w:tr>
      <w:tr>
        <w:trPr>
          <w:trHeight w:val="219"/>
        </w:trPr>
        <w:tc>
          <w:tcPr>
            <w:tcW w:w="8120" w:type="dxa"/>
            <w:vAlign w:val="bottom"/>
          </w:tcPr>
          <w:p>
            <w:pPr>
              <w:ind w:left="80"/>
              <w:spacing w:after="0"/>
              <w:rPr>
                <w:sz w:val="20"/>
                <w:szCs w:val="20"/>
                <w:color w:val="auto"/>
              </w:rPr>
            </w:pPr>
            <w:r>
              <w:rPr>
                <w:rFonts w:ascii="Arial" w:cs="Arial" w:eastAsia="Arial" w:hAnsi="Arial"/>
                <w:sz w:val="13"/>
                <w:szCs w:val="13"/>
                <w:color w:val="auto"/>
              </w:rPr>
              <w:t>Depreciation and amortization</w:t>
            </w:r>
          </w:p>
        </w:tc>
        <w:tc>
          <w:tcPr>
            <w:tcW w:w="1040" w:type="dxa"/>
            <w:vAlign w:val="bottom"/>
          </w:tcPr>
          <w:p>
            <w:pPr>
              <w:spacing w:after="0"/>
              <w:rPr>
                <w:sz w:val="19"/>
                <w:szCs w:val="19"/>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28,576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24,536</w:t>
            </w: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Less: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Above/below market rent, straight-line rent and other adjustments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(5,527)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(5,987)</w:t>
            </w:r>
          </w:p>
        </w:tc>
      </w:tr>
      <w:tr>
        <w:trPr>
          <w:trHeight w:val="28"/>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1"/>
        </w:trPr>
        <w:tc>
          <w:tcPr>
            <w:tcW w:w="8120" w:type="dxa"/>
            <w:vAlign w:val="bottom"/>
          </w:tcPr>
          <w:p>
            <w:pPr>
              <w:spacing w:after="0"/>
              <w:rPr>
                <w:sz w:val="20"/>
                <w:szCs w:val="20"/>
                <w:color w:val="auto"/>
              </w:rPr>
            </w:pPr>
            <w:r>
              <w:rPr>
                <w:rFonts w:ascii="Arial" w:cs="Arial" w:eastAsia="Arial" w:hAnsi="Arial"/>
                <w:sz w:val="13"/>
                <w:szCs w:val="13"/>
                <w:color w:val="auto"/>
              </w:rPr>
              <w:t>Consolidated NOI</w:t>
            </w:r>
          </w:p>
        </w:tc>
        <w:tc>
          <w:tcPr>
            <w:tcW w:w="104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3"/>
                <w:szCs w:val="13"/>
                <w:color w:val="auto"/>
              </w:rPr>
              <w:t>38,220</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36,915</w:t>
            </w:r>
          </w:p>
        </w:tc>
      </w:tr>
      <w:tr>
        <w:trPr>
          <w:trHeight w:val="459"/>
        </w:trPr>
        <w:tc>
          <w:tcPr>
            <w:tcW w:w="8120" w:type="dxa"/>
            <w:vAlign w:val="bottom"/>
          </w:tcPr>
          <w:p>
            <w:pPr>
              <w:spacing w:after="0"/>
              <w:rPr>
                <w:sz w:val="20"/>
                <w:szCs w:val="20"/>
                <w:color w:val="auto"/>
              </w:rPr>
            </w:pPr>
            <w:r>
              <w:rPr>
                <w:rFonts w:ascii="Arial" w:cs="Arial" w:eastAsia="Arial" w:hAnsi="Arial"/>
                <w:sz w:val="13"/>
                <w:szCs w:val="13"/>
                <w:color w:val="auto"/>
              </w:rPr>
              <w:t>Noncontrolling interest in consolidated NOI</w:t>
            </w:r>
          </w:p>
        </w:tc>
        <w:tc>
          <w:tcPr>
            <w:tcW w:w="10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(8,627)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(6,539)</w:t>
            </w: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Less: Operating Partnership's interest in Fund NOI included above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(2,157)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(1,947)</w:t>
            </w:r>
          </w:p>
        </w:tc>
      </w:tr>
      <w:tr>
        <w:trPr>
          <w:trHeight w:val="246"/>
        </w:trPr>
        <w:tc>
          <w:tcPr>
            <w:tcW w:w="8120" w:type="dxa"/>
            <w:vAlign w:val="bottom"/>
          </w:tcPr>
          <w:p>
            <w:pPr>
              <w:spacing w:after="0"/>
              <w:rPr>
                <w:sz w:val="20"/>
                <w:szCs w:val="20"/>
                <w:color w:val="auto"/>
              </w:rPr>
            </w:pPr>
            <w:r>
              <w:rPr>
                <w:rFonts w:ascii="Arial" w:cs="Arial" w:eastAsia="Arial" w:hAnsi="Arial"/>
                <w:sz w:val="13"/>
                <w:szCs w:val="13"/>
                <w:color w:val="auto"/>
              </w:rPr>
              <w:t xml:space="preserve">Add: Operating Partnership's share of unconsolidated joint ventures NOI </w:t>
            </w:r>
            <w:r>
              <w:rPr>
                <w:rFonts w:ascii="Arial" w:cs="Arial" w:eastAsia="Arial" w:hAnsi="Arial"/>
                <w:sz w:val="17"/>
                <w:szCs w:val="17"/>
                <w:color w:val="auto"/>
                <w:vertAlign w:val="superscript"/>
              </w:rPr>
              <w:t>(e)</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5,648</w:t>
            </w:r>
          </w:p>
        </w:tc>
        <w:tc>
          <w:tcPr>
            <w:tcW w:w="1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4,707</w:t>
            </w:r>
          </w:p>
        </w:tc>
      </w:tr>
      <w:tr>
        <w:trPr>
          <w:trHeight w:val="190"/>
        </w:trPr>
        <w:tc>
          <w:tcPr>
            <w:tcW w:w="8120" w:type="dxa"/>
            <w:vAlign w:val="bottom"/>
          </w:tcPr>
          <w:p>
            <w:pPr>
              <w:spacing w:after="0"/>
              <w:rPr>
                <w:sz w:val="20"/>
                <w:szCs w:val="20"/>
                <w:color w:val="auto"/>
              </w:rPr>
            </w:pPr>
            <w:r>
              <w:rPr>
                <w:rFonts w:ascii="Arial" w:cs="Arial" w:eastAsia="Arial" w:hAnsi="Arial"/>
                <w:sz w:val="13"/>
                <w:szCs w:val="13"/>
                <w:color w:val="auto"/>
              </w:rPr>
              <w:t>NOI - Core Portfolio</w:t>
            </w:r>
          </w:p>
        </w:tc>
        <w:tc>
          <w:tcPr>
            <w:tcW w:w="1040" w:type="dxa"/>
            <w:vAlign w:val="bottom"/>
            <w:tcBorders>
              <w:bottom w:val="single" w:sz="8" w:color="auto"/>
            </w:tcBorders>
          </w:tcPr>
          <w:p>
            <w:pPr>
              <w:jc w:val="right"/>
              <w:ind w:right="874"/>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33,084</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874"/>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33,136</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492"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ACADIA REALTY TRUST AND SUBSIDIARIES</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 xml:space="preserve">Consolidated Balance Sheets </w:t>
      </w:r>
      <w:r>
        <w:rPr>
          <w:rFonts w:ascii="Arial" w:cs="Arial" w:eastAsia="Arial" w:hAnsi="Arial"/>
          <w:sz w:val="20"/>
          <w:szCs w:val="20"/>
          <w:b w:val="1"/>
          <w:bCs w:val="1"/>
          <w:color w:val="auto"/>
          <w:vertAlign w:val="superscript"/>
        </w:rPr>
        <w:t>(a)</w:t>
      </w:r>
    </w:p>
    <w:p>
      <w:pPr>
        <w:jc w:val="center"/>
        <w:ind w:right="20"/>
        <w:spacing w:after="0"/>
        <w:rPr>
          <w:sz w:val="20"/>
          <w:szCs w:val="20"/>
          <w:color w:val="auto"/>
        </w:rPr>
      </w:pPr>
      <w:r>
        <w:rPr>
          <w:rFonts w:ascii="Arial" w:cs="Arial" w:eastAsia="Arial" w:hAnsi="Arial"/>
          <w:sz w:val="13"/>
          <w:szCs w:val="13"/>
          <w:i w:val="1"/>
          <w:i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As of</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8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2018</w:t>
            </w:r>
          </w:p>
        </w:tc>
        <w:tc>
          <w:tcPr>
            <w:tcW w:w="180" w:type="dxa"/>
            <w:vAlign w:val="bottom"/>
          </w:tcPr>
          <w:p>
            <w:pPr>
              <w:spacing w:after="0"/>
              <w:rPr>
                <w:sz w:val="15"/>
                <w:szCs w:val="15"/>
                <w:color w:val="auto"/>
              </w:rPr>
            </w:pPr>
          </w:p>
        </w:tc>
        <w:tc>
          <w:tcPr>
            <w:tcW w:w="1400" w:type="dxa"/>
            <w:vAlign w:val="bottom"/>
          </w:tcPr>
          <w:p>
            <w:pPr>
              <w:jc w:val="right"/>
              <w:ind w:right="194"/>
              <w:spacing w:after="0"/>
              <w:rPr>
                <w:sz w:val="20"/>
                <w:szCs w:val="20"/>
                <w:color w:val="auto"/>
              </w:rPr>
            </w:pPr>
            <w:r>
              <w:rPr>
                <w:rFonts w:ascii="Arial" w:cs="Arial" w:eastAsia="Arial" w:hAnsi="Arial"/>
                <w:sz w:val="13"/>
                <w:szCs w:val="13"/>
                <w:b w:val="1"/>
                <w:bCs w:val="1"/>
                <w:color w:val="auto"/>
                <w:w w:val="95"/>
              </w:rPr>
              <w:t>December 31, 2017</w:t>
            </w:r>
          </w:p>
        </w:tc>
        <w:tc>
          <w:tcPr>
            <w:tcW w:w="0" w:type="dxa"/>
            <w:vAlign w:val="bottom"/>
          </w:tcPr>
          <w:p>
            <w:pPr>
              <w:spacing w:after="0"/>
              <w:rPr>
                <w:sz w:val="1"/>
                <w:szCs w:val="1"/>
                <w:color w:val="auto"/>
              </w:rPr>
            </w:pPr>
          </w:p>
        </w:tc>
      </w:tr>
      <w:tr>
        <w:trPr>
          <w:trHeight w:val="28"/>
        </w:trPr>
        <w:tc>
          <w:tcPr>
            <w:tcW w:w="8120" w:type="dxa"/>
            <w:vAlign w:val="bottom"/>
            <w:vMerge w:val="restart"/>
          </w:tcPr>
          <w:p>
            <w:pPr>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Investments in real estate, at cost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Land</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667,847</w:t>
            </w:r>
          </w:p>
        </w:tc>
        <w:tc>
          <w:tcPr>
            <w:tcW w:w="120" w:type="dxa"/>
            <w:vAlign w:val="bottom"/>
          </w:tcPr>
          <w:p>
            <w:pPr>
              <w:spacing w:after="0"/>
              <w:rPr>
                <w:sz w:val="19"/>
                <w:szCs w:val="19"/>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658,835</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Buildings and improvements</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2,581,553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2,538,338</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Construction in progress</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21,060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18,642</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Properties under capital lease</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76,965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76,965</w:t>
            </w:r>
          </w:p>
        </w:tc>
        <w:tc>
          <w:tcPr>
            <w:tcW w:w="0" w:type="dxa"/>
            <w:vAlign w:val="bottom"/>
          </w:tcPr>
          <w:p>
            <w:pPr>
              <w:spacing w:after="0"/>
              <w:rPr>
                <w:sz w:val="1"/>
                <w:szCs w:val="1"/>
                <w:color w:val="auto"/>
              </w:rPr>
            </w:pPr>
          </w:p>
        </w:tc>
      </w:tr>
      <w:tr>
        <w:trPr>
          <w:trHeight w:val="38"/>
        </w:trPr>
        <w:tc>
          <w:tcPr>
            <w:tcW w:w="8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3,347,425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3,292,780</w:t>
            </w:r>
          </w:p>
        </w:tc>
        <w:tc>
          <w:tcPr>
            <w:tcW w:w="0" w:type="dxa"/>
            <w:vAlign w:val="bottom"/>
          </w:tcPr>
          <w:p>
            <w:pPr>
              <w:spacing w:after="0"/>
              <w:rPr>
                <w:sz w:val="1"/>
                <w:szCs w:val="1"/>
                <w:color w:val="auto"/>
              </w:rPr>
            </w:pPr>
          </w:p>
        </w:tc>
      </w:tr>
      <w:tr>
        <w:trPr>
          <w:trHeight w:val="208"/>
        </w:trPr>
        <w:tc>
          <w:tcPr>
            <w:tcW w:w="8120" w:type="dxa"/>
            <w:vAlign w:val="bottom"/>
          </w:tcPr>
          <w:p>
            <w:pPr>
              <w:spacing w:after="0"/>
              <w:rPr>
                <w:sz w:val="20"/>
                <w:szCs w:val="20"/>
                <w:color w:val="auto"/>
              </w:rPr>
            </w:pPr>
            <w:r>
              <w:rPr>
                <w:rFonts w:ascii="Arial" w:cs="Arial" w:eastAsia="Arial" w:hAnsi="Arial"/>
                <w:sz w:val="13"/>
                <w:szCs w:val="13"/>
                <w:color w:val="auto"/>
              </w:rPr>
              <w:t>Less: accumulated depreciation</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(359,048)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(339,862)</w:t>
            </w:r>
          </w:p>
        </w:tc>
        <w:tc>
          <w:tcPr>
            <w:tcW w:w="0" w:type="dxa"/>
            <w:vAlign w:val="bottom"/>
          </w:tcPr>
          <w:p>
            <w:pPr>
              <w:spacing w:after="0"/>
              <w:rPr>
                <w:sz w:val="1"/>
                <w:szCs w:val="1"/>
                <w:color w:val="auto"/>
              </w:rPr>
            </w:pPr>
          </w:p>
        </w:tc>
      </w:tr>
      <w:tr>
        <w:trPr>
          <w:trHeight w:val="38"/>
        </w:trPr>
        <w:tc>
          <w:tcPr>
            <w:tcW w:w="8120" w:type="dxa"/>
            <w:vAlign w:val="bottom"/>
            <w:vMerge w:val="restart"/>
          </w:tcPr>
          <w:p>
            <w:pPr>
              <w:spacing w:after="0"/>
              <w:rPr>
                <w:sz w:val="20"/>
                <w:szCs w:val="20"/>
                <w:color w:val="auto"/>
              </w:rPr>
            </w:pPr>
            <w:r>
              <w:rPr>
                <w:rFonts w:ascii="Arial" w:cs="Arial" w:eastAsia="Arial" w:hAnsi="Arial"/>
                <w:sz w:val="13"/>
                <w:szCs w:val="13"/>
                <w:color w:val="auto"/>
              </w:rPr>
              <w:t>Operating real estate, net</w:t>
            </w: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2,988,377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2,952,918</w:t>
            </w:r>
          </w:p>
        </w:tc>
        <w:tc>
          <w:tcPr>
            <w:tcW w:w="0" w:type="dxa"/>
            <w:vAlign w:val="bottom"/>
          </w:tcPr>
          <w:p>
            <w:pPr>
              <w:spacing w:after="0"/>
              <w:rPr>
                <w:sz w:val="1"/>
                <w:szCs w:val="1"/>
                <w:color w:val="auto"/>
              </w:rPr>
            </w:pPr>
          </w:p>
        </w:tc>
      </w:tr>
      <w:tr>
        <w:trPr>
          <w:trHeight w:val="208"/>
        </w:trPr>
        <w:tc>
          <w:tcPr>
            <w:tcW w:w="8120" w:type="dxa"/>
            <w:vAlign w:val="bottom"/>
          </w:tcPr>
          <w:p>
            <w:pPr>
              <w:spacing w:after="0"/>
              <w:rPr>
                <w:sz w:val="20"/>
                <w:szCs w:val="20"/>
                <w:color w:val="auto"/>
              </w:rPr>
            </w:pPr>
            <w:r>
              <w:rPr>
                <w:rFonts w:ascii="Arial" w:cs="Arial" w:eastAsia="Arial" w:hAnsi="Arial"/>
                <w:sz w:val="13"/>
                <w:szCs w:val="13"/>
                <w:color w:val="auto"/>
              </w:rPr>
              <w:t>Real estate under development</w:t>
            </w:r>
          </w:p>
        </w:tc>
        <w:tc>
          <w:tcPr>
            <w:tcW w:w="240" w:type="dxa"/>
            <w:vAlign w:val="bottom"/>
          </w:tcPr>
          <w:p>
            <w:pPr>
              <w:spacing w:after="0"/>
              <w:rPr>
                <w:sz w:val="18"/>
                <w:szCs w:val="18"/>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182,380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173,702</w:t>
            </w:r>
          </w:p>
        </w:tc>
        <w:tc>
          <w:tcPr>
            <w:tcW w:w="0" w:type="dxa"/>
            <w:vAlign w:val="bottom"/>
          </w:tcPr>
          <w:p>
            <w:pPr>
              <w:spacing w:after="0"/>
              <w:rPr>
                <w:sz w:val="1"/>
                <w:szCs w:val="1"/>
                <w:color w:val="auto"/>
              </w:rPr>
            </w:pPr>
          </w:p>
        </w:tc>
      </w:tr>
      <w:tr>
        <w:trPr>
          <w:trHeight w:val="38"/>
        </w:trPr>
        <w:tc>
          <w:tcPr>
            <w:tcW w:w="8120" w:type="dxa"/>
            <w:vAlign w:val="bottom"/>
            <w:vMerge w:val="restart"/>
          </w:tcPr>
          <w:p>
            <w:pPr>
              <w:spacing w:after="0"/>
              <w:rPr>
                <w:sz w:val="20"/>
                <w:szCs w:val="20"/>
                <w:color w:val="auto"/>
              </w:rPr>
            </w:pPr>
            <w:r>
              <w:rPr>
                <w:rFonts w:ascii="Arial" w:cs="Arial" w:eastAsia="Arial" w:hAnsi="Arial"/>
                <w:sz w:val="13"/>
                <w:szCs w:val="13"/>
                <w:color w:val="auto"/>
              </w:rPr>
              <w:t>Net investments in real estate</w:t>
            </w: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3,170,757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3,126,620</w:t>
            </w:r>
          </w:p>
        </w:tc>
        <w:tc>
          <w:tcPr>
            <w:tcW w:w="0" w:type="dxa"/>
            <w:vAlign w:val="bottom"/>
          </w:tcPr>
          <w:p>
            <w:pPr>
              <w:spacing w:after="0"/>
              <w:rPr>
                <w:sz w:val="1"/>
                <w:szCs w:val="1"/>
                <w:color w:val="auto"/>
              </w:rPr>
            </w:pPr>
          </w:p>
        </w:tc>
      </w:tr>
      <w:tr>
        <w:trPr>
          <w:trHeight w:val="208"/>
        </w:trPr>
        <w:tc>
          <w:tcPr>
            <w:tcW w:w="8120" w:type="dxa"/>
            <w:vAlign w:val="bottom"/>
          </w:tcPr>
          <w:p>
            <w:pPr>
              <w:spacing w:after="0"/>
              <w:rPr>
                <w:sz w:val="20"/>
                <w:szCs w:val="20"/>
                <w:color w:val="auto"/>
              </w:rPr>
            </w:pPr>
            <w:r>
              <w:rPr>
                <w:rFonts w:ascii="Arial" w:cs="Arial" w:eastAsia="Arial" w:hAnsi="Arial"/>
                <w:sz w:val="13"/>
                <w:szCs w:val="13"/>
                <w:color w:val="auto"/>
              </w:rPr>
              <w:t>Notes receivable, net</w:t>
            </w:r>
          </w:p>
        </w:tc>
        <w:tc>
          <w:tcPr>
            <w:tcW w:w="240" w:type="dxa"/>
            <w:vAlign w:val="bottom"/>
          </w:tcPr>
          <w:p>
            <w:pPr>
              <w:spacing w:after="0"/>
              <w:rPr>
                <w:sz w:val="18"/>
                <w:szCs w:val="18"/>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108,959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153,829</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Investments in and advances to unconsolidated affiliates</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311,540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302,070</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Other assets, net</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216,514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214,959</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39,344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74,823</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Rents receivable, net</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53,983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51,738</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Restricted cash</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12,517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10,846</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Assets of properties held for sale</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25,362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25,362</w:t>
            </w:r>
          </w:p>
        </w:tc>
        <w:tc>
          <w:tcPr>
            <w:tcW w:w="0" w:type="dxa"/>
            <w:vAlign w:val="bottom"/>
          </w:tcPr>
          <w:p>
            <w:pPr>
              <w:spacing w:after="0"/>
              <w:rPr>
                <w:sz w:val="1"/>
                <w:szCs w:val="1"/>
                <w:color w:val="auto"/>
              </w:rPr>
            </w:pPr>
          </w:p>
        </w:tc>
      </w:tr>
      <w:tr>
        <w:trPr>
          <w:trHeight w:val="38"/>
        </w:trPr>
        <w:tc>
          <w:tcPr>
            <w:tcW w:w="8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120" w:type="dxa"/>
            <w:vAlign w:val="bottom"/>
          </w:tcPr>
          <w:p>
            <w:pPr>
              <w:spacing w:after="0"/>
              <w:rPr>
                <w:sz w:val="20"/>
                <w:szCs w:val="20"/>
                <w:color w:val="auto"/>
              </w:rPr>
            </w:pPr>
            <w:r>
              <w:rPr>
                <w:rFonts w:ascii="Arial" w:cs="Arial" w:eastAsia="Arial" w:hAnsi="Arial"/>
                <w:sz w:val="13"/>
                <w:szCs w:val="13"/>
                <w:color w:val="auto"/>
              </w:rPr>
              <w:t>Total assets</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3,938,976</w:t>
            </w:r>
          </w:p>
        </w:tc>
        <w:tc>
          <w:tcPr>
            <w:tcW w:w="12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3,960,247</w:t>
            </w:r>
          </w:p>
        </w:tc>
        <w:tc>
          <w:tcPr>
            <w:tcW w:w="0" w:type="dxa"/>
            <w:vAlign w:val="bottom"/>
          </w:tcPr>
          <w:p>
            <w:pPr>
              <w:spacing w:after="0"/>
              <w:rPr>
                <w:sz w:val="1"/>
                <w:szCs w:val="1"/>
                <w:color w:val="auto"/>
              </w:rPr>
            </w:pPr>
          </w:p>
        </w:tc>
      </w:tr>
      <w:tr>
        <w:trPr>
          <w:trHeight w:val="28"/>
        </w:trPr>
        <w:tc>
          <w:tcPr>
            <w:tcW w:w="8120" w:type="dxa"/>
            <w:vAlign w:val="bottom"/>
            <w:vMerge w:val="restart"/>
          </w:tcPr>
          <w:p>
            <w:pPr>
              <w:spacing w:after="0"/>
              <w:rPr>
                <w:sz w:val="20"/>
                <w:szCs w:val="20"/>
                <w:color w:val="auto"/>
              </w:rPr>
            </w:pPr>
            <w:r>
              <w:rPr>
                <w:rFonts w:ascii="Arial" w:cs="Arial" w:eastAsia="Arial" w:hAnsi="Arial"/>
                <w:sz w:val="13"/>
                <w:szCs w:val="13"/>
                <w:b w:val="1"/>
                <w:bCs w:val="1"/>
                <w:color w:val="auto"/>
              </w:rPr>
              <w:t>LIABILITIES</w:t>
            </w: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Mortgage and other notes payable, net</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911,527</w:t>
            </w:r>
          </w:p>
        </w:tc>
        <w:tc>
          <w:tcPr>
            <w:tcW w:w="120" w:type="dxa"/>
            <w:vAlign w:val="bottom"/>
          </w:tcPr>
          <w:p>
            <w:pPr>
              <w:spacing w:after="0"/>
              <w:rPr>
                <w:sz w:val="19"/>
                <w:szCs w:val="19"/>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909,174</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Unsecured notes payable, net</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529,756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473,735</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Unsecured line of credit</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14,000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41,500</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Accounts payable and other liabilities</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209,090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210,052</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Capital lease obligation</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70,732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70,611</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Dividends and distributions payable</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23,978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24,244</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Distributions in excess of income from, and investments in, unconsolidated affiliates</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15,226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15,292</w:t>
            </w:r>
          </w:p>
        </w:tc>
        <w:tc>
          <w:tcPr>
            <w:tcW w:w="0" w:type="dxa"/>
            <w:vAlign w:val="bottom"/>
          </w:tcPr>
          <w:p>
            <w:pPr>
              <w:spacing w:after="0"/>
              <w:rPr>
                <w:sz w:val="1"/>
                <w:szCs w:val="1"/>
                <w:color w:val="auto"/>
              </w:rPr>
            </w:pPr>
          </w:p>
        </w:tc>
      </w:tr>
      <w:tr>
        <w:trPr>
          <w:trHeight w:val="39"/>
        </w:trPr>
        <w:tc>
          <w:tcPr>
            <w:tcW w:w="8120" w:type="dxa"/>
            <w:vAlign w:val="bottom"/>
            <w:vMerge w:val="restart"/>
          </w:tcPr>
          <w:p>
            <w:pPr>
              <w:spacing w:after="0"/>
              <w:rPr>
                <w:sz w:val="20"/>
                <w:szCs w:val="20"/>
                <w:color w:val="auto"/>
              </w:rPr>
            </w:pPr>
            <w:r>
              <w:rPr>
                <w:rFonts w:ascii="Arial" w:cs="Arial" w:eastAsia="Arial" w:hAnsi="Arial"/>
                <w:sz w:val="13"/>
                <w:szCs w:val="13"/>
                <w:color w:val="auto"/>
              </w:rPr>
              <w:t>Total liabilities</w:t>
            </w: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1,774,309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1,744,608</w:t>
            </w:r>
          </w:p>
        </w:tc>
        <w:tc>
          <w:tcPr>
            <w:tcW w:w="0" w:type="dxa"/>
            <w:vAlign w:val="bottom"/>
          </w:tcPr>
          <w:p>
            <w:pPr>
              <w:spacing w:after="0"/>
              <w:rPr>
                <w:sz w:val="1"/>
                <w:szCs w:val="1"/>
                <w:color w:val="auto"/>
              </w:rPr>
            </w:pPr>
          </w:p>
        </w:tc>
      </w:tr>
      <w:tr>
        <w:trPr>
          <w:trHeight w:val="28"/>
        </w:trPr>
        <w:tc>
          <w:tcPr>
            <w:tcW w:w="8120" w:type="dxa"/>
            <w:vAlign w:val="bottom"/>
            <w:vMerge w:val="restart"/>
          </w:tcPr>
          <w:p>
            <w:pPr>
              <w:spacing w:after="0"/>
              <w:rPr>
                <w:sz w:val="20"/>
                <w:szCs w:val="20"/>
                <w:color w:val="auto"/>
              </w:rPr>
            </w:pPr>
            <w:r>
              <w:rPr>
                <w:rFonts w:ascii="Arial" w:cs="Arial" w:eastAsia="Arial" w:hAnsi="Arial"/>
                <w:sz w:val="13"/>
                <w:szCs w:val="13"/>
                <w:color w:val="auto"/>
              </w:rPr>
              <w:t>Commitments and contingencies</w:t>
            </w: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120" w:type="dxa"/>
            <w:vAlign w:val="bottom"/>
          </w:tcPr>
          <w:p>
            <w:pPr>
              <w:spacing w:after="0"/>
              <w:rPr>
                <w:sz w:val="20"/>
                <w:szCs w:val="20"/>
                <w:color w:val="auto"/>
              </w:rPr>
            </w:pPr>
            <w:r>
              <w:rPr>
                <w:rFonts w:ascii="Arial" w:cs="Arial" w:eastAsia="Arial" w:hAnsi="Arial"/>
                <w:sz w:val="13"/>
                <w:szCs w:val="13"/>
                <w:b w:val="1"/>
                <w:bCs w:val="1"/>
                <w:color w:val="auto"/>
              </w:rPr>
              <w:t>EQUITY</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tcPr>
          <w:p>
            <w:pPr>
              <w:spacing w:after="0"/>
              <w:rPr>
                <w:sz w:val="20"/>
                <w:szCs w:val="20"/>
                <w:color w:val="auto"/>
              </w:rPr>
            </w:pPr>
            <w:r>
              <w:rPr>
                <w:rFonts w:ascii="Arial" w:cs="Arial" w:eastAsia="Arial" w:hAnsi="Arial"/>
                <w:sz w:val="13"/>
                <w:szCs w:val="13"/>
                <w:color w:val="auto"/>
              </w:rPr>
              <w:t>Acadia Shareholders' Equity</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Common shares, $0.001 par value, authorized 200,000,000 shares, issued and outstanding 82,450,745 and 83,708,140 shares, respectively</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08"/>
        </w:trPr>
        <w:tc>
          <w:tcPr>
            <w:tcW w:w="812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240" w:type="dxa"/>
            <w:vAlign w:val="bottom"/>
          </w:tcPr>
          <w:p>
            <w:pPr>
              <w:spacing w:after="0"/>
              <w:rPr>
                <w:sz w:val="18"/>
                <w:szCs w:val="18"/>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1,564,067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1,596,514</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Accumulated other comprehensive income</w:t>
            </w:r>
          </w:p>
        </w:tc>
        <w:tc>
          <w:tcPr>
            <w:tcW w:w="24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7,376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2,614</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3"/>
                <w:szCs w:val="13"/>
                <w:color w:val="auto"/>
              </w:rPr>
              <w:t>Distributions in excess of accumulated earnings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(46,856)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(32,013)</w:t>
            </w:r>
          </w:p>
        </w:tc>
        <w:tc>
          <w:tcPr>
            <w:tcW w:w="0" w:type="dxa"/>
            <w:vAlign w:val="bottom"/>
          </w:tcPr>
          <w:p>
            <w:pPr>
              <w:spacing w:after="0"/>
              <w:rPr>
                <w:sz w:val="1"/>
                <w:szCs w:val="1"/>
                <w:color w:val="auto"/>
              </w:rPr>
            </w:pPr>
          </w:p>
        </w:tc>
      </w:tr>
      <w:tr>
        <w:trPr>
          <w:trHeight w:val="38"/>
        </w:trPr>
        <w:tc>
          <w:tcPr>
            <w:tcW w:w="8120" w:type="dxa"/>
            <w:vAlign w:val="bottom"/>
            <w:vMerge w:val="restart"/>
          </w:tcPr>
          <w:p>
            <w:pPr>
              <w:spacing w:after="0"/>
              <w:rPr>
                <w:sz w:val="20"/>
                <w:szCs w:val="20"/>
                <w:color w:val="auto"/>
              </w:rPr>
            </w:pPr>
            <w:r>
              <w:rPr>
                <w:rFonts w:ascii="Arial" w:cs="Arial" w:eastAsia="Arial" w:hAnsi="Arial"/>
                <w:sz w:val="13"/>
                <w:szCs w:val="13"/>
                <w:color w:val="auto"/>
              </w:rPr>
              <w:t>Total Acadia shareholders’ equity</w:t>
            </w: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1,524,669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1,567,199</w:t>
            </w:r>
          </w:p>
        </w:tc>
        <w:tc>
          <w:tcPr>
            <w:tcW w:w="0" w:type="dxa"/>
            <w:vAlign w:val="bottom"/>
          </w:tcPr>
          <w:p>
            <w:pPr>
              <w:spacing w:after="0"/>
              <w:rPr>
                <w:sz w:val="1"/>
                <w:szCs w:val="1"/>
                <w:color w:val="auto"/>
              </w:rPr>
            </w:pPr>
          </w:p>
        </w:tc>
      </w:tr>
      <w:tr>
        <w:trPr>
          <w:trHeight w:val="208"/>
        </w:trPr>
        <w:tc>
          <w:tcPr>
            <w:tcW w:w="812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240" w:type="dxa"/>
            <w:vAlign w:val="bottom"/>
          </w:tcPr>
          <w:p>
            <w:pPr>
              <w:spacing w:after="0"/>
              <w:rPr>
                <w:sz w:val="18"/>
                <w:szCs w:val="18"/>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639,998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648,440</w:t>
            </w:r>
          </w:p>
        </w:tc>
        <w:tc>
          <w:tcPr>
            <w:tcW w:w="0" w:type="dxa"/>
            <w:vAlign w:val="bottom"/>
          </w:tcPr>
          <w:p>
            <w:pPr>
              <w:spacing w:after="0"/>
              <w:rPr>
                <w:sz w:val="1"/>
                <w:szCs w:val="1"/>
                <w:color w:val="auto"/>
              </w:rPr>
            </w:pPr>
          </w:p>
        </w:tc>
      </w:tr>
      <w:tr>
        <w:trPr>
          <w:trHeight w:val="39"/>
        </w:trPr>
        <w:tc>
          <w:tcPr>
            <w:tcW w:w="8120" w:type="dxa"/>
            <w:vAlign w:val="bottom"/>
            <w:vMerge w:val="restart"/>
          </w:tcPr>
          <w:p>
            <w:pPr>
              <w:spacing w:after="0"/>
              <w:rPr>
                <w:sz w:val="20"/>
                <w:szCs w:val="20"/>
                <w:color w:val="auto"/>
              </w:rPr>
            </w:pPr>
            <w:r>
              <w:rPr>
                <w:rFonts w:ascii="Arial" w:cs="Arial" w:eastAsia="Arial" w:hAnsi="Arial"/>
                <w:sz w:val="13"/>
                <w:szCs w:val="13"/>
                <w:color w:val="auto"/>
              </w:rPr>
              <w:t>Total equity</w:t>
            </w: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2,164,667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2,215,639</w:t>
            </w:r>
          </w:p>
        </w:tc>
        <w:tc>
          <w:tcPr>
            <w:tcW w:w="0" w:type="dxa"/>
            <w:vAlign w:val="bottom"/>
          </w:tcPr>
          <w:p>
            <w:pPr>
              <w:spacing w:after="0"/>
              <w:rPr>
                <w:sz w:val="1"/>
                <w:szCs w:val="1"/>
                <w:color w:val="auto"/>
              </w:rPr>
            </w:pPr>
          </w:p>
        </w:tc>
      </w:tr>
      <w:tr>
        <w:trPr>
          <w:trHeight w:val="28"/>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120" w:type="dxa"/>
            <w:vAlign w:val="bottom"/>
          </w:tcPr>
          <w:p>
            <w:pPr>
              <w:spacing w:after="0"/>
              <w:rPr>
                <w:sz w:val="20"/>
                <w:szCs w:val="20"/>
                <w:color w:val="auto"/>
              </w:rPr>
            </w:pPr>
            <w:r>
              <w:rPr>
                <w:rFonts w:ascii="Arial" w:cs="Arial" w:eastAsia="Arial" w:hAnsi="Arial"/>
                <w:sz w:val="13"/>
                <w:szCs w:val="13"/>
                <w:color w:val="auto"/>
              </w:rPr>
              <w:t>Total liabilities and equity</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4"/>
              <w:spacing w:after="0"/>
              <w:rPr>
                <w:sz w:val="20"/>
                <w:szCs w:val="20"/>
                <w:color w:val="auto"/>
              </w:rPr>
            </w:pPr>
            <w:r>
              <w:rPr>
                <w:rFonts w:ascii="Arial" w:cs="Arial" w:eastAsia="Arial" w:hAnsi="Arial"/>
                <w:sz w:val="13"/>
                <w:szCs w:val="13"/>
                <w:color w:val="auto"/>
              </w:rPr>
              <w:t>3,938,976</w:t>
            </w:r>
          </w:p>
        </w:tc>
        <w:tc>
          <w:tcPr>
            <w:tcW w:w="12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34"/>
              <w:spacing w:after="0"/>
              <w:rPr>
                <w:sz w:val="20"/>
                <w:szCs w:val="20"/>
                <w:color w:val="auto"/>
              </w:rPr>
            </w:pPr>
            <w:r>
              <w:rPr>
                <w:rFonts w:ascii="Arial" w:cs="Arial" w:eastAsia="Arial" w:hAnsi="Arial"/>
                <w:sz w:val="13"/>
                <w:szCs w:val="13"/>
                <w:color w:val="auto"/>
              </w:rPr>
              <w:t>3,960,247</w:t>
            </w:r>
          </w:p>
        </w:tc>
        <w:tc>
          <w:tcPr>
            <w:tcW w:w="0" w:type="dxa"/>
            <w:vAlign w:val="bottom"/>
          </w:tcPr>
          <w:p>
            <w:pPr>
              <w:spacing w:after="0"/>
              <w:rPr>
                <w:sz w:val="1"/>
                <w:szCs w:val="1"/>
                <w:color w:val="auto"/>
              </w:rPr>
            </w:pPr>
          </w:p>
        </w:tc>
      </w:tr>
      <w:tr>
        <w:trPr>
          <w:trHeight w:val="28"/>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40"/>
          </w:cols>
          <w:pgMar w:left="240" w:top="492"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ACADIA REALTY TRUST AND SUBSIDIARIES</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Financial Highlights:</w:t>
      </w:r>
    </w:p>
    <w:p>
      <w:pPr>
        <w:spacing w:after="0" w:line="189" w:lineRule="exact"/>
        <w:rPr>
          <w:sz w:val="20"/>
          <w:szCs w:val="20"/>
          <w:color w:val="auto"/>
        </w:rPr>
      </w:pPr>
    </w:p>
    <w:p>
      <w:pPr>
        <w:ind w:left="540" w:hanging="270"/>
        <w:spacing w:after="0" w:line="270" w:lineRule="auto"/>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For additional information and analysis concerning the Company’s results of operations, reference is made to the Company’s Quarterly Supplemental Disclosure furnished on Form 8-K to the SEC and included on the Company’s website at </w:t>
      </w:r>
      <w:r>
        <w:rPr>
          <w:rFonts w:ascii="Arial" w:cs="Arial" w:eastAsia="Arial" w:hAnsi="Arial"/>
          <w:sz w:val="13"/>
          <w:szCs w:val="13"/>
          <w:u w:val="single" w:color="auto"/>
          <w:color w:val="0000FF"/>
        </w:rPr>
        <w:t>www.acadiarealty.com</w:t>
      </w:r>
      <w:r>
        <w:rPr>
          <w:rFonts w:ascii="Arial" w:cs="Arial" w:eastAsia="Arial" w:hAnsi="Arial"/>
          <w:sz w:val="13"/>
          <w:szCs w:val="13"/>
          <w:color w:val="auto"/>
        </w:rPr>
        <w:t>.</w:t>
      </w:r>
    </w:p>
    <w:p>
      <w:pPr>
        <w:spacing w:after="0" w:line="57" w:lineRule="exact"/>
        <w:rPr>
          <w:rFonts w:ascii="Arial" w:cs="Arial" w:eastAsia="Arial" w:hAnsi="Arial"/>
          <w:sz w:val="13"/>
          <w:szCs w:val="13"/>
          <w:color w:val="auto"/>
        </w:rPr>
      </w:pPr>
    </w:p>
    <w:p>
      <w:pPr>
        <w:jc w:val="both"/>
        <w:ind w:left="540" w:hanging="270"/>
        <w:spacing w:after="0" w:line="326" w:lineRule="auto"/>
        <w:tabs>
          <w:tab w:leader="none" w:pos="540" w:val="left"/>
        </w:tabs>
        <w:numPr>
          <w:ilvl w:val="0"/>
          <w:numId w:val="3"/>
        </w:numPr>
        <w:rPr>
          <w:rFonts w:ascii="Arial" w:cs="Arial" w:eastAsia="Arial" w:hAnsi="Arial"/>
          <w:sz w:val="11"/>
          <w:szCs w:val="11"/>
          <w:color w:val="auto"/>
        </w:rPr>
      </w:pPr>
      <w:r>
        <w:rPr>
          <w:rFonts w:ascii="Arial" w:cs="Arial" w:eastAsia="Arial" w:hAnsi="Arial"/>
          <w:sz w:val="11"/>
          <w:szCs w:val="11"/>
          <w:color w:val="auto"/>
        </w:rPr>
        <w:t>Diluted earnings per share reflects the potential dilution that could occur if securities or other contracts to issue Common Shares were exercised or converted into Common Shares. The effect of the conversion of Common OP Units is not reflected in the above table as they are exchangeable for Common Shares on a one-for-one basis. The income allocable to such units is allocated on the same basis and reflected as noncontrolling interests in the consolidated financial statements. As such, the assumed conversion of these units would have no net impact on the determination of diluted earnings per share.</w:t>
      </w:r>
    </w:p>
    <w:p>
      <w:pPr>
        <w:spacing w:after="0" w:line="31" w:lineRule="exact"/>
        <w:rPr>
          <w:rFonts w:ascii="Arial" w:cs="Arial" w:eastAsia="Arial" w:hAnsi="Arial"/>
          <w:sz w:val="11"/>
          <w:szCs w:val="11"/>
          <w:color w:val="auto"/>
        </w:rPr>
      </w:pPr>
    </w:p>
    <w:p>
      <w:pPr>
        <w:jc w:val="both"/>
        <w:ind w:left="540" w:hanging="270"/>
        <w:spacing w:after="0" w:line="272" w:lineRule="auto"/>
        <w:tabs>
          <w:tab w:leader="none" w:pos="5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 considers funds from operations (“FFO”) as defined by the National Association of Real Estate Investment Trusts (“NAREIT”) and net property operating income (“NOI”) to be appropriate supplemental disclosures of operating performance for an equity REIT due to their widespread acceptance and use within the REIT and analyst communities. FFO and NOI are presented to assist investors in analyzing the performance of the Company. They are helpful as they exclude various items included in net income that are not indicative of the operating performance, such as gains (losses) from sales of depreciated property, depreciation and amortization, and impairment of depreciable real estate. In addition, NOI excludes interest expense. The Company’s method of calculating FFO and NOI may be different from methods used by other REITs and, accordingly, may not be comparable to such other REITs. FFO does not represent cash generated from operations as defined by generally accepted accounting principles (“GAAP”) and is not indicative of cash available to fund all cash needs, including distributions. It should not be considered as an alternative to net income for the purpose of evaluating the Company’s performance or to cash flows as a measure of liquidity. Consistent with the NAREIT definition, the Company defines FFO as net income (computed in accordance with GAAP), excluding gains (losses) from sales of depreciated property, plus depreciation and amortization, impairment of depreciable real estate, and after adjustments for unconsolidated partnerships and joint ventures.</w:t>
      </w:r>
    </w:p>
    <w:p>
      <w:pPr>
        <w:spacing w:after="0" w:line="60" w:lineRule="exact"/>
        <w:rPr>
          <w:rFonts w:ascii="Arial" w:cs="Arial" w:eastAsia="Arial" w:hAnsi="Arial"/>
          <w:sz w:val="12"/>
          <w:szCs w:val="12"/>
          <w:color w:val="auto"/>
        </w:rPr>
      </w:pPr>
    </w:p>
    <w:p>
      <w:pPr>
        <w:jc w:val="both"/>
        <w:ind w:left="540" w:hanging="270"/>
        <w:spacing w:after="0" w:line="253" w:lineRule="auto"/>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addition to the weighted-average Common Shares outstanding, basic and diluted FFO also assume full conversion of a weighted-average 4,966 thousand and 4,756 thousand OP Units into Common Shares for the quarters ended March 31, 2018 and 2017, respectively. Diluted FFO also includes: (i) the assumed conversion of Preferred OP Units into 499 thousand and 496 thousand Common Shares for the quarters ended March 31, 2018 and 2017, respectively; and (ii) the effect of 168 thousand and 137 thousand employee share options, restricted share units and LTIP units for the quarters ended March 31, 2018 and 2017, respectively.</w:t>
      </w:r>
    </w:p>
    <w:p>
      <w:pPr>
        <w:spacing w:after="0" w:line="69" w:lineRule="exact"/>
        <w:rPr>
          <w:rFonts w:ascii="Arial" w:cs="Arial" w:eastAsia="Arial" w:hAnsi="Arial"/>
          <w:sz w:val="13"/>
          <w:szCs w:val="13"/>
          <w:color w:val="auto"/>
        </w:rPr>
      </w:pPr>
    </w:p>
    <w:p>
      <w:pPr>
        <w:ind w:left="540" w:hanging="270"/>
        <w:spacing w:after="0" w:line="270" w:lineRule="auto"/>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Pro-rata portion share of NOI is based upon our stated ownership percentages in each operating agreement. Does not include the Operating Partnership's share of NOI from unconsolidated joint ventures within the Funds.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60"/>
          </w:cols>
          <w:pgMar w:left="220" w:top="492" w:right="219" w:bottom="1440"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66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323455" cy="5662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ind w:left="520"/>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36195</wp:posOffset>
            </wp:positionV>
            <wp:extent cx="66617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17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4720" w:type="dxa"/>
            <w:vAlign w:val="bottom"/>
            <w:gridSpan w:val="4"/>
          </w:tcPr>
          <w:p>
            <w:pPr>
              <w:spacing w:after="0"/>
              <w:rPr>
                <w:sz w:val="20"/>
                <w:szCs w:val="20"/>
                <w:color w:val="auto"/>
              </w:rPr>
            </w:pPr>
            <w:r>
              <w:rPr>
                <w:rFonts w:ascii="Arial" w:cs="Arial" w:eastAsia="Arial" w:hAnsi="Arial"/>
                <w:sz w:val="15"/>
                <w:szCs w:val="15"/>
                <w:b w:val="1"/>
                <w:bCs w:val="1"/>
                <w:color w:val="auto"/>
              </w:rPr>
              <w:t>Section I - First Quarter 2018 Earnings Press Release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9"/>
        </w:trPr>
        <w:tc>
          <w:tcPr>
            <w:tcW w:w="4720" w:type="dxa"/>
            <w:vAlign w:val="bottom"/>
            <w:gridSpan w:val="4"/>
          </w:tcPr>
          <w:p>
            <w:pPr>
              <w:spacing w:after="0"/>
              <w:rPr>
                <w:sz w:val="20"/>
                <w:szCs w:val="20"/>
                <w:color w:val="auto"/>
              </w:rPr>
            </w:pPr>
            <w:r>
              <w:rPr>
                <w:rFonts w:ascii="Arial" w:cs="Arial" w:eastAsia="Arial" w:hAnsi="Arial"/>
                <w:sz w:val="15"/>
                <w:szCs w:val="15"/>
                <w:b w:val="1"/>
                <w:bCs w:val="1"/>
                <w:color w:val="auto"/>
              </w:rPr>
              <w:t>Section II - Financial Information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0" w:type="dxa"/>
            <w:vAlign w:val="bottom"/>
          </w:tcPr>
          <w:p>
            <w:pPr>
              <w:ind w:left="580"/>
              <w:spacing w:after="0"/>
              <w:rPr>
                <w:sz w:val="20"/>
                <w:szCs w:val="20"/>
                <w:color w:val="auto"/>
              </w:rPr>
            </w:pPr>
            <w:r>
              <w:rPr>
                <w:rFonts w:ascii="Arial" w:cs="Arial" w:eastAsia="Arial" w:hAnsi="Arial"/>
                <w:sz w:val="15"/>
                <w:szCs w:val="15"/>
                <w:b w:val="1"/>
                <w:bCs w:val="1"/>
                <w:color w:val="auto"/>
              </w:rPr>
              <w:t>Section III - Core Portfolio Information</w:t>
            </w:r>
          </w:p>
        </w:tc>
        <w:tc>
          <w:tcPr>
            <w:tcW w:w="160" w:type="dxa"/>
            <w:vAlign w:val="bottom"/>
          </w:tcPr>
          <w:p>
            <w:pPr>
              <w:spacing w:after="0"/>
              <w:rPr>
                <w:sz w:val="19"/>
                <w:szCs w:val="19"/>
                <w:color w:val="auto"/>
              </w:rPr>
            </w:pPr>
          </w:p>
        </w:tc>
      </w:tr>
      <w:tr>
        <w:trPr>
          <w:trHeight w:val="450"/>
        </w:trPr>
        <w:tc>
          <w:tcPr>
            <w:tcW w:w="4720" w:type="dxa"/>
            <w:vAlign w:val="bottom"/>
            <w:gridSpan w:val="4"/>
          </w:tcPr>
          <w:p>
            <w:pPr>
              <w:spacing w:after="0"/>
              <w:rPr>
                <w:sz w:val="20"/>
                <w:szCs w:val="20"/>
                <w:color w:val="auto"/>
              </w:rPr>
            </w:pPr>
            <w:r>
              <w:rPr>
                <w:rFonts w:ascii="Arial" w:cs="Arial" w:eastAsia="Arial" w:hAnsi="Arial"/>
                <w:sz w:val="15"/>
                <w:szCs w:val="15"/>
                <w:color w:val="auto"/>
              </w:rPr>
              <w:t>Company Information</w:t>
            </w:r>
          </w:p>
        </w:tc>
        <w:tc>
          <w:tcPr>
            <w:tcW w:w="80" w:type="dxa"/>
            <w:vAlign w:val="bottom"/>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5">
              <w:r>
                <w:rPr>
                  <w:rFonts w:ascii="Arial" w:cs="Arial" w:eastAsia="Arial" w:hAnsi="Arial"/>
                  <w:sz w:val="15"/>
                  <w:szCs w:val="15"/>
                  <w:color w:val="0000EE"/>
                  <w:w w:val="71"/>
                </w:rPr>
                <w:t>3</w:t>
              </w:r>
            </w:hyperlink>
          </w:p>
        </w:tc>
        <w:tc>
          <w:tcPr>
            <w:tcW w:w="5400" w:type="dxa"/>
            <w:vAlign w:val="bottom"/>
          </w:tcPr>
          <w:p>
            <w:pPr>
              <w:ind w:left="580"/>
              <w:spacing w:after="0"/>
              <w:rPr>
                <w:sz w:val="20"/>
                <w:szCs w:val="20"/>
                <w:color w:val="auto"/>
              </w:rPr>
            </w:pPr>
            <w:r>
              <w:rPr>
                <w:rFonts w:ascii="Arial" w:cs="Arial" w:eastAsia="Arial" w:hAnsi="Arial"/>
                <w:sz w:val="15"/>
                <w:szCs w:val="15"/>
                <w:color w:val="auto"/>
              </w:rPr>
              <w:t>Core Properties</w:t>
            </w:r>
          </w:p>
        </w:tc>
        <w:tc>
          <w:tcPr>
            <w:tcW w:w="160" w:type="dxa"/>
            <w:vAlign w:val="bottom"/>
            <w:tcBorders>
              <w:bottom w:val="single" w:sz="8" w:color="0000EE"/>
            </w:tcBorders>
          </w:tcPr>
          <w:p>
            <w:pPr>
              <w:jc w:val="right"/>
              <w:spacing w:after="0"/>
              <w:rPr>
                <w:rFonts w:ascii="Arial" w:cs="Arial" w:eastAsia="Arial" w:hAnsi="Arial"/>
                <w:sz w:val="15"/>
                <w:szCs w:val="15"/>
                <w:color w:val="0000EE"/>
                <w:w w:val="83"/>
              </w:rPr>
            </w:pPr>
            <w:hyperlink w:anchor="page37">
              <w:r>
                <w:rPr>
                  <w:rFonts w:ascii="Arial" w:cs="Arial" w:eastAsia="Arial" w:hAnsi="Arial"/>
                  <w:sz w:val="15"/>
                  <w:szCs w:val="15"/>
                  <w:color w:val="0000EE"/>
                  <w:w w:val="83"/>
                </w:rPr>
                <w:t>25</w:t>
              </w:r>
            </w:hyperlink>
          </w:p>
        </w:tc>
      </w:tr>
      <w:tr>
        <w:trPr>
          <w:trHeight w:val="199"/>
        </w:trPr>
        <w:tc>
          <w:tcPr>
            <w:tcW w:w="4720" w:type="dxa"/>
            <w:vAlign w:val="bottom"/>
            <w:gridSpan w:val="4"/>
          </w:tcPr>
          <w:p>
            <w:pPr>
              <w:spacing w:after="0"/>
              <w:rPr>
                <w:sz w:val="20"/>
                <w:szCs w:val="20"/>
                <w:color w:val="auto"/>
              </w:rPr>
            </w:pPr>
            <w:r>
              <w:rPr>
                <w:rFonts w:ascii="Arial" w:cs="Arial" w:eastAsia="Arial" w:hAnsi="Arial"/>
                <w:sz w:val="15"/>
                <w:szCs w:val="15"/>
                <w:color w:val="auto"/>
              </w:rPr>
              <w:t>Market Capitalization</w:t>
            </w:r>
          </w:p>
        </w:tc>
        <w:tc>
          <w:tcPr>
            <w:tcW w:w="160" w:type="dxa"/>
            <w:vAlign w:val="bottom"/>
            <w:gridSpan w:val="2"/>
          </w:tcPr>
          <w:p>
            <w:pPr>
              <w:jc w:val="right"/>
              <w:spacing w:after="0"/>
              <w:rPr>
                <w:rFonts w:ascii="Arial" w:cs="Arial" w:eastAsia="Arial" w:hAnsi="Arial"/>
                <w:sz w:val="15"/>
                <w:szCs w:val="15"/>
                <w:color w:val="0000EE"/>
              </w:rPr>
            </w:pPr>
            <w:hyperlink w:anchor="page16">
              <w:r>
                <w:rPr>
                  <w:rFonts w:ascii="Arial" w:cs="Arial" w:eastAsia="Arial" w:hAnsi="Arial"/>
                  <w:sz w:val="15"/>
                  <w:szCs w:val="15"/>
                  <w:color w:val="0000EE"/>
                </w:rPr>
                <w:t>4</w:t>
              </w:r>
            </w:hyperlink>
          </w:p>
        </w:tc>
        <w:tc>
          <w:tcPr>
            <w:tcW w:w="5400" w:type="dxa"/>
            <w:vAlign w:val="bottom"/>
          </w:tcPr>
          <w:p>
            <w:pPr>
              <w:ind w:left="580"/>
              <w:spacing w:after="0"/>
              <w:rPr>
                <w:sz w:val="20"/>
                <w:szCs w:val="20"/>
                <w:color w:val="auto"/>
              </w:rPr>
            </w:pPr>
            <w:r>
              <w:rPr>
                <w:rFonts w:ascii="Arial" w:cs="Arial" w:eastAsia="Arial" w:hAnsi="Arial"/>
                <w:sz w:val="15"/>
                <w:szCs w:val="15"/>
                <w:color w:val="auto"/>
              </w:rPr>
              <w:t>Core Top Tenants</w:t>
            </w:r>
          </w:p>
        </w:tc>
        <w:tc>
          <w:tcPr>
            <w:tcW w:w="160" w:type="dxa"/>
            <w:vAlign w:val="bottom"/>
          </w:tcPr>
          <w:p>
            <w:pPr>
              <w:jc w:val="right"/>
              <w:spacing w:after="0"/>
              <w:rPr>
                <w:rFonts w:ascii="Arial" w:cs="Arial" w:eastAsia="Arial" w:hAnsi="Arial"/>
                <w:sz w:val="15"/>
                <w:szCs w:val="15"/>
                <w:color w:val="0000EE"/>
                <w:w w:val="83"/>
              </w:rPr>
            </w:pPr>
            <w:hyperlink w:anchor="page40">
              <w:r>
                <w:rPr>
                  <w:rFonts w:ascii="Arial" w:cs="Arial" w:eastAsia="Arial" w:hAnsi="Arial"/>
                  <w:sz w:val="15"/>
                  <w:szCs w:val="15"/>
                  <w:color w:val="0000EE"/>
                  <w:w w:val="83"/>
                </w:rPr>
                <w:t>28</w:t>
              </w:r>
            </w:hyperlink>
          </w:p>
        </w:tc>
      </w:tr>
      <w:tr>
        <w:trPr>
          <w:trHeight w:val="199"/>
        </w:trPr>
        <w:tc>
          <w:tcPr>
            <w:tcW w:w="4720" w:type="dxa"/>
            <w:vAlign w:val="bottom"/>
            <w:gridSpan w:val="4"/>
          </w:tcPr>
          <w:p>
            <w:pPr>
              <w:spacing w:after="0"/>
              <w:rPr>
                <w:sz w:val="20"/>
                <w:szCs w:val="20"/>
                <w:color w:val="auto"/>
              </w:rPr>
            </w:pPr>
            <w:r>
              <w:rPr>
                <w:rFonts w:ascii="Arial" w:cs="Arial" w:eastAsia="Arial" w:hAnsi="Arial"/>
                <w:sz w:val="15"/>
                <w:szCs w:val="15"/>
                <w:color w:val="auto"/>
              </w:rPr>
              <w:t>Operating Statements</w:t>
            </w: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0" w:type="dxa"/>
            <w:vAlign w:val="bottom"/>
          </w:tcPr>
          <w:p>
            <w:pPr>
              <w:ind w:left="580"/>
              <w:spacing w:after="0"/>
              <w:rPr>
                <w:sz w:val="20"/>
                <w:szCs w:val="20"/>
                <w:color w:val="auto"/>
              </w:rPr>
            </w:pPr>
            <w:r>
              <w:rPr>
                <w:rFonts w:ascii="Arial" w:cs="Arial" w:eastAsia="Arial" w:hAnsi="Arial"/>
                <w:sz w:val="15"/>
                <w:szCs w:val="15"/>
                <w:color w:val="auto"/>
              </w:rPr>
              <w:t>Core Lease Expirations</w:t>
            </w:r>
          </w:p>
        </w:tc>
        <w:tc>
          <w:tcPr>
            <w:tcW w:w="160" w:type="dxa"/>
            <w:vAlign w:val="bottom"/>
            <w:tcBorders>
              <w:top w:val="single" w:sz="8" w:color="0000EE"/>
            </w:tcBorders>
          </w:tcPr>
          <w:p>
            <w:pPr>
              <w:jc w:val="right"/>
              <w:spacing w:after="0"/>
              <w:rPr>
                <w:rFonts w:ascii="Arial" w:cs="Arial" w:eastAsia="Arial" w:hAnsi="Arial"/>
                <w:sz w:val="15"/>
                <w:szCs w:val="15"/>
                <w:color w:val="0000EE"/>
                <w:w w:val="83"/>
              </w:rPr>
            </w:pPr>
            <w:hyperlink w:anchor="page41">
              <w:r>
                <w:rPr>
                  <w:rFonts w:ascii="Arial" w:cs="Arial" w:eastAsia="Arial" w:hAnsi="Arial"/>
                  <w:sz w:val="15"/>
                  <w:szCs w:val="15"/>
                  <w:color w:val="0000EE"/>
                  <w:w w:val="83"/>
                </w:rPr>
                <w:t>29</w:t>
              </w:r>
            </w:hyperlink>
          </w:p>
        </w:tc>
      </w:tr>
      <w:tr>
        <w:trPr>
          <w:trHeight w:val="20"/>
        </w:trPr>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Consolidated Income Statements</w:t>
            </w:r>
          </w:p>
        </w:tc>
        <w:tc>
          <w:tcPr>
            <w:tcW w:w="80" w:type="dxa"/>
            <w:vAlign w:val="bottom"/>
          </w:tcPr>
          <w:p>
            <w:pPr>
              <w:spacing w:after="0"/>
              <w:rPr>
                <w:sz w:val="17"/>
                <w:szCs w:val="17"/>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7">
              <w:r>
                <w:rPr>
                  <w:rFonts w:ascii="Arial" w:cs="Arial" w:eastAsia="Arial" w:hAnsi="Arial"/>
                  <w:sz w:val="15"/>
                  <w:szCs w:val="15"/>
                  <w:color w:val="0000EE"/>
                  <w:w w:val="71"/>
                </w:rPr>
                <w:t>5</w:t>
              </w:r>
            </w:hyperlink>
          </w:p>
        </w:tc>
        <w:tc>
          <w:tcPr>
            <w:tcW w:w="5400" w:type="dxa"/>
            <w:vAlign w:val="bottom"/>
          </w:tcPr>
          <w:p>
            <w:pPr>
              <w:ind w:left="580"/>
              <w:spacing w:after="0"/>
              <w:rPr>
                <w:sz w:val="20"/>
                <w:szCs w:val="20"/>
                <w:color w:val="auto"/>
              </w:rPr>
            </w:pPr>
            <w:r>
              <w:rPr>
                <w:rFonts w:ascii="Arial" w:cs="Arial" w:eastAsia="Arial" w:hAnsi="Arial"/>
                <w:sz w:val="15"/>
                <w:szCs w:val="15"/>
                <w:color w:val="auto"/>
              </w:rPr>
              <w:t>Core New and Renewal Rent Spreads</w:t>
            </w:r>
          </w:p>
        </w:tc>
        <w:tc>
          <w:tcPr>
            <w:tcW w:w="160" w:type="dxa"/>
            <w:vAlign w:val="bottom"/>
            <w:tcBorders>
              <w:bottom w:val="single" w:sz="8" w:color="0000EE"/>
            </w:tcBorders>
          </w:tcPr>
          <w:p>
            <w:pPr>
              <w:jc w:val="right"/>
              <w:spacing w:after="0"/>
              <w:rPr>
                <w:rFonts w:ascii="Arial" w:cs="Arial" w:eastAsia="Arial" w:hAnsi="Arial"/>
                <w:sz w:val="15"/>
                <w:szCs w:val="15"/>
                <w:color w:val="0000EE"/>
                <w:w w:val="83"/>
              </w:rPr>
            </w:pPr>
            <w:hyperlink w:anchor="page42">
              <w:r>
                <w:rPr>
                  <w:rFonts w:ascii="Arial" w:cs="Arial" w:eastAsia="Arial" w:hAnsi="Arial"/>
                  <w:sz w:val="15"/>
                  <w:szCs w:val="15"/>
                  <w:color w:val="0000EE"/>
                  <w:w w:val="83"/>
                </w:rPr>
                <w:t>30</w:t>
              </w:r>
            </w:hyperlink>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Income Statement - Pro-rata Adjustments</w:t>
            </w:r>
          </w:p>
        </w:tc>
        <w:tc>
          <w:tcPr>
            <w:tcW w:w="80" w:type="dxa"/>
            <w:vAlign w:val="bottom"/>
          </w:tcPr>
          <w:p>
            <w:pPr>
              <w:spacing w:after="0"/>
              <w:rPr>
                <w:sz w:val="17"/>
                <w:szCs w:val="17"/>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9">
              <w:r>
                <w:rPr>
                  <w:rFonts w:ascii="Arial" w:cs="Arial" w:eastAsia="Arial" w:hAnsi="Arial"/>
                  <w:sz w:val="15"/>
                  <w:szCs w:val="15"/>
                  <w:color w:val="0000EE"/>
                  <w:w w:val="71"/>
                </w:rPr>
                <w:t>7</w:t>
              </w:r>
            </w:hyperlink>
          </w:p>
        </w:tc>
        <w:tc>
          <w:tcPr>
            <w:tcW w:w="5400" w:type="dxa"/>
            <w:vAlign w:val="bottom"/>
          </w:tcPr>
          <w:p>
            <w:pPr>
              <w:ind w:left="580"/>
              <w:spacing w:after="0"/>
              <w:rPr>
                <w:sz w:val="20"/>
                <w:szCs w:val="20"/>
                <w:color w:val="auto"/>
              </w:rPr>
            </w:pPr>
            <w:r>
              <w:rPr>
                <w:rFonts w:ascii="Arial" w:cs="Arial" w:eastAsia="Arial" w:hAnsi="Arial"/>
                <w:sz w:val="15"/>
                <w:szCs w:val="15"/>
                <w:color w:val="auto"/>
              </w:rPr>
              <w:t>Core Capital Expenditures</w:t>
            </w:r>
          </w:p>
        </w:tc>
        <w:tc>
          <w:tcPr>
            <w:tcW w:w="160" w:type="dxa"/>
            <w:vAlign w:val="bottom"/>
            <w:tcBorders>
              <w:bottom w:val="single" w:sz="8" w:color="0000EE"/>
            </w:tcBorders>
          </w:tcPr>
          <w:p>
            <w:pPr>
              <w:jc w:val="right"/>
              <w:spacing w:after="0"/>
              <w:rPr>
                <w:rFonts w:ascii="Arial" w:cs="Arial" w:eastAsia="Arial" w:hAnsi="Arial"/>
                <w:sz w:val="15"/>
                <w:szCs w:val="15"/>
                <w:color w:val="0000EE"/>
                <w:w w:val="83"/>
              </w:rPr>
            </w:pPr>
            <w:hyperlink w:anchor="page43">
              <w:r>
                <w:rPr>
                  <w:rFonts w:ascii="Arial" w:cs="Arial" w:eastAsia="Arial" w:hAnsi="Arial"/>
                  <w:sz w:val="15"/>
                  <w:szCs w:val="15"/>
                  <w:color w:val="0000EE"/>
                  <w:w w:val="83"/>
                </w:rPr>
                <w:t>31</w:t>
              </w:r>
            </w:hyperlink>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Consolidated Balance Sheet</w:t>
            </w:r>
          </w:p>
        </w:tc>
        <w:tc>
          <w:tcPr>
            <w:tcW w:w="80" w:type="dxa"/>
            <w:vAlign w:val="bottom"/>
          </w:tcPr>
          <w:p>
            <w:pPr>
              <w:spacing w:after="0"/>
              <w:rPr>
                <w:sz w:val="17"/>
                <w:szCs w:val="17"/>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20">
              <w:r>
                <w:rPr>
                  <w:rFonts w:ascii="Arial" w:cs="Arial" w:eastAsia="Arial" w:hAnsi="Arial"/>
                  <w:sz w:val="15"/>
                  <w:szCs w:val="15"/>
                  <w:color w:val="0000EE"/>
                  <w:w w:val="71"/>
                </w:rPr>
                <w:t>8</w:t>
              </w:r>
            </w:hyperlink>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Balance Sheet - Pro-rata Adjustments</w:t>
            </w:r>
          </w:p>
        </w:tc>
        <w:tc>
          <w:tcPr>
            <w:tcW w:w="80" w:type="dxa"/>
            <w:vAlign w:val="bottom"/>
          </w:tcPr>
          <w:p>
            <w:pPr>
              <w:spacing w:after="0"/>
              <w:rPr>
                <w:sz w:val="17"/>
                <w:szCs w:val="17"/>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21">
              <w:r>
                <w:rPr>
                  <w:rFonts w:ascii="Arial" w:cs="Arial" w:eastAsia="Arial" w:hAnsi="Arial"/>
                  <w:sz w:val="15"/>
                  <w:szCs w:val="15"/>
                  <w:color w:val="0000EE"/>
                  <w:w w:val="71"/>
                </w:rPr>
                <w:t>9</w:t>
              </w:r>
            </w:hyperlink>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Funds from Operations (“FFO”), Adjusted FFO (“AFFO”)</w:t>
            </w: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23">
              <w:r>
                <w:rPr>
                  <w:rFonts w:ascii="Arial" w:cs="Arial" w:eastAsia="Arial" w:hAnsi="Arial"/>
                  <w:sz w:val="15"/>
                  <w:szCs w:val="15"/>
                  <w:color w:val="0000EE"/>
                  <w:w w:val="83"/>
                </w:rPr>
                <w:t>11</w:t>
              </w:r>
            </w:hyperlink>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EBITDA</w:t>
            </w: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24">
              <w:r>
                <w:rPr>
                  <w:rFonts w:ascii="Arial" w:cs="Arial" w:eastAsia="Arial" w:hAnsi="Arial"/>
                  <w:sz w:val="15"/>
                  <w:szCs w:val="15"/>
                  <w:color w:val="0000EE"/>
                  <w:w w:val="83"/>
                </w:rPr>
                <w:t>12</w:t>
              </w:r>
            </w:hyperlink>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Same Property Net Operating Income</w:t>
            </w: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25">
              <w:r>
                <w:rPr>
                  <w:rFonts w:ascii="Arial" w:cs="Arial" w:eastAsia="Arial" w:hAnsi="Arial"/>
                  <w:sz w:val="15"/>
                  <w:szCs w:val="15"/>
                  <w:color w:val="0000EE"/>
                  <w:w w:val="83"/>
                </w:rPr>
                <w:t>13</w:t>
              </w:r>
            </w:hyperlink>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Fee Income</w:t>
            </w: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26">
              <w:r>
                <w:rPr>
                  <w:rFonts w:ascii="Arial" w:cs="Arial" w:eastAsia="Arial" w:hAnsi="Arial"/>
                  <w:sz w:val="15"/>
                  <w:szCs w:val="15"/>
                  <w:color w:val="0000EE"/>
                  <w:w w:val="83"/>
                </w:rPr>
                <w:t>14</w:t>
              </w:r>
            </w:hyperlink>
          </w:p>
        </w:tc>
        <w:tc>
          <w:tcPr>
            <w:tcW w:w="5400" w:type="dxa"/>
            <w:vAlign w:val="bottom"/>
          </w:tcPr>
          <w:p>
            <w:pPr>
              <w:ind w:left="580"/>
              <w:spacing w:after="0"/>
              <w:rPr>
                <w:sz w:val="20"/>
                <w:szCs w:val="20"/>
                <w:color w:val="auto"/>
              </w:rPr>
            </w:pPr>
            <w:r>
              <w:rPr>
                <w:rFonts w:ascii="Arial" w:cs="Arial" w:eastAsia="Arial" w:hAnsi="Arial"/>
                <w:sz w:val="15"/>
                <w:szCs w:val="15"/>
                <w:b w:val="1"/>
                <w:bCs w:val="1"/>
                <w:color w:val="auto"/>
              </w:rPr>
              <w:t>Section IV - Fund Information</w:t>
            </w:r>
          </w:p>
        </w:tc>
        <w:tc>
          <w:tcPr>
            <w:tcW w:w="160" w:type="dxa"/>
            <w:vAlign w:val="bottom"/>
          </w:tcPr>
          <w:p>
            <w:pPr>
              <w:spacing w:after="0"/>
              <w:rPr>
                <w:sz w:val="17"/>
                <w:szCs w:val="17"/>
                <w:color w:val="auto"/>
              </w:rPr>
            </w:pPr>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Structured Financing</w:t>
            </w: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27">
              <w:r>
                <w:rPr>
                  <w:rFonts w:ascii="Arial" w:cs="Arial" w:eastAsia="Arial" w:hAnsi="Arial"/>
                  <w:sz w:val="15"/>
                  <w:szCs w:val="15"/>
                  <w:color w:val="0000EE"/>
                  <w:w w:val="83"/>
                </w:rPr>
                <w:t>15</w:t>
              </w:r>
            </w:hyperlink>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4720" w:type="dxa"/>
            <w:vAlign w:val="bottom"/>
            <w:gridSpan w:val="4"/>
          </w:tcPr>
          <w:p>
            <w:pPr>
              <w:spacing w:after="0"/>
              <w:rPr>
                <w:sz w:val="20"/>
                <w:szCs w:val="20"/>
                <w:color w:val="auto"/>
              </w:rPr>
            </w:pPr>
            <w:r>
              <w:rPr>
                <w:rFonts w:ascii="Arial" w:cs="Arial" w:eastAsia="Arial" w:hAnsi="Arial"/>
                <w:sz w:val="15"/>
                <w:szCs w:val="15"/>
                <w:color w:val="auto"/>
              </w:rPr>
              <w:t>Other Information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0" w:type="dxa"/>
            <w:vAlign w:val="bottom"/>
          </w:tcPr>
          <w:p>
            <w:pPr>
              <w:ind w:left="580"/>
              <w:spacing w:after="0"/>
              <w:rPr>
                <w:sz w:val="20"/>
                <w:szCs w:val="20"/>
                <w:color w:val="auto"/>
              </w:rPr>
            </w:pPr>
            <w:r>
              <w:rPr>
                <w:rFonts w:ascii="Arial" w:cs="Arial" w:eastAsia="Arial" w:hAnsi="Arial"/>
                <w:sz w:val="15"/>
                <w:szCs w:val="15"/>
                <w:color w:val="auto"/>
              </w:rPr>
              <w:t>Fund Overview</w:t>
            </w:r>
          </w:p>
        </w:tc>
        <w:tc>
          <w:tcPr>
            <w:tcW w:w="160" w:type="dxa"/>
            <w:vAlign w:val="bottom"/>
          </w:tcPr>
          <w:p>
            <w:pPr>
              <w:jc w:val="right"/>
              <w:spacing w:after="0"/>
              <w:rPr>
                <w:rFonts w:ascii="Arial" w:cs="Arial" w:eastAsia="Arial" w:hAnsi="Arial"/>
                <w:sz w:val="15"/>
                <w:szCs w:val="15"/>
                <w:color w:val="0000EE"/>
                <w:w w:val="83"/>
              </w:rPr>
            </w:pPr>
            <w:hyperlink w:anchor="page44">
              <w:r>
                <w:rPr>
                  <w:rFonts w:ascii="Arial" w:cs="Arial" w:eastAsia="Arial" w:hAnsi="Arial"/>
                  <w:sz w:val="15"/>
                  <w:szCs w:val="15"/>
                  <w:color w:val="0000EE"/>
                  <w:w w:val="83"/>
                </w:rPr>
                <w:t>32</w:t>
              </w:r>
            </w:hyperlink>
          </w:p>
        </w:tc>
      </w:tr>
      <w:tr>
        <w:trPr>
          <w:trHeight w:val="20"/>
        </w:trPr>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9"/>
        </w:trPr>
        <w:tc>
          <w:tcPr>
            <w:tcW w:w="4720" w:type="dxa"/>
            <w:vAlign w:val="bottom"/>
            <w:gridSpan w:val="4"/>
          </w:tcPr>
          <w:p>
            <w:pPr>
              <w:ind w:left="100"/>
              <w:spacing w:after="0"/>
              <w:rPr>
                <w:sz w:val="20"/>
                <w:szCs w:val="20"/>
                <w:color w:val="auto"/>
              </w:rPr>
            </w:pPr>
            <w:r>
              <w:rPr>
                <w:rFonts w:ascii="Arial" w:cs="Arial" w:eastAsia="Arial" w:hAnsi="Arial"/>
                <w:sz w:val="15"/>
                <w:szCs w:val="15"/>
                <w:color w:val="auto"/>
              </w:rPr>
              <w:t>Transactional Activity</w:t>
            </w: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28">
              <w:r>
                <w:rPr>
                  <w:rFonts w:ascii="Arial" w:cs="Arial" w:eastAsia="Arial" w:hAnsi="Arial"/>
                  <w:sz w:val="15"/>
                  <w:szCs w:val="15"/>
                  <w:color w:val="0000EE"/>
                  <w:w w:val="83"/>
                </w:rPr>
                <w:t>16</w:t>
              </w:r>
            </w:hyperlink>
          </w:p>
        </w:tc>
        <w:tc>
          <w:tcPr>
            <w:tcW w:w="5400" w:type="dxa"/>
            <w:vAlign w:val="bottom"/>
          </w:tcPr>
          <w:p>
            <w:pPr>
              <w:ind w:left="580"/>
              <w:spacing w:after="0"/>
              <w:rPr>
                <w:sz w:val="20"/>
                <w:szCs w:val="20"/>
                <w:color w:val="auto"/>
              </w:rPr>
            </w:pPr>
            <w:r>
              <w:rPr>
                <w:rFonts w:ascii="Arial" w:cs="Arial" w:eastAsia="Arial" w:hAnsi="Arial"/>
                <w:sz w:val="15"/>
                <w:szCs w:val="15"/>
                <w:color w:val="auto"/>
              </w:rPr>
              <w:t>Fund Properties</w:t>
            </w:r>
          </w:p>
        </w:tc>
        <w:tc>
          <w:tcPr>
            <w:tcW w:w="160" w:type="dxa"/>
            <w:vAlign w:val="bottom"/>
            <w:tcBorders>
              <w:bottom w:val="single" w:sz="8" w:color="0000EE"/>
            </w:tcBorders>
          </w:tcPr>
          <w:p>
            <w:pPr>
              <w:jc w:val="right"/>
              <w:spacing w:after="0"/>
              <w:rPr>
                <w:rFonts w:ascii="Arial" w:cs="Arial" w:eastAsia="Arial" w:hAnsi="Arial"/>
                <w:sz w:val="15"/>
                <w:szCs w:val="15"/>
                <w:color w:val="0000EE"/>
                <w:w w:val="83"/>
              </w:rPr>
            </w:pPr>
            <w:hyperlink w:anchor="page45">
              <w:r>
                <w:rPr>
                  <w:rFonts w:ascii="Arial" w:cs="Arial" w:eastAsia="Arial" w:hAnsi="Arial"/>
                  <w:sz w:val="15"/>
                  <w:szCs w:val="15"/>
                  <w:color w:val="0000EE"/>
                  <w:w w:val="83"/>
                </w:rPr>
                <w:t>33</w:t>
              </w:r>
            </w:hyperlink>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2018 Guidance</w:t>
            </w: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29">
              <w:r>
                <w:rPr>
                  <w:rFonts w:ascii="Arial" w:cs="Arial" w:eastAsia="Arial" w:hAnsi="Arial"/>
                  <w:sz w:val="15"/>
                  <w:szCs w:val="15"/>
                  <w:color w:val="0000EE"/>
                  <w:w w:val="83"/>
                </w:rPr>
                <w:t>17</w:t>
              </w:r>
            </w:hyperlink>
          </w:p>
        </w:tc>
        <w:tc>
          <w:tcPr>
            <w:tcW w:w="5400" w:type="dxa"/>
            <w:vAlign w:val="bottom"/>
          </w:tcPr>
          <w:p>
            <w:pPr>
              <w:ind w:left="580"/>
              <w:spacing w:after="0"/>
              <w:rPr>
                <w:sz w:val="20"/>
                <w:szCs w:val="20"/>
                <w:color w:val="auto"/>
              </w:rPr>
            </w:pPr>
            <w:r>
              <w:rPr>
                <w:rFonts w:ascii="Arial" w:cs="Arial" w:eastAsia="Arial" w:hAnsi="Arial"/>
                <w:sz w:val="15"/>
                <w:szCs w:val="15"/>
                <w:color w:val="auto"/>
              </w:rPr>
              <w:t>Fund Lease Expirations</w:t>
            </w:r>
          </w:p>
        </w:tc>
        <w:tc>
          <w:tcPr>
            <w:tcW w:w="160" w:type="dxa"/>
            <w:vAlign w:val="bottom"/>
            <w:tcBorders>
              <w:bottom w:val="single" w:sz="8" w:color="0000EE"/>
            </w:tcBorders>
          </w:tcPr>
          <w:p>
            <w:pPr>
              <w:jc w:val="right"/>
              <w:spacing w:after="0"/>
              <w:rPr>
                <w:rFonts w:ascii="Arial" w:cs="Arial" w:eastAsia="Arial" w:hAnsi="Arial"/>
                <w:sz w:val="15"/>
                <w:szCs w:val="15"/>
                <w:color w:val="0000EE"/>
                <w:w w:val="83"/>
              </w:rPr>
            </w:pPr>
            <w:hyperlink w:anchor="page47">
              <w:r>
                <w:rPr>
                  <w:rFonts w:ascii="Arial" w:cs="Arial" w:eastAsia="Arial" w:hAnsi="Arial"/>
                  <w:sz w:val="15"/>
                  <w:szCs w:val="15"/>
                  <w:color w:val="0000EE"/>
                  <w:w w:val="83"/>
                </w:rPr>
                <w:t>35</w:t>
              </w:r>
            </w:hyperlink>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Net Asset Valuation Information</w:t>
            </w: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30">
              <w:r>
                <w:rPr>
                  <w:rFonts w:ascii="Arial" w:cs="Arial" w:eastAsia="Arial" w:hAnsi="Arial"/>
                  <w:sz w:val="15"/>
                  <w:szCs w:val="15"/>
                  <w:color w:val="0000EE"/>
                  <w:w w:val="83"/>
                </w:rPr>
                <w:t>18</w:t>
              </w:r>
            </w:hyperlink>
          </w:p>
        </w:tc>
        <w:tc>
          <w:tcPr>
            <w:tcW w:w="5400" w:type="dxa"/>
            <w:vAlign w:val="bottom"/>
          </w:tcPr>
          <w:p>
            <w:pPr>
              <w:ind w:left="580"/>
              <w:spacing w:after="0"/>
              <w:rPr>
                <w:sz w:val="20"/>
                <w:szCs w:val="20"/>
                <w:color w:val="auto"/>
              </w:rPr>
            </w:pPr>
            <w:r>
              <w:rPr>
                <w:rFonts w:ascii="Arial" w:cs="Arial" w:eastAsia="Arial" w:hAnsi="Arial"/>
                <w:sz w:val="15"/>
                <w:szCs w:val="15"/>
                <w:color w:val="auto"/>
              </w:rPr>
              <w:t>Fund Development and Redevelopment Activity</w:t>
            </w:r>
          </w:p>
        </w:tc>
        <w:tc>
          <w:tcPr>
            <w:tcW w:w="160" w:type="dxa"/>
            <w:vAlign w:val="bottom"/>
            <w:tcBorders>
              <w:bottom w:val="single" w:sz="8" w:color="0000EE"/>
            </w:tcBorders>
          </w:tcPr>
          <w:p>
            <w:pPr>
              <w:jc w:val="right"/>
              <w:spacing w:after="0"/>
              <w:rPr>
                <w:rFonts w:ascii="Arial" w:cs="Arial" w:eastAsia="Arial" w:hAnsi="Arial"/>
                <w:sz w:val="15"/>
                <w:szCs w:val="15"/>
                <w:color w:val="0000EE"/>
                <w:w w:val="83"/>
              </w:rPr>
            </w:pPr>
            <w:hyperlink w:anchor="page48">
              <w:r>
                <w:rPr>
                  <w:rFonts w:ascii="Arial" w:cs="Arial" w:eastAsia="Arial" w:hAnsi="Arial"/>
                  <w:sz w:val="15"/>
                  <w:szCs w:val="15"/>
                  <w:color w:val="0000EE"/>
                  <w:w w:val="83"/>
                </w:rPr>
                <w:t>36</w:t>
              </w:r>
            </w:hyperlink>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Selected Financial Ratios</w:t>
            </w: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31">
              <w:r>
                <w:rPr>
                  <w:rFonts w:ascii="Arial" w:cs="Arial" w:eastAsia="Arial" w:hAnsi="Arial"/>
                  <w:sz w:val="15"/>
                  <w:szCs w:val="15"/>
                  <w:color w:val="0000EE"/>
                  <w:w w:val="83"/>
                </w:rPr>
                <w:t>19</w:t>
              </w:r>
            </w:hyperlink>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4720" w:type="dxa"/>
            <w:vAlign w:val="bottom"/>
            <w:gridSpan w:val="4"/>
          </w:tcPr>
          <w:p>
            <w:pPr>
              <w:spacing w:after="0"/>
              <w:rPr>
                <w:sz w:val="20"/>
                <w:szCs w:val="20"/>
                <w:color w:val="auto"/>
              </w:rPr>
            </w:pPr>
            <w:r>
              <w:rPr>
                <w:rFonts w:ascii="Arial" w:cs="Arial" w:eastAsia="Arial" w:hAnsi="Arial"/>
                <w:sz w:val="15"/>
                <w:szCs w:val="15"/>
                <w:color w:val="auto"/>
              </w:rPr>
              <w:t>Debt Analysis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880" w:type="dxa"/>
            <w:vAlign w:val="bottom"/>
            <w:tcBorders>
              <w:top w:val="single" w:sz="8" w:color="auto"/>
            </w:tcBorders>
          </w:tcPr>
          <w:p>
            <w:pPr>
              <w:ind w:left="120"/>
              <w:spacing w:after="0"/>
              <w:rPr>
                <w:sz w:val="20"/>
                <w:szCs w:val="20"/>
                <w:color w:val="auto"/>
              </w:rPr>
            </w:pPr>
            <w:r>
              <w:rPr>
                <w:rFonts w:ascii="Arial" w:cs="Arial" w:eastAsia="Arial" w:hAnsi="Arial"/>
                <w:sz w:val="15"/>
                <w:szCs w:val="15"/>
                <w:color w:val="auto"/>
              </w:rPr>
              <w:t>Summary</w:t>
            </w:r>
          </w:p>
        </w:tc>
        <w:tc>
          <w:tcPr>
            <w:tcW w:w="3840" w:type="dxa"/>
            <w:vAlign w:val="bottom"/>
            <w:gridSpan w:val="3"/>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33">
              <w:r>
                <w:rPr>
                  <w:rFonts w:ascii="Arial" w:cs="Arial" w:eastAsia="Arial" w:hAnsi="Arial"/>
                  <w:sz w:val="15"/>
                  <w:szCs w:val="15"/>
                  <w:color w:val="0000EE"/>
                  <w:w w:val="83"/>
                </w:rPr>
                <w:t>21</w:t>
              </w:r>
            </w:hyperlink>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Detail</w:t>
            </w: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34">
              <w:r>
                <w:rPr>
                  <w:rFonts w:ascii="Arial" w:cs="Arial" w:eastAsia="Arial" w:hAnsi="Arial"/>
                  <w:sz w:val="15"/>
                  <w:szCs w:val="15"/>
                  <w:color w:val="0000EE"/>
                  <w:w w:val="83"/>
                </w:rPr>
                <w:t>22</w:t>
              </w:r>
            </w:hyperlink>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4720" w:type="dxa"/>
            <w:vAlign w:val="bottom"/>
            <w:gridSpan w:val="4"/>
          </w:tcPr>
          <w:p>
            <w:pPr>
              <w:ind w:left="120"/>
              <w:spacing w:after="0"/>
              <w:rPr>
                <w:sz w:val="20"/>
                <w:szCs w:val="20"/>
                <w:color w:val="auto"/>
              </w:rPr>
            </w:pPr>
            <w:r>
              <w:rPr>
                <w:rFonts w:ascii="Arial" w:cs="Arial" w:eastAsia="Arial" w:hAnsi="Arial"/>
                <w:sz w:val="15"/>
                <w:szCs w:val="15"/>
                <w:color w:val="auto"/>
              </w:rPr>
              <w:t>Maturities</w:t>
            </w: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36">
              <w:r>
                <w:rPr>
                  <w:rFonts w:ascii="Arial" w:cs="Arial" w:eastAsia="Arial" w:hAnsi="Arial"/>
                  <w:sz w:val="15"/>
                  <w:szCs w:val="15"/>
                  <w:color w:val="0000EE"/>
                  <w:w w:val="83"/>
                </w:rPr>
                <w:t>24</w:t>
              </w:r>
            </w:hyperlink>
          </w:p>
        </w:tc>
        <w:tc>
          <w:tcPr>
            <w:tcW w:w="5400" w:type="dxa"/>
            <w:vAlign w:val="bottom"/>
          </w:tcPr>
          <w:p>
            <w:pPr>
              <w:ind w:left="580"/>
              <w:spacing w:after="0"/>
              <w:rPr>
                <w:sz w:val="20"/>
                <w:szCs w:val="20"/>
                <w:color w:val="auto"/>
              </w:rPr>
            </w:pPr>
            <w:r>
              <w:rPr>
                <w:rFonts w:ascii="Arial" w:cs="Arial" w:eastAsia="Arial" w:hAnsi="Arial"/>
                <w:sz w:val="15"/>
                <w:szCs w:val="15"/>
                <w:color w:val="auto"/>
              </w:rPr>
              <w:t>Important Notes</w:t>
            </w:r>
          </w:p>
        </w:tc>
        <w:tc>
          <w:tcPr>
            <w:tcW w:w="160" w:type="dxa"/>
            <w:vAlign w:val="bottom"/>
            <w:tcBorders>
              <w:bottom w:val="single" w:sz="8" w:color="0000EE"/>
            </w:tcBorders>
          </w:tcPr>
          <w:p>
            <w:pPr>
              <w:jc w:val="right"/>
              <w:spacing w:after="0"/>
              <w:rPr>
                <w:rFonts w:ascii="Arial" w:cs="Arial" w:eastAsia="Arial" w:hAnsi="Arial"/>
                <w:sz w:val="15"/>
                <w:szCs w:val="15"/>
                <w:color w:val="0000EE"/>
                <w:w w:val="83"/>
              </w:rPr>
            </w:pPr>
            <w:hyperlink w:anchor="page49">
              <w:r>
                <w:rPr>
                  <w:rFonts w:ascii="Arial" w:cs="Arial" w:eastAsia="Arial" w:hAnsi="Arial"/>
                  <w:sz w:val="15"/>
                  <w:szCs w:val="15"/>
                  <w:color w:val="0000EE"/>
                  <w:w w:val="83"/>
                </w:rPr>
                <w:t>37</w:t>
              </w:r>
            </w:hyperlink>
          </w:p>
        </w:tc>
      </w:tr>
    </w:tbl>
    <w:p>
      <w:pPr>
        <w:spacing w:after="0" w:line="276" w:lineRule="exact"/>
        <w:rPr>
          <w:sz w:val="20"/>
          <w:szCs w:val="20"/>
          <w:color w:val="auto"/>
        </w:rPr>
      </w:pPr>
    </w:p>
    <w:p>
      <w:pPr>
        <w:ind w:left="3120"/>
        <w:spacing w:after="0"/>
        <w:rPr>
          <w:sz w:val="20"/>
          <w:szCs w:val="20"/>
          <w:color w:val="auto"/>
        </w:rPr>
      </w:pPr>
      <w:r>
        <w:rPr>
          <w:rFonts w:ascii="Arial" w:cs="Arial" w:eastAsia="Arial" w:hAnsi="Arial"/>
          <w:sz w:val="15"/>
          <w:szCs w:val="15"/>
          <w:b w:val="1"/>
          <w:bCs w:val="1"/>
          <w:color w:val="828282"/>
        </w:rPr>
        <w:t xml:space="preserve">Visit </w:t>
      </w:r>
      <w:r>
        <w:rPr>
          <w:rFonts w:ascii="Arial" w:cs="Arial" w:eastAsia="Arial" w:hAnsi="Arial"/>
          <w:sz w:val="15"/>
          <w:szCs w:val="15"/>
          <w:b w:val="1"/>
          <w:bCs w:val="1"/>
          <w:u w:val="single" w:color="auto"/>
          <w:color w:val="828282"/>
        </w:rPr>
        <w:t>www.acadiarealty.com</w:t>
      </w:r>
      <w:r>
        <w:rPr>
          <w:rFonts w:ascii="Arial" w:cs="Arial" w:eastAsia="Arial" w:hAnsi="Arial"/>
          <w:sz w:val="15"/>
          <w:szCs w:val="15"/>
          <w:b w:val="1"/>
          <w:bCs w:val="1"/>
          <w:color w:val="828282"/>
        </w:rPr>
        <w:t xml:space="preserve"> for additional investor and portfolio information</w:t>
      </w: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Supplemental Report – March 31, 2018</w:t>
      </w:r>
    </w:p>
    <w:p>
      <w:pPr>
        <w:sectPr>
          <w:pgSz w:w="11900" w:h="16838" w:orient="portrait"/>
          <w:cols w:equalWidth="0" w:num="1">
            <w:col w:w="10960"/>
          </w:cols>
          <w:pgMar w:left="220" w:top="443" w:right="719" w:bottom="1440" w:gutter="0" w:footer="0" w:header="0"/>
        </w:sectPr>
      </w:pPr>
    </w:p>
    <w:bookmarkStart w:id="14" w:name="page15"/>
    <w:bookmarkEnd w:id="14"/>
    <w:p>
      <w:pPr>
        <w:ind w:left="400"/>
        <w:spacing w:after="0"/>
        <w:rPr>
          <w:sz w:val="20"/>
          <w:szCs w:val="20"/>
          <w:color w:val="auto"/>
        </w:rPr>
      </w:pPr>
      <w:r>
        <w:rPr>
          <w:rFonts w:ascii="Arial" w:cs="Arial" w:eastAsia="Arial" w:hAnsi="Arial"/>
          <w:sz w:val="20"/>
          <w:szCs w:val="20"/>
          <w:b w:val="1"/>
          <w:bCs w:val="1"/>
          <w:color w:val="auto"/>
        </w:rPr>
        <w:t>Company</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19685</wp:posOffset>
            </wp:positionV>
            <wp:extent cx="66344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34480" cy="6985"/>
                    </a:xfrm>
                    <a:prstGeom prst="rect">
                      <a:avLst/>
                    </a:prstGeom>
                    <a:noFill/>
                  </pic:spPr>
                </pic:pic>
              </a:graphicData>
            </a:graphic>
          </wp:anchor>
        </w:drawing>
      </w:r>
    </w:p>
    <w:p>
      <w:pPr>
        <w:spacing w:after="0" w:line="262" w:lineRule="exact"/>
        <w:rPr>
          <w:sz w:val="20"/>
          <w:szCs w:val="20"/>
          <w:color w:val="auto"/>
        </w:rPr>
      </w:pPr>
    </w:p>
    <w:p>
      <w:pPr>
        <w:jc w:val="both"/>
        <w:ind w:left="400" w:right="20"/>
        <w:spacing w:after="0" w:line="231" w:lineRule="auto"/>
        <w:rPr>
          <w:sz w:val="20"/>
          <w:szCs w:val="20"/>
          <w:color w:val="auto"/>
        </w:rPr>
      </w:pPr>
      <w:r>
        <w:rPr>
          <w:rFonts w:ascii="Arial" w:cs="Arial" w:eastAsia="Arial" w:hAnsi="Arial"/>
          <w:sz w:val="15"/>
          <w:szCs w:val="15"/>
          <w:color w:val="auto"/>
        </w:rPr>
        <w:t xml:space="preserve">Acadia Realty Trust is a fully-integrated equity real estate investment trust, focused on the ownership, acquisition, redevelopment and management of high-quality retail properties located in key street and urban retail corridors as well as suburban locations within high-barrier-to-entry, densely-populated metropolitan areas. Acadia owns, or has an ownership interest in, these properties through its core portfolio and through a series of opportunistic/value-add investment funds. Additional information may be found on the Company’s website at </w:t>
      </w:r>
      <w:r>
        <w:rPr>
          <w:rFonts w:ascii="Arial" w:cs="Arial" w:eastAsia="Arial" w:hAnsi="Arial"/>
          <w:sz w:val="15"/>
          <w:szCs w:val="15"/>
          <w:u w:val="single" w:color="auto"/>
          <w:color w:val="auto"/>
        </w:rPr>
        <w:t>www.acadiarealty.com</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147955</wp:posOffset>
            </wp:positionV>
            <wp:extent cx="66344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34480" cy="698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4580" w:type="dxa"/>
            <w:vAlign w:val="bottom"/>
            <w:gridSpan w:val="4"/>
          </w:tcPr>
          <w:p>
            <w:pPr>
              <w:ind w:left="20"/>
              <w:spacing w:after="0"/>
              <w:rPr>
                <w:sz w:val="20"/>
                <w:szCs w:val="20"/>
                <w:color w:val="auto"/>
              </w:rPr>
            </w:pPr>
            <w:r>
              <w:rPr>
                <w:rFonts w:ascii="Arial" w:cs="Arial" w:eastAsia="Arial" w:hAnsi="Arial"/>
                <w:sz w:val="15"/>
                <w:szCs w:val="15"/>
                <w:b w:val="1"/>
                <w:bCs w:val="1"/>
                <w:color w:val="auto"/>
              </w:rPr>
              <w:t>Contact Information</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481"/>
        </w:trPr>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Arial" w:cs="Arial" w:eastAsia="Arial" w:hAnsi="Arial"/>
                <w:sz w:val="15"/>
                <w:szCs w:val="15"/>
                <w:b w:val="1"/>
                <w:bCs w:val="1"/>
                <w:color w:val="auto"/>
              </w:rPr>
              <w:t>Corporate Headquarters</w:t>
            </w:r>
          </w:p>
        </w:tc>
        <w:tc>
          <w:tcPr>
            <w:tcW w:w="2960" w:type="dxa"/>
            <w:vAlign w:val="bottom"/>
            <w:gridSpan w:val="6"/>
          </w:tcPr>
          <w:p>
            <w:pPr>
              <w:ind w:left="240"/>
              <w:spacing w:after="0"/>
              <w:rPr>
                <w:sz w:val="20"/>
                <w:szCs w:val="20"/>
                <w:color w:val="auto"/>
              </w:rPr>
            </w:pPr>
            <w:r>
              <w:rPr>
                <w:rFonts w:ascii="Arial" w:cs="Arial" w:eastAsia="Arial" w:hAnsi="Arial"/>
                <w:sz w:val="15"/>
                <w:szCs w:val="15"/>
                <w:b w:val="1"/>
                <w:bCs w:val="1"/>
                <w:color w:val="auto"/>
              </w:rPr>
              <w:t>Investor Relations</w:t>
            </w:r>
          </w:p>
        </w:tc>
        <w:tc>
          <w:tcPr>
            <w:tcW w:w="2900" w:type="dxa"/>
            <w:vAlign w:val="bottom"/>
            <w:gridSpan w:val="3"/>
          </w:tcPr>
          <w:p>
            <w:pPr>
              <w:spacing w:after="0"/>
              <w:rPr>
                <w:sz w:val="20"/>
                <w:szCs w:val="20"/>
                <w:color w:val="auto"/>
              </w:rPr>
            </w:pPr>
            <w:r>
              <w:rPr>
                <w:rFonts w:ascii="Arial" w:cs="Arial" w:eastAsia="Arial" w:hAnsi="Arial"/>
                <w:sz w:val="15"/>
                <w:szCs w:val="15"/>
                <w:b w:val="1"/>
                <w:bCs w:val="1"/>
                <w:color w:val="auto"/>
              </w:rPr>
              <w:t>New York Stock Exchange</w:t>
            </w:r>
          </w:p>
        </w:tc>
      </w:tr>
      <w:tr>
        <w:trPr>
          <w:trHeight w:val="219"/>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Arial" w:cs="Arial" w:eastAsia="Arial" w:hAnsi="Arial"/>
                <w:sz w:val="15"/>
                <w:szCs w:val="15"/>
                <w:color w:val="auto"/>
              </w:rPr>
              <w:t>411 Theodore Fremd Avenue</w:t>
            </w:r>
          </w:p>
        </w:tc>
        <w:tc>
          <w:tcPr>
            <w:tcW w:w="2960" w:type="dxa"/>
            <w:vAlign w:val="bottom"/>
            <w:gridSpan w:val="6"/>
          </w:tcPr>
          <w:p>
            <w:pPr>
              <w:ind w:left="240"/>
              <w:spacing w:after="0"/>
              <w:rPr>
                <w:sz w:val="20"/>
                <w:szCs w:val="20"/>
                <w:color w:val="auto"/>
              </w:rPr>
            </w:pPr>
            <w:r>
              <w:rPr>
                <w:rFonts w:ascii="Arial" w:cs="Arial" w:eastAsia="Arial" w:hAnsi="Arial"/>
                <w:sz w:val="15"/>
                <w:szCs w:val="15"/>
                <w:color w:val="auto"/>
              </w:rPr>
              <w:t>Amy Racanello</w:t>
            </w:r>
          </w:p>
        </w:tc>
        <w:tc>
          <w:tcPr>
            <w:tcW w:w="2900" w:type="dxa"/>
            <w:vAlign w:val="bottom"/>
            <w:gridSpan w:val="3"/>
          </w:tcPr>
          <w:p>
            <w:pPr>
              <w:spacing w:after="0"/>
              <w:rPr>
                <w:sz w:val="20"/>
                <w:szCs w:val="20"/>
                <w:color w:val="auto"/>
              </w:rPr>
            </w:pPr>
            <w:r>
              <w:rPr>
                <w:rFonts w:ascii="Arial" w:cs="Arial" w:eastAsia="Arial" w:hAnsi="Arial"/>
                <w:sz w:val="15"/>
                <w:szCs w:val="15"/>
                <w:color w:val="auto"/>
              </w:rPr>
              <w:t>Symbol AKR</w:t>
            </w:r>
          </w:p>
        </w:tc>
      </w:tr>
      <w:tr>
        <w:trPr>
          <w:trHeight w:val="219"/>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Arial" w:cs="Arial" w:eastAsia="Arial" w:hAnsi="Arial"/>
                <w:sz w:val="15"/>
                <w:szCs w:val="15"/>
                <w:color w:val="auto"/>
              </w:rPr>
              <w:t>Suite 300</w:t>
            </w:r>
          </w:p>
        </w:tc>
        <w:tc>
          <w:tcPr>
            <w:tcW w:w="2960" w:type="dxa"/>
            <w:vAlign w:val="bottom"/>
            <w:gridSpan w:val="6"/>
          </w:tcPr>
          <w:p>
            <w:pPr>
              <w:ind w:left="240"/>
              <w:spacing w:after="0"/>
              <w:rPr>
                <w:sz w:val="20"/>
                <w:szCs w:val="20"/>
                <w:color w:val="auto"/>
              </w:rPr>
            </w:pPr>
            <w:r>
              <w:rPr>
                <w:rFonts w:ascii="Arial" w:cs="Arial" w:eastAsia="Arial" w:hAnsi="Arial"/>
                <w:sz w:val="15"/>
                <w:szCs w:val="15"/>
                <w:color w:val="auto"/>
              </w:rPr>
              <w:t>Senior Vice President,</w:t>
            </w: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Arial" w:cs="Arial" w:eastAsia="Arial" w:hAnsi="Arial"/>
                <w:sz w:val="15"/>
                <w:szCs w:val="15"/>
                <w:color w:val="auto"/>
              </w:rPr>
              <w:t>Rye, NY 10580</w:t>
            </w:r>
          </w:p>
        </w:tc>
        <w:tc>
          <w:tcPr>
            <w:tcW w:w="2960" w:type="dxa"/>
            <w:vAlign w:val="bottom"/>
            <w:gridSpan w:val="6"/>
          </w:tcPr>
          <w:p>
            <w:pPr>
              <w:ind w:left="240"/>
              <w:spacing w:after="0"/>
              <w:rPr>
                <w:sz w:val="20"/>
                <w:szCs w:val="20"/>
                <w:color w:val="auto"/>
              </w:rPr>
            </w:pPr>
            <w:r>
              <w:rPr>
                <w:rFonts w:ascii="Arial" w:cs="Arial" w:eastAsia="Arial" w:hAnsi="Arial"/>
                <w:sz w:val="15"/>
                <w:szCs w:val="15"/>
                <w:color w:val="auto"/>
              </w:rPr>
              <w:t>Capital Markets &amp; Investments</w:t>
            </w: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gridSpan w:val="2"/>
          </w:tcPr>
          <w:p>
            <w:pPr>
              <w:ind w:left="240"/>
              <w:spacing w:after="0"/>
              <w:rPr>
                <w:sz w:val="20"/>
                <w:szCs w:val="20"/>
                <w:color w:val="auto"/>
              </w:rPr>
            </w:pPr>
            <w:r>
              <w:rPr>
                <w:rFonts w:ascii="Arial" w:cs="Arial" w:eastAsia="Arial" w:hAnsi="Arial"/>
                <w:sz w:val="15"/>
                <w:szCs w:val="15"/>
                <w:color w:val="auto"/>
              </w:rPr>
              <w:t>(914) 288-3345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88"/>
        </w:trPr>
        <w:tc>
          <w:tcPr>
            <w:tcW w:w="3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gridSpan w:val="6"/>
          </w:tcPr>
          <w:p>
            <w:pPr>
              <w:ind w:left="240"/>
              <w:spacing w:after="0"/>
              <w:rPr>
                <w:sz w:val="20"/>
                <w:szCs w:val="20"/>
                <w:color w:val="auto"/>
              </w:rPr>
            </w:pPr>
            <w:r>
              <w:rPr>
                <w:rFonts w:ascii="Arial" w:cs="Arial" w:eastAsia="Arial" w:hAnsi="Arial"/>
                <w:sz w:val="15"/>
                <w:szCs w:val="15"/>
                <w:color w:val="006EBF"/>
              </w:rPr>
              <w:t>aracanello@acadiarealty.com</w:t>
            </w: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86"/>
        </w:trPr>
        <w:tc>
          <w:tcPr>
            <w:tcW w:w="380" w:type="dxa"/>
            <w:vAlign w:val="bottom"/>
          </w:tcPr>
          <w:p>
            <w:pPr>
              <w:spacing w:after="0"/>
              <w:rPr>
                <w:sz w:val="24"/>
                <w:szCs w:val="24"/>
                <w:color w:val="auto"/>
              </w:rPr>
            </w:pPr>
          </w:p>
        </w:tc>
        <w:tc>
          <w:tcPr>
            <w:tcW w:w="2100" w:type="dxa"/>
            <w:vAlign w:val="bottom"/>
            <w:tcBorders>
              <w:bottom w:val="single" w:sz="8" w:color="828282"/>
            </w:tcBorders>
          </w:tcPr>
          <w:p>
            <w:pPr>
              <w:spacing w:after="0"/>
              <w:rPr>
                <w:sz w:val="24"/>
                <w:szCs w:val="24"/>
                <w:color w:val="auto"/>
              </w:rPr>
            </w:pPr>
          </w:p>
        </w:tc>
        <w:tc>
          <w:tcPr>
            <w:tcW w:w="1620" w:type="dxa"/>
            <w:vAlign w:val="bottom"/>
            <w:tcBorders>
              <w:bottom w:val="single" w:sz="8" w:color="828282"/>
            </w:tcBorders>
          </w:tcPr>
          <w:p>
            <w:pPr>
              <w:spacing w:after="0"/>
              <w:rPr>
                <w:sz w:val="24"/>
                <w:szCs w:val="24"/>
                <w:color w:val="auto"/>
              </w:rPr>
            </w:pPr>
          </w:p>
        </w:tc>
        <w:tc>
          <w:tcPr>
            <w:tcW w:w="320" w:type="dxa"/>
            <w:vAlign w:val="bottom"/>
            <w:tcBorders>
              <w:bottom w:val="single" w:sz="8" w:color="828282"/>
            </w:tcBorders>
          </w:tcPr>
          <w:p>
            <w:pPr>
              <w:spacing w:after="0"/>
              <w:rPr>
                <w:sz w:val="24"/>
                <w:szCs w:val="24"/>
                <w:color w:val="auto"/>
              </w:rPr>
            </w:pPr>
          </w:p>
        </w:tc>
        <w:tc>
          <w:tcPr>
            <w:tcW w:w="540" w:type="dxa"/>
            <w:vAlign w:val="bottom"/>
            <w:tcBorders>
              <w:bottom w:val="single" w:sz="8" w:color="828282"/>
            </w:tcBorders>
          </w:tcPr>
          <w:p>
            <w:pPr>
              <w:spacing w:after="0"/>
              <w:rPr>
                <w:sz w:val="24"/>
                <w:szCs w:val="24"/>
                <w:color w:val="auto"/>
              </w:rPr>
            </w:pPr>
          </w:p>
        </w:tc>
        <w:tc>
          <w:tcPr>
            <w:tcW w:w="240" w:type="dxa"/>
            <w:vAlign w:val="bottom"/>
            <w:tcBorders>
              <w:bottom w:val="single" w:sz="8" w:color="828282"/>
            </w:tcBorders>
          </w:tcPr>
          <w:p>
            <w:pPr>
              <w:spacing w:after="0"/>
              <w:rPr>
                <w:sz w:val="24"/>
                <w:szCs w:val="24"/>
                <w:color w:val="auto"/>
              </w:rPr>
            </w:pPr>
          </w:p>
        </w:tc>
        <w:tc>
          <w:tcPr>
            <w:tcW w:w="1300" w:type="dxa"/>
            <w:vAlign w:val="bottom"/>
            <w:tcBorders>
              <w:top w:val="single" w:sz="8" w:color="006EBF"/>
              <w:bottom w:val="single" w:sz="8" w:color="828282"/>
            </w:tcBorders>
          </w:tcPr>
          <w:p>
            <w:pPr>
              <w:spacing w:after="0"/>
              <w:rPr>
                <w:sz w:val="24"/>
                <w:szCs w:val="24"/>
                <w:color w:val="auto"/>
              </w:rPr>
            </w:pPr>
          </w:p>
        </w:tc>
        <w:tc>
          <w:tcPr>
            <w:tcW w:w="300" w:type="dxa"/>
            <w:vAlign w:val="bottom"/>
            <w:tcBorders>
              <w:top w:val="single" w:sz="8" w:color="006EBF"/>
              <w:bottom w:val="single" w:sz="8" w:color="828282"/>
            </w:tcBorders>
          </w:tcPr>
          <w:p>
            <w:pPr>
              <w:spacing w:after="0"/>
              <w:rPr>
                <w:sz w:val="24"/>
                <w:szCs w:val="24"/>
                <w:color w:val="auto"/>
              </w:rPr>
            </w:pPr>
          </w:p>
        </w:tc>
        <w:tc>
          <w:tcPr>
            <w:tcW w:w="300" w:type="dxa"/>
            <w:vAlign w:val="bottom"/>
            <w:tcBorders>
              <w:top w:val="single" w:sz="8" w:color="006EBF"/>
              <w:bottom w:val="single" w:sz="8" w:color="828282"/>
            </w:tcBorders>
          </w:tcPr>
          <w:p>
            <w:pPr>
              <w:spacing w:after="0"/>
              <w:rPr>
                <w:sz w:val="24"/>
                <w:szCs w:val="24"/>
                <w:color w:val="auto"/>
              </w:rPr>
            </w:pPr>
          </w:p>
        </w:tc>
        <w:tc>
          <w:tcPr>
            <w:tcW w:w="300" w:type="dxa"/>
            <w:vAlign w:val="bottom"/>
            <w:tcBorders>
              <w:bottom w:val="single" w:sz="8" w:color="828282"/>
            </w:tcBorders>
          </w:tcPr>
          <w:p>
            <w:pPr>
              <w:spacing w:after="0"/>
              <w:rPr>
                <w:sz w:val="24"/>
                <w:szCs w:val="24"/>
                <w:color w:val="auto"/>
              </w:rPr>
            </w:pPr>
          </w:p>
        </w:tc>
        <w:tc>
          <w:tcPr>
            <w:tcW w:w="520" w:type="dxa"/>
            <w:vAlign w:val="bottom"/>
            <w:tcBorders>
              <w:bottom w:val="single" w:sz="8" w:color="828282"/>
            </w:tcBorders>
          </w:tcPr>
          <w:p>
            <w:pPr>
              <w:spacing w:after="0"/>
              <w:rPr>
                <w:sz w:val="24"/>
                <w:szCs w:val="24"/>
                <w:color w:val="auto"/>
              </w:rPr>
            </w:pPr>
          </w:p>
        </w:tc>
        <w:tc>
          <w:tcPr>
            <w:tcW w:w="1200" w:type="dxa"/>
            <w:vAlign w:val="bottom"/>
            <w:tcBorders>
              <w:bottom w:val="single" w:sz="8" w:color="828282"/>
            </w:tcBorders>
          </w:tcPr>
          <w:p>
            <w:pPr>
              <w:spacing w:after="0"/>
              <w:rPr>
                <w:sz w:val="24"/>
                <w:szCs w:val="24"/>
                <w:color w:val="auto"/>
              </w:rPr>
            </w:pPr>
          </w:p>
        </w:tc>
        <w:tc>
          <w:tcPr>
            <w:tcW w:w="1020" w:type="dxa"/>
            <w:vAlign w:val="bottom"/>
            <w:tcBorders>
              <w:bottom w:val="single" w:sz="8" w:color="828282"/>
            </w:tcBorders>
          </w:tcPr>
          <w:p>
            <w:pPr>
              <w:spacing w:after="0"/>
              <w:rPr>
                <w:sz w:val="24"/>
                <w:szCs w:val="24"/>
                <w:color w:val="auto"/>
              </w:rPr>
            </w:pPr>
          </w:p>
        </w:tc>
        <w:tc>
          <w:tcPr>
            <w:tcW w:w="680" w:type="dxa"/>
            <w:vAlign w:val="bottom"/>
            <w:tcBorders>
              <w:bottom w:val="single" w:sz="8" w:color="828282"/>
            </w:tcBorders>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4580" w:type="dxa"/>
            <w:vAlign w:val="bottom"/>
            <w:gridSpan w:val="4"/>
          </w:tcPr>
          <w:p>
            <w:pPr>
              <w:ind w:left="20"/>
              <w:spacing w:after="0"/>
              <w:rPr>
                <w:sz w:val="20"/>
                <w:szCs w:val="20"/>
                <w:color w:val="auto"/>
              </w:rPr>
            </w:pPr>
            <w:r>
              <w:rPr>
                <w:rFonts w:ascii="Arial" w:cs="Arial" w:eastAsia="Arial" w:hAnsi="Arial"/>
                <w:sz w:val="15"/>
                <w:szCs w:val="15"/>
                <w:b w:val="1"/>
                <w:bCs w:val="1"/>
                <w:color w:val="auto"/>
              </w:rPr>
              <w:t>Analyst Coverage</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81"/>
        </w:trPr>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Arial" w:cs="Arial" w:eastAsia="Arial" w:hAnsi="Arial"/>
                <w:sz w:val="15"/>
                <w:szCs w:val="15"/>
                <w:b w:val="1"/>
                <w:bCs w:val="1"/>
                <w:color w:val="auto"/>
              </w:rPr>
              <w:t>Bank of America / Merrill Lynch</w:t>
            </w:r>
          </w:p>
        </w:tc>
        <w:tc>
          <w:tcPr>
            <w:tcW w:w="2960" w:type="dxa"/>
            <w:vAlign w:val="bottom"/>
            <w:gridSpan w:val="6"/>
          </w:tcPr>
          <w:p>
            <w:pPr>
              <w:ind w:left="240"/>
              <w:spacing w:after="0"/>
              <w:rPr>
                <w:sz w:val="20"/>
                <w:szCs w:val="20"/>
                <w:color w:val="auto"/>
              </w:rPr>
            </w:pPr>
            <w:r>
              <w:rPr>
                <w:rFonts w:ascii="Arial" w:cs="Arial" w:eastAsia="Arial" w:hAnsi="Arial"/>
                <w:sz w:val="15"/>
                <w:szCs w:val="15"/>
                <w:b w:val="1"/>
                <w:bCs w:val="1"/>
                <w:color w:val="auto"/>
              </w:rPr>
              <w:t>BTIG</w:t>
            </w:r>
          </w:p>
        </w:tc>
        <w:tc>
          <w:tcPr>
            <w:tcW w:w="2900" w:type="dxa"/>
            <w:vAlign w:val="bottom"/>
            <w:gridSpan w:val="3"/>
          </w:tcPr>
          <w:p>
            <w:pPr>
              <w:spacing w:after="0"/>
              <w:rPr>
                <w:sz w:val="20"/>
                <w:szCs w:val="20"/>
                <w:color w:val="auto"/>
              </w:rPr>
            </w:pPr>
            <w:r>
              <w:rPr>
                <w:rFonts w:ascii="Arial" w:cs="Arial" w:eastAsia="Arial" w:hAnsi="Arial"/>
                <w:sz w:val="15"/>
                <w:szCs w:val="15"/>
                <w:b w:val="1"/>
                <w:bCs w:val="1"/>
                <w:color w:val="auto"/>
              </w:rPr>
              <w:t>KeyBanc Capital Markets, Inc.</w:t>
            </w:r>
          </w:p>
        </w:tc>
      </w:tr>
      <w:tr>
        <w:trPr>
          <w:trHeight w:val="219"/>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Arial" w:cs="Arial" w:eastAsia="Arial" w:hAnsi="Arial"/>
                <w:sz w:val="15"/>
                <w:szCs w:val="15"/>
                <w:color w:val="auto"/>
              </w:rPr>
              <w:t>Craig Schmidt - (646) 855-3640</w:t>
            </w:r>
          </w:p>
        </w:tc>
        <w:tc>
          <w:tcPr>
            <w:tcW w:w="2960" w:type="dxa"/>
            <w:vAlign w:val="bottom"/>
            <w:gridSpan w:val="6"/>
          </w:tcPr>
          <w:p>
            <w:pPr>
              <w:ind w:left="240"/>
              <w:spacing w:after="0"/>
              <w:rPr>
                <w:sz w:val="20"/>
                <w:szCs w:val="20"/>
                <w:color w:val="auto"/>
              </w:rPr>
            </w:pPr>
            <w:r>
              <w:rPr>
                <w:rFonts w:ascii="Arial" w:cs="Arial" w:eastAsia="Arial" w:hAnsi="Arial"/>
                <w:sz w:val="15"/>
                <w:szCs w:val="15"/>
                <w:color w:val="auto"/>
              </w:rPr>
              <w:t>Michael Gorman - (212) 738-6138</w:t>
            </w:r>
          </w:p>
        </w:tc>
        <w:tc>
          <w:tcPr>
            <w:tcW w:w="2900" w:type="dxa"/>
            <w:vAlign w:val="bottom"/>
            <w:gridSpan w:val="3"/>
          </w:tcPr>
          <w:p>
            <w:pPr>
              <w:spacing w:after="0"/>
              <w:rPr>
                <w:sz w:val="20"/>
                <w:szCs w:val="20"/>
                <w:color w:val="auto"/>
              </w:rPr>
            </w:pPr>
            <w:r>
              <w:rPr>
                <w:rFonts w:ascii="Arial" w:cs="Arial" w:eastAsia="Arial" w:hAnsi="Arial"/>
                <w:sz w:val="15"/>
                <w:szCs w:val="15"/>
                <w:color w:val="auto"/>
              </w:rPr>
              <w:t>Todd Thomas - (917) 368-2286</w:t>
            </w:r>
          </w:p>
        </w:tc>
      </w:tr>
      <w:tr>
        <w:trPr>
          <w:trHeight w:val="188"/>
        </w:trPr>
        <w:tc>
          <w:tcPr>
            <w:tcW w:w="3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80" w:type="dxa"/>
            <w:vAlign w:val="bottom"/>
            <w:gridSpan w:val="3"/>
          </w:tcPr>
          <w:p>
            <w:pPr>
              <w:spacing w:after="0"/>
              <w:rPr>
                <w:sz w:val="20"/>
                <w:szCs w:val="20"/>
                <w:color w:val="auto"/>
              </w:rPr>
            </w:pPr>
            <w:r>
              <w:rPr>
                <w:rFonts w:ascii="Arial" w:cs="Arial" w:eastAsia="Arial" w:hAnsi="Arial"/>
                <w:sz w:val="15"/>
                <w:szCs w:val="15"/>
                <w:color w:val="006EBF"/>
              </w:rPr>
              <w:t>craig.schmidt@baml.com</w:t>
            </w:r>
          </w:p>
        </w:tc>
        <w:tc>
          <w:tcPr>
            <w:tcW w:w="2960" w:type="dxa"/>
            <w:vAlign w:val="bottom"/>
            <w:gridSpan w:val="6"/>
          </w:tcPr>
          <w:p>
            <w:pPr>
              <w:ind w:left="240"/>
              <w:spacing w:after="0"/>
              <w:rPr>
                <w:sz w:val="20"/>
                <w:szCs w:val="20"/>
                <w:color w:val="auto"/>
              </w:rPr>
            </w:pPr>
            <w:r>
              <w:rPr>
                <w:rFonts w:ascii="Arial" w:cs="Arial" w:eastAsia="Arial" w:hAnsi="Arial"/>
                <w:sz w:val="15"/>
                <w:szCs w:val="15"/>
                <w:color w:val="006EBF"/>
              </w:rPr>
              <w:t>mgorman@btig.com</w:t>
            </w:r>
          </w:p>
        </w:tc>
        <w:tc>
          <w:tcPr>
            <w:tcW w:w="2900" w:type="dxa"/>
            <w:vAlign w:val="bottom"/>
            <w:gridSpan w:val="3"/>
          </w:tcPr>
          <w:p>
            <w:pPr>
              <w:spacing w:after="0"/>
              <w:rPr>
                <w:sz w:val="20"/>
                <w:szCs w:val="20"/>
                <w:color w:val="auto"/>
              </w:rPr>
            </w:pPr>
            <w:r>
              <w:rPr>
                <w:rFonts w:ascii="Arial" w:cs="Arial" w:eastAsia="Arial" w:hAnsi="Arial"/>
                <w:sz w:val="15"/>
                <w:szCs w:val="15"/>
                <w:color w:val="006EBF"/>
              </w:rPr>
              <w:t>tthomas@key.com</w:t>
            </w:r>
          </w:p>
        </w:tc>
      </w:tr>
      <w:tr>
        <w:trPr>
          <w:trHeight w:val="20"/>
        </w:trPr>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shd w:val="clear" w:color="auto" w:fill="006EB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6EB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shd w:val="clear" w:color="auto" w:fill="006EB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885"/>
        </w:trPr>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Arial" w:cs="Arial" w:eastAsia="Arial" w:hAnsi="Arial"/>
                <w:sz w:val="15"/>
                <w:szCs w:val="15"/>
                <w:b w:val="1"/>
                <w:bCs w:val="1"/>
                <w:color w:val="auto"/>
              </w:rPr>
              <w:t>Boenning &amp; Scattergood</w:t>
            </w:r>
          </w:p>
        </w:tc>
        <w:tc>
          <w:tcPr>
            <w:tcW w:w="2960" w:type="dxa"/>
            <w:vAlign w:val="bottom"/>
            <w:gridSpan w:val="6"/>
          </w:tcPr>
          <w:p>
            <w:pPr>
              <w:ind w:left="240"/>
              <w:spacing w:after="0"/>
              <w:rPr>
                <w:sz w:val="20"/>
                <w:szCs w:val="20"/>
                <w:color w:val="auto"/>
              </w:rPr>
            </w:pPr>
            <w:r>
              <w:rPr>
                <w:rFonts w:ascii="Arial" w:cs="Arial" w:eastAsia="Arial" w:hAnsi="Arial"/>
                <w:sz w:val="15"/>
                <w:szCs w:val="15"/>
                <w:b w:val="1"/>
                <w:bCs w:val="1"/>
                <w:color w:val="auto"/>
              </w:rPr>
              <w:t>Citigroup - Global Markets</w:t>
            </w:r>
          </w:p>
        </w:tc>
        <w:tc>
          <w:tcPr>
            <w:tcW w:w="2900" w:type="dxa"/>
            <w:vAlign w:val="bottom"/>
            <w:gridSpan w:val="3"/>
          </w:tcPr>
          <w:p>
            <w:pPr>
              <w:spacing w:after="0"/>
              <w:rPr>
                <w:sz w:val="20"/>
                <w:szCs w:val="20"/>
                <w:color w:val="auto"/>
              </w:rPr>
            </w:pPr>
            <w:r>
              <w:rPr>
                <w:rFonts w:ascii="Arial" w:cs="Arial" w:eastAsia="Arial" w:hAnsi="Arial"/>
                <w:sz w:val="15"/>
                <w:szCs w:val="15"/>
                <w:b w:val="1"/>
                <w:bCs w:val="1"/>
                <w:color w:val="auto"/>
              </w:rPr>
              <w:t>J.P. Morgan Securities, Inc.</w:t>
            </w:r>
          </w:p>
        </w:tc>
      </w:tr>
      <w:tr>
        <w:trPr>
          <w:trHeight w:val="219"/>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Arial" w:cs="Arial" w:eastAsia="Arial" w:hAnsi="Arial"/>
                <w:sz w:val="15"/>
                <w:szCs w:val="15"/>
                <w:color w:val="auto"/>
              </w:rPr>
              <w:t>Floris van Dijkum - (212) 922-3572</w:t>
            </w:r>
          </w:p>
        </w:tc>
        <w:tc>
          <w:tcPr>
            <w:tcW w:w="2960" w:type="dxa"/>
            <w:vAlign w:val="bottom"/>
            <w:gridSpan w:val="6"/>
          </w:tcPr>
          <w:p>
            <w:pPr>
              <w:ind w:left="240"/>
              <w:spacing w:after="0"/>
              <w:rPr>
                <w:sz w:val="20"/>
                <w:szCs w:val="20"/>
                <w:color w:val="auto"/>
              </w:rPr>
            </w:pPr>
            <w:r>
              <w:rPr>
                <w:rFonts w:ascii="Arial" w:cs="Arial" w:eastAsia="Arial" w:hAnsi="Arial"/>
                <w:sz w:val="15"/>
                <w:szCs w:val="15"/>
                <w:color w:val="auto"/>
              </w:rPr>
              <w:t>Christy McElroy - (212) 816-6981</w:t>
            </w:r>
          </w:p>
        </w:tc>
        <w:tc>
          <w:tcPr>
            <w:tcW w:w="2900" w:type="dxa"/>
            <w:vAlign w:val="bottom"/>
            <w:gridSpan w:val="3"/>
          </w:tcPr>
          <w:p>
            <w:pPr>
              <w:spacing w:after="0"/>
              <w:rPr>
                <w:sz w:val="20"/>
                <w:szCs w:val="20"/>
                <w:color w:val="auto"/>
              </w:rPr>
            </w:pPr>
            <w:r>
              <w:rPr>
                <w:rFonts w:ascii="Arial" w:cs="Arial" w:eastAsia="Arial" w:hAnsi="Arial"/>
                <w:sz w:val="15"/>
                <w:szCs w:val="15"/>
                <w:color w:val="auto"/>
              </w:rPr>
              <w:t>Michael W. Mueller, CFA - (212) 622-6689</w:t>
            </w:r>
          </w:p>
        </w:tc>
      </w:tr>
      <w:tr>
        <w:trPr>
          <w:trHeight w:val="188"/>
        </w:trPr>
        <w:tc>
          <w:tcPr>
            <w:tcW w:w="3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Arial" w:cs="Arial" w:eastAsia="Arial" w:hAnsi="Arial"/>
                <w:sz w:val="15"/>
                <w:szCs w:val="15"/>
                <w:color w:val="006EBF"/>
                <w:w w:val="95"/>
              </w:rPr>
              <w:t>fvandijkum@boenninginc.com</w:t>
            </w:r>
          </w:p>
        </w:tc>
        <w:tc>
          <w:tcPr>
            <w:tcW w:w="540" w:type="dxa"/>
            <w:vAlign w:val="bottom"/>
          </w:tcPr>
          <w:p>
            <w:pPr>
              <w:spacing w:after="0"/>
              <w:rPr>
                <w:sz w:val="16"/>
                <w:szCs w:val="16"/>
                <w:color w:val="auto"/>
              </w:rPr>
            </w:pPr>
          </w:p>
        </w:tc>
        <w:tc>
          <w:tcPr>
            <w:tcW w:w="2960" w:type="dxa"/>
            <w:vAlign w:val="bottom"/>
            <w:gridSpan w:val="6"/>
          </w:tcPr>
          <w:p>
            <w:pPr>
              <w:ind w:left="240"/>
              <w:spacing w:after="0"/>
              <w:rPr>
                <w:sz w:val="20"/>
                <w:szCs w:val="20"/>
                <w:color w:val="auto"/>
              </w:rPr>
            </w:pPr>
            <w:r>
              <w:rPr>
                <w:rFonts w:ascii="Arial" w:cs="Arial" w:eastAsia="Arial" w:hAnsi="Arial"/>
                <w:sz w:val="15"/>
                <w:szCs w:val="15"/>
                <w:color w:val="006EBF"/>
              </w:rPr>
              <w:t>christy.mcelroy@citi.com</w:t>
            </w:r>
          </w:p>
        </w:tc>
        <w:tc>
          <w:tcPr>
            <w:tcW w:w="2900" w:type="dxa"/>
            <w:vAlign w:val="bottom"/>
            <w:gridSpan w:val="3"/>
          </w:tcPr>
          <w:p>
            <w:pPr>
              <w:spacing w:after="0"/>
              <w:rPr>
                <w:sz w:val="20"/>
                <w:szCs w:val="20"/>
                <w:color w:val="auto"/>
              </w:rPr>
            </w:pPr>
            <w:r>
              <w:rPr>
                <w:rFonts w:ascii="Arial" w:cs="Arial" w:eastAsia="Arial" w:hAnsi="Arial"/>
                <w:sz w:val="15"/>
                <w:szCs w:val="15"/>
                <w:color w:val="006EBF"/>
              </w:rPr>
              <w:t>michael.w.mueller@jpmorgan.com</w:t>
            </w:r>
          </w:p>
        </w:tc>
      </w:tr>
      <w:tr>
        <w:trPr>
          <w:trHeight w:val="20"/>
        </w:trPr>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shd w:val="clear" w:color="auto" w:fill="006EBF"/>
          </w:tcPr>
          <w:p>
            <w:pPr>
              <w:spacing w:after="0" w:line="20" w:lineRule="exact"/>
              <w:rPr>
                <w:sz w:val="1"/>
                <w:szCs w:val="1"/>
                <w:color w:val="auto"/>
              </w:rPr>
            </w:pPr>
          </w:p>
        </w:tc>
        <w:tc>
          <w:tcPr>
            <w:tcW w:w="320" w:type="dxa"/>
            <w:vAlign w:val="bottom"/>
            <w:shd w:val="clear" w:color="auto" w:fill="006EB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2"/>
            <w:shd w:val="clear" w:color="auto" w:fill="006EB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shd w:val="clear" w:color="auto" w:fill="006EBF"/>
          </w:tcPr>
          <w:p>
            <w:pPr>
              <w:spacing w:after="0" w:line="20" w:lineRule="exact"/>
              <w:rPr>
                <w:sz w:val="1"/>
                <w:szCs w:val="1"/>
                <w:color w:val="auto"/>
              </w:rPr>
            </w:pPr>
          </w:p>
        </w:tc>
        <w:tc>
          <w:tcPr>
            <w:tcW w:w="1020" w:type="dxa"/>
            <w:vAlign w:val="bottom"/>
            <w:shd w:val="clear" w:color="auto" w:fill="006EB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842"/>
        </w:trPr>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60" w:type="dxa"/>
            <w:vAlign w:val="bottom"/>
            <w:gridSpan w:val="6"/>
          </w:tcPr>
          <w:p>
            <w:pPr>
              <w:ind w:left="240"/>
              <w:spacing w:after="0"/>
              <w:rPr>
                <w:sz w:val="20"/>
                <w:szCs w:val="20"/>
                <w:color w:val="auto"/>
              </w:rPr>
            </w:pPr>
            <w:r>
              <w:rPr>
                <w:rFonts w:ascii="Arial" w:cs="Arial" w:eastAsia="Arial" w:hAnsi="Arial"/>
                <w:sz w:val="15"/>
                <w:szCs w:val="15"/>
                <w:b w:val="1"/>
                <w:bCs w:val="1"/>
                <w:color w:val="auto"/>
              </w:rPr>
              <w:t>Green Street Advisors</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9"/>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60" w:type="dxa"/>
            <w:vAlign w:val="bottom"/>
            <w:gridSpan w:val="6"/>
          </w:tcPr>
          <w:p>
            <w:pPr>
              <w:ind w:left="240"/>
              <w:spacing w:after="0"/>
              <w:rPr>
                <w:sz w:val="20"/>
                <w:szCs w:val="20"/>
                <w:color w:val="auto"/>
              </w:rPr>
            </w:pPr>
            <w:r>
              <w:rPr>
                <w:rFonts w:ascii="Arial" w:cs="Arial" w:eastAsia="Arial" w:hAnsi="Arial"/>
                <w:sz w:val="15"/>
                <w:szCs w:val="15"/>
                <w:color w:val="auto"/>
              </w:rPr>
              <w:t>Daniel Busch - (949) 640-8780</w:t>
            </w: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88"/>
        </w:trPr>
        <w:tc>
          <w:tcPr>
            <w:tcW w:w="3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gridSpan w:val="6"/>
          </w:tcPr>
          <w:p>
            <w:pPr>
              <w:ind w:left="240"/>
              <w:spacing w:after="0"/>
              <w:rPr>
                <w:sz w:val="20"/>
                <w:szCs w:val="20"/>
                <w:color w:val="auto"/>
              </w:rPr>
            </w:pPr>
            <w:r>
              <w:rPr>
                <w:rFonts w:ascii="Arial" w:cs="Arial" w:eastAsia="Arial" w:hAnsi="Arial"/>
                <w:sz w:val="15"/>
                <w:szCs w:val="15"/>
                <w:color w:val="006EBF"/>
              </w:rPr>
              <w:t>dbusch@greenstreetadvisors.com</w:t>
            </w: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735"/>
        </w:trPr>
        <w:tc>
          <w:tcPr>
            <w:tcW w:w="4960" w:type="dxa"/>
            <w:vAlign w:val="bottom"/>
            <w:gridSpan w:val="5"/>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240" w:type="dxa"/>
            <w:vAlign w:val="bottom"/>
          </w:tcPr>
          <w:p>
            <w:pPr>
              <w:spacing w:after="0"/>
              <w:rPr>
                <w:sz w:val="24"/>
                <w:szCs w:val="24"/>
                <w:color w:val="auto"/>
              </w:rPr>
            </w:pPr>
          </w:p>
        </w:tc>
        <w:tc>
          <w:tcPr>
            <w:tcW w:w="1300" w:type="dxa"/>
            <w:vAlign w:val="bottom"/>
            <w:tcBorders>
              <w:top w:val="single" w:sz="8" w:color="006EBF"/>
            </w:tcBorders>
          </w:tcPr>
          <w:p>
            <w:pPr>
              <w:jc w:val="right"/>
              <w:ind w:right="782"/>
              <w:spacing w:after="0"/>
              <w:rPr>
                <w:sz w:val="20"/>
                <w:szCs w:val="20"/>
                <w:color w:val="auto"/>
              </w:rPr>
            </w:pPr>
            <w:r>
              <w:rPr>
                <w:rFonts w:ascii="Arial" w:cs="Arial" w:eastAsia="Arial" w:hAnsi="Arial"/>
                <w:sz w:val="12"/>
                <w:szCs w:val="12"/>
                <w:color w:val="auto"/>
              </w:rPr>
              <w:t>3</w:t>
            </w:r>
          </w:p>
        </w:tc>
        <w:tc>
          <w:tcPr>
            <w:tcW w:w="300" w:type="dxa"/>
            <w:vAlign w:val="bottom"/>
            <w:tcBorders>
              <w:top w:val="single" w:sz="8" w:color="006EBF"/>
            </w:tcBorders>
          </w:tcPr>
          <w:p>
            <w:pPr>
              <w:spacing w:after="0"/>
              <w:rPr>
                <w:sz w:val="24"/>
                <w:szCs w:val="24"/>
                <w:color w:val="auto"/>
              </w:rPr>
            </w:pPr>
          </w:p>
        </w:tc>
        <w:tc>
          <w:tcPr>
            <w:tcW w:w="300" w:type="dxa"/>
            <w:vAlign w:val="bottom"/>
            <w:tcBorders>
              <w:top w:val="single" w:sz="8" w:color="006EBF"/>
            </w:tcBorders>
          </w:tcPr>
          <w:p>
            <w:pPr>
              <w:spacing w:after="0"/>
              <w:rPr>
                <w:sz w:val="24"/>
                <w:szCs w:val="24"/>
                <w:color w:val="auto"/>
              </w:rPr>
            </w:pPr>
          </w:p>
        </w:tc>
        <w:tc>
          <w:tcPr>
            <w:tcW w:w="300" w:type="dxa"/>
            <w:vAlign w:val="bottom"/>
            <w:tcBorders>
              <w:top w:val="single" w:sz="8" w:color="006EBF"/>
            </w:tcBorders>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820"/>
          </w:cols>
          <w:pgMar w:left="380" w:top="617" w:right="699" w:bottom="1440" w:gutter="0" w:footer="0" w:header="0"/>
        </w:sectPr>
      </w:pPr>
    </w:p>
    <w:bookmarkStart w:id="15" w:name="page16"/>
    <w:bookmarkEnd w:id="15"/>
    <w:p>
      <w:pPr>
        <w:ind w:left="20"/>
        <w:spacing w:after="0"/>
        <w:rPr>
          <w:sz w:val="20"/>
          <w:szCs w:val="20"/>
          <w:color w:val="auto"/>
        </w:rPr>
      </w:pPr>
      <w:r>
        <w:rPr>
          <w:rFonts w:ascii="Arial" w:cs="Arial" w:eastAsia="Arial" w:hAnsi="Arial"/>
          <w:sz w:val="20"/>
          <w:szCs w:val="20"/>
          <w:b w:val="1"/>
          <w:bCs w:val="1"/>
          <w:color w:val="auto"/>
        </w:rPr>
        <w:t>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726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ectPr>
          <w:pgSz w:w="11900" w:h="16838" w:orient="portrait"/>
          <w:cols w:equalWidth="0" w:num="1">
            <w:col w:w="11460"/>
          </w:cols>
          <w:pgMar w:left="220" w:top="617" w:right="219" w:bottom="1440" w:gutter="0" w:footer="0" w:header="0"/>
        </w:sectPr>
      </w:pPr>
    </w:p>
    <w:p>
      <w:pPr>
        <w:spacing w:after="0" w:line="1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(including pro-rata share of Fund debt, in thousands)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22"/>
              <w:spacing w:after="0"/>
              <w:rPr>
                <w:sz w:val="20"/>
                <w:szCs w:val="20"/>
                <w:color w:val="auto"/>
              </w:rPr>
            </w:pPr>
            <w:r>
              <w:rPr>
                <w:rFonts w:ascii="Arial" w:cs="Arial" w:eastAsia="Arial" w:hAnsi="Arial"/>
                <w:sz w:val="12"/>
                <w:szCs w:val="12"/>
                <w:b w:val="1"/>
                <w:bCs w:val="1"/>
                <w:color w:val="auto"/>
                <w:w w:val="96"/>
              </w:rPr>
              <w:t>Total Market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22"/>
              <w:spacing w:after="0" w:line="132" w:lineRule="exact"/>
              <w:rPr>
                <w:sz w:val="20"/>
                <w:szCs w:val="20"/>
                <w:color w:val="auto"/>
              </w:rPr>
            </w:pPr>
            <w:r>
              <w:rPr>
                <w:rFonts w:ascii="Arial" w:cs="Arial" w:eastAsia="Arial" w:hAnsi="Arial"/>
                <w:sz w:val="12"/>
                <w:szCs w:val="12"/>
                <w:b w:val="1"/>
                <w:bCs w:val="1"/>
                <w:color w:val="auto"/>
                <w:w w:val="97"/>
              </w:rPr>
              <w:t>Capitalization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
              <w:spacing w:after="0"/>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Equity Capitalization</w:t>
            </w:r>
          </w:p>
        </w:tc>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200" w:type="dxa"/>
            <w:vAlign w:val="bottom"/>
            <w:gridSpan w:val="3"/>
          </w:tcPr>
          <w:p>
            <w:pPr>
              <w:spacing w:after="0"/>
              <w:rPr>
                <w:sz w:val="20"/>
                <w:szCs w:val="20"/>
                <w:color w:val="auto"/>
              </w:rPr>
            </w:pPr>
            <w:r>
              <w:rPr>
                <w:rFonts w:ascii="Arial" w:cs="Arial" w:eastAsia="Arial" w:hAnsi="Arial"/>
                <w:sz w:val="12"/>
                <w:szCs w:val="12"/>
                <w:color w:val="auto"/>
              </w:rPr>
              <w:t>Common Shares</w:t>
            </w:r>
          </w:p>
        </w:tc>
        <w:tc>
          <w:tcPr>
            <w:tcW w:w="80" w:type="dxa"/>
            <w:vAlign w:val="bottom"/>
          </w:tcPr>
          <w:p>
            <w:pPr>
              <w:spacing w:after="0"/>
              <w:rPr>
                <w:sz w:val="20"/>
                <w:szCs w:val="20"/>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82,451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gridSpan w:val="3"/>
          </w:tcPr>
          <w:p>
            <w:pPr>
              <w:spacing w:after="0"/>
              <w:rPr>
                <w:sz w:val="20"/>
                <w:szCs w:val="20"/>
                <w:color w:val="auto"/>
              </w:rPr>
            </w:pPr>
            <w:r>
              <w:rPr>
                <w:rFonts w:ascii="Arial" w:cs="Arial" w:eastAsia="Arial" w:hAnsi="Arial"/>
                <w:sz w:val="12"/>
                <w:szCs w:val="12"/>
                <w:color w:val="auto"/>
              </w:rPr>
              <w:t>Common Operating Partnership ("OP") Units</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4,969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00" w:type="dxa"/>
            <w:vAlign w:val="bottom"/>
            <w:gridSpan w:val="3"/>
          </w:tcPr>
          <w:p>
            <w:pPr>
              <w:spacing w:after="0"/>
              <w:rPr>
                <w:sz w:val="20"/>
                <w:szCs w:val="20"/>
                <w:color w:val="auto"/>
              </w:rPr>
            </w:pPr>
            <w:r>
              <w:rPr>
                <w:rFonts w:ascii="Arial" w:cs="Arial" w:eastAsia="Arial" w:hAnsi="Arial"/>
                <w:sz w:val="12"/>
                <w:szCs w:val="12"/>
                <w:color w:val="auto"/>
              </w:rPr>
              <w:t>Combined Common Shares and OP Units</w:t>
            </w:r>
          </w:p>
        </w:tc>
        <w:tc>
          <w:tcPr>
            <w:tcW w:w="80" w:type="dxa"/>
            <w:vAlign w:val="bottom"/>
          </w:tcPr>
          <w:p>
            <w:pPr>
              <w:spacing w:after="0"/>
              <w:rPr>
                <w:sz w:val="16"/>
                <w:szCs w:val="16"/>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87,420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7"/>
        </w:trPr>
        <w:tc>
          <w:tcPr>
            <w:tcW w:w="3200" w:type="dxa"/>
            <w:vAlign w:val="bottom"/>
            <w:gridSpan w:val="3"/>
          </w:tcPr>
          <w:p>
            <w:pPr>
              <w:spacing w:after="0"/>
              <w:rPr>
                <w:sz w:val="20"/>
                <w:szCs w:val="20"/>
                <w:color w:val="auto"/>
              </w:rPr>
            </w:pPr>
            <w:r>
              <w:rPr>
                <w:rFonts w:ascii="Arial" w:cs="Arial" w:eastAsia="Arial" w:hAnsi="Arial"/>
                <w:sz w:val="12"/>
                <w:szCs w:val="12"/>
                <w:color w:val="auto"/>
              </w:rPr>
              <w:t>Share Price at March 31, 2018</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24.60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200" w:type="dxa"/>
            <w:vAlign w:val="bottom"/>
            <w:gridSpan w:val="3"/>
          </w:tcPr>
          <w:p>
            <w:pPr>
              <w:spacing w:after="0"/>
              <w:rPr>
                <w:sz w:val="20"/>
                <w:szCs w:val="20"/>
                <w:color w:val="auto"/>
              </w:rPr>
            </w:pPr>
            <w:r>
              <w:rPr>
                <w:rFonts w:ascii="Arial" w:cs="Arial" w:eastAsia="Arial" w:hAnsi="Arial"/>
                <w:sz w:val="12"/>
                <w:szCs w:val="12"/>
                <w:color w:val="auto"/>
              </w:rPr>
              <w:t>Equity Capitalization - Common Shares and OP Units</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2,150,532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00" w:type="dxa"/>
            <w:vAlign w:val="bottom"/>
            <w:gridSpan w:val="3"/>
            <w:vMerge w:val="restart"/>
          </w:tcPr>
          <w:p>
            <w:pPr>
              <w:spacing w:after="0"/>
              <w:rPr>
                <w:sz w:val="20"/>
                <w:szCs w:val="20"/>
                <w:color w:val="auto"/>
              </w:rPr>
            </w:pPr>
            <w:r>
              <w:rPr>
                <w:rFonts w:ascii="Arial" w:cs="Arial" w:eastAsia="Arial" w:hAnsi="Arial"/>
                <w:sz w:val="12"/>
                <w:szCs w:val="12"/>
                <w:color w:val="auto"/>
              </w:rPr>
              <w:t>Preferred OP Units</w:t>
            </w:r>
          </w:p>
        </w:tc>
        <w:tc>
          <w:tcPr>
            <w:tcW w:w="80" w:type="dxa"/>
            <w:vAlign w:val="bottom"/>
          </w:tcPr>
          <w:p>
            <w:pPr>
              <w:spacing w:after="0"/>
              <w:rPr>
                <w:sz w:val="13"/>
                <w:szCs w:val="13"/>
                <w:color w:val="auto"/>
              </w:rPr>
            </w:pPr>
          </w:p>
        </w:tc>
        <w:tc>
          <w:tcPr>
            <w:tcW w:w="840" w:type="dxa"/>
            <w:vAlign w:val="bottom"/>
            <w:vMerge w:val="restart"/>
          </w:tcPr>
          <w:p>
            <w:pPr>
              <w:jc w:val="right"/>
              <w:ind w:right="62"/>
              <w:spacing w:after="0"/>
              <w:rPr>
                <w:sz w:val="20"/>
                <w:szCs w:val="20"/>
                <w:color w:val="auto"/>
              </w:rPr>
            </w:pPr>
            <w:r>
              <w:rPr>
                <w:rFonts w:ascii="Arial" w:cs="Arial" w:eastAsia="Arial" w:hAnsi="Arial"/>
                <w:sz w:val="12"/>
                <w:szCs w:val="12"/>
                <w:color w:val="auto"/>
              </w:rPr>
              <w:t>12,284</w:t>
            </w:r>
          </w:p>
        </w:tc>
        <w:tc>
          <w:tcPr>
            <w:tcW w:w="80" w:type="dxa"/>
            <w:vAlign w:val="bottom"/>
          </w:tcPr>
          <w:p>
            <w:pPr>
              <w:jc w:val="right"/>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63"/>
        </w:trPr>
        <w:tc>
          <w:tcPr>
            <w:tcW w:w="3200" w:type="dxa"/>
            <w:vAlign w:val="bottom"/>
            <w:gridSpan w:val="3"/>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200" w:type="dxa"/>
            <w:vAlign w:val="bottom"/>
            <w:gridSpan w:val="3"/>
          </w:tcPr>
          <w:p>
            <w:pPr>
              <w:spacing w:after="0"/>
              <w:rPr>
                <w:sz w:val="20"/>
                <w:szCs w:val="20"/>
                <w:color w:val="auto"/>
              </w:rPr>
            </w:pPr>
            <w:r>
              <w:rPr>
                <w:rFonts w:ascii="Arial" w:cs="Arial" w:eastAsia="Arial" w:hAnsi="Arial"/>
                <w:sz w:val="12"/>
                <w:szCs w:val="12"/>
                <w:b w:val="1"/>
                <w:bCs w:val="1"/>
                <w:color w:val="auto"/>
              </w:rPr>
              <w:t>Total Equity Capitalization</w:t>
            </w: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2,162,816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6"/>
              </w:rPr>
              <w:t>Debt Capitalization</w:t>
            </w:r>
          </w:p>
        </w:tc>
        <w:tc>
          <w:tcPr>
            <w:tcW w:w="2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0" w:type="dxa"/>
            <w:vAlign w:val="bottom"/>
            <w:gridSpan w:val="3"/>
          </w:tcPr>
          <w:p>
            <w:pPr>
              <w:spacing w:after="0"/>
              <w:rPr>
                <w:sz w:val="20"/>
                <w:szCs w:val="20"/>
                <w:color w:val="auto"/>
              </w:rPr>
            </w:pPr>
            <w:r>
              <w:rPr>
                <w:rFonts w:ascii="Arial" w:cs="Arial" w:eastAsia="Arial" w:hAnsi="Arial"/>
                <w:sz w:val="12"/>
                <w:szCs w:val="12"/>
                <w:color w:val="auto"/>
              </w:rPr>
              <w:t>Consolidated debt</w:t>
            </w:r>
          </w:p>
        </w:tc>
        <w:tc>
          <w:tcPr>
            <w:tcW w:w="80" w:type="dxa"/>
            <w:vAlign w:val="bottom"/>
          </w:tcPr>
          <w:p>
            <w:pPr>
              <w:spacing w:after="0"/>
              <w:rPr>
                <w:sz w:val="19"/>
                <w:szCs w:val="19"/>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1,467,712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gridSpan w:val="3"/>
          </w:tcPr>
          <w:p>
            <w:pPr>
              <w:spacing w:after="0"/>
              <w:rPr>
                <w:sz w:val="20"/>
                <w:szCs w:val="20"/>
                <w:color w:val="auto"/>
              </w:rPr>
            </w:pPr>
            <w:r>
              <w:rPr>
                <w:rFonts w:ascii="Arial" w:cs="Arial" w:eastAsia="Arial" w:hAnsi="Arial"/>
                <w:sz w:val="12"/>
                <w:szCs w:val="12"/>
                <w:color w:val="auto"/>
              </w:rPr>
              <w:t>Adjustment to reflect pro-rata share of debt</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(550,762)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00" w:type="dxa"/>
            <w:vAlign w:val="bottom"/>
            <w:gridSpan w:val="3"/>
          </w:tcPr>
          <w:p>
            <w:pPr>
              <w:spacing w:after="0"/>
              <w:rPr>
                <w:sz w:val="20"/>
                <w:szCs w:val="20"/>
                <w:color w:val="auto"/>
              </w:rPr>
            </w:pPr>
            <w:r>
              <w:rPr>
                <w:rFonts w:ascii="Arial" w:cs="Arial" w:eastAsia="Arial" w:hAnsi="Arial"/>
                <w:sz w:val="12"/>
                <w:szCs w:val="12"/>
                <w:b w:val="1"/>
                <w:bCs w:val="1"/>
                <w:color w:val="auto"/>
              </w:rPr>
              <w:t>Total Debt Capitalization</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916,950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3200" w:type="dxa"/>
            <w:vAlign w:val="bottom"/>
            <w:gridSpan w:val="3"/>
          </w:tcPr>
          <w:p>
            <w:pPr>
              <w:spacing w:after="0"/>
              <w:rPr>
                <w:sz w:val="20"/>
                <w:szCs w:val="20"/>
                <w:color w:val="auto"/>
              </w:rPr>
            </w:pPr>
            <w:r>
              <w:rPr>
                <w:rFonts w:ascii="Arial" w:cs="Arial" w:eastAsia="Arial" w:hAnsi="Arial"/>
                <w:sz w:val="12"/>
                <w:szCs w:val="12"/>
                <w:b w:val="1"/>
                <w:bCs w:val="1"/>
                <w:color w:val="auto"/>
              </w:rPr>
              <w:t>Total Market Capitalization</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40" w:type="dxa"/>
            <w:vAlign w:val="bottom"/>
          </w:tcPr>
          <w:p>
            <w:pPr>
              <w:jc w:val="right"/>
              <w:ind w:right="62"/>
              <w:spacing w:after="0"/>
              <w:rPr>
                <w:sz w:val="20"/>
                <w:szCs w:val="20"/>
                <w:color w:val="auto"/>
              </w:rPr>
            </w:pPr>
            <w:r>
              <w:rPr>
                <w:rFonts w:ascii="Arial" w:cs="Arial" w:eastAsia="Arial" w:hAnsi="Arial"/>
                <w:sz w:val="12"/>
                <w:szCs w:val="12"/>
                <w:b w:val="1"/>
                <w:bCs w:val="1"/>
                <w:color w:val="auto"/>
              </w:rPr>
              <w:t>3,079,766</w:t>
            </w:r>
          </w:p>
        </w:tc>
        <w:tc>
          <w:tcPr>
            <w:tcW w:w="80" w:type="dxa"/>
            <w:vAlign w:val="bottom"/>
            <w:vMerge w:val="restart"/>
          </w:tcPr>
          <w:p>
            <w:pPr>
              <w:jc w:val="right"/>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w w:val="99"/>
              </w:rPr>
              <w:t>Weighted Average</w:t>
            </w:r>
          </w:p>
        </w:tc>
        <w:tc>
          <w:tcPr>
            <w:tcW w:w="540" w:type="dxa"/>
            <w:vAlign w:val="bottom"/>
            <w:tcBorders>
              <w:bottom w:val="single" w:sz="8" w:color="auto"/>
            </w:tcBorders>
          </w:tcPr>
          <w:p>
            <w:pPr>
              <w:spacing w:after="0"/>
              <w:rPr>
                <w:sz w:val="13"/>
                <w:szCs w:val="13"/>
                <w:color w:val="auto"/>
              </w:rPr>
            </w:pPr>
          </w:p>
        </w:tc>
      </w:tr>
      <w:tr>
        <w:trPr>
          <w:trHeight w:val="132"/>
        </w:trPr>
        <w:tc>
          <w:tcPr>
            <w:tcW w:w="400" w:type="dxa"/>
            <w:vAlign w:val="bottom"/>
          </w:tcPr>
          <w:p>
            <w:pPr>
              <w:spacing w:after="0"/>
              <w:rPr>
                <w:sz w:val="11"/>
                <w:szCs w:val="11"/>
                <w:color w:val="auto"/>
              </w:rPr>
            </w:pPr>
          </w:p>
        </w:tc>
        <w:tc>
          <w:tcPr>
            <w:tcW w:w="1280" w:type="dxa"/>
            <w:vAlign w:val="bottom"/>
            <w:gridSpan w:val="2"/>
          </w:tcPr>
          <w:p>
            <w:pPr>
              <w:jc w:val="center"/>
              <w:ind w:right="400"/>
              <w:spacing w:after="0" w:line="132" w:lineRule="exact"/>
              <w:rPr>
                <w:sz w:val="20"/>
                <w:szCs w:val="20"/>
                <w:color w:val="auto"/>
              </w:rPr>
            </w:pPr>
            <w:r>
              <w:rPr>
                <w:rFonts w:ascii="Arial" w:cs="Arial" w:eastAsia="Arial" w:hAnsi="Arial"/>
                <w:sz w:val="12"/>
                <w:szCs w:val="12"/>
                <w:b w:val="1"/>
                <w:bCs w:val="1"/>
                <w:color w:val="auto"/>
                <w:w w:val="97"/>
              </w:rPr>
              <w:t>Capitalization</w:t>
            </w:r>
          </w:p>
        </w:tc>
        <w:tc>
          <w:tcPr>
            <w:tcW w:w="1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1280" w:type="dxa"/>
            <w:vAlign w:val="bottom"/>
            <w:gridSpan w:val="2"/>
          </w:tcPr>
          <w:p>
            <w:pPr>
              <w:jc w:val="center"/>
              <w:ind w:right="380"/>
              <w:spacing w:after="0" w:line="132" w:lineRule="exact"/>
              <w:rPr>
                <w:sz w:val="20"/>
                <w:szCs w:val="20"/>
                <w:color w:val="auto"/>
              </w:rPr>
            </w:pPr>
            <w:r>
              <w:rPr>
                <w:rFonts w:ascii="Arial" w:cs="Arial" w:eastAsia="Arial" w:hAnsi="Arial"/>
                <w:sz w:val="12"/>
                <w:szCs w:val="12"/>
                <w:b w:val="1"/>
                <w:bCs w:val="1"/>
                <w:color w:val="auto"/>
                <w:w w:val="96"/>
              </w:rPr>
              <w:t>Based on Net</w:t>
            </w:r>
          </w:p>
        </w:tc>
        <w:tc>
          <w:tcPr>
            <w:tcW w:w="3180" w:type="dxa"/>
            <w:vAlign w:val="bottom"/>
            <w:gridSpan w:val="4"/>
          </w:tcPr>
          <w:p>
            <w:pPr>
              <w:jc w:val="right"/>
              <w:ind w:right="22"/>
              <w:spacing w:after="0" w:line="132" w:lineRule="exact"/>
              <w:rPr>
                <w:sz w:val="20"/>
                <w:szCs w:val="20"/>
                <w:color w:val="auto"/>
              </w:rPr>
            </w:pPr>
            <w:r>
              <w:rPr>
                <w:rFonts w:ascii="Arial" w:cs="Arial" w:eastAsia="Arial" w:hAnsi="Arial"/>
                <w:sz w:val="12"/>
                <w:szCs w:val="12"/>
                <w:b w:val="1"/>
                <w:bCs w:val="1"/>
                <w:color w:val="auto"/>
                <w:w w:val="97"/>
              </w:rPr>
              <w:t>Changes in Total Outstanding Common Shares and OP</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3"/>
        </w:trPr>
        <w:tc>
          <w:tcPr>
            <w:tcW w:w="400" w:type="dxa"/>
            <w:vAlign w:val="bottom"/>
          </w:tcPr>
          <w:p>
            <w:pPr>
              <w:jc w:val="right"/>
              <w:ind w:right="222"/>
              <w:spacing w:after="0"/>
              <w:rPr>
                <w:sz w:val="20"/>
                <w:szCs w:val="20"/>
                <w:color w:val="auto"/>
              </w:rPr>
            </w:pPr>
            <w:r>
              <w:rPr>
                <w:rFonts w:ascii="Arial" w:cs="Arial" w:eastAsia="Arial" w:hAnsi="Arial"/>
                <w:sz w:val="12"/>
                <w:szCs w:val="12"/>
                <w:b w:val="1"/>
                <w:bCs w:val="1"/>
                <w:color w:val="auto"/>
                <w:w w:val="93"/>
              </w:rPr>
              <w:t>%</w:t>
            </w:r>
          </w:p>
        </w:tc>
        <w:tc>
          <w:tcPr>
            <w:tcW w:w="12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4"/>
              </w:rPr>
              <w:t>Debt</w:t>
            </w:r>
            <w:r>
              <w:rPr>
                <w:rFonts w:ascii="Arial" w:cs="Arial" w:eastAsia="Arial" w:hAnsi="Arial"/>
                <w:sz w:val="14"/>
                <w:szCs w:val="14"/>
                <w:b w:val="1"/>
                <w:bCs w:val="1"/>
                <w:color w:val="auto"/>
                <w:w w:val="94"/>
                <w:vertAlign w:val="superscript"/>
              </w:rPr>
              <w:t>1</w:t>
            </w:r>
          </w:p>
        </w:tc>
        <w:tc>
          <w:tcPr>
            <w:tcW w:w="2640" w:type="dxa"/>
            <w:vAlign w:val="bottom"/>
            <w:gridSpan w:val="3"/>
          </w:tcPr>
          <w:p>
            <w:pPr>
              <w:jc w:val="right"/>
              <w:ind w:right="442"/>
              <w:spacing w:after="0"/>
              <w:rPr>
                <w:sz w:val="20"/>
                <w:szCs w:val="20"/>
                <w:color w:val="auto"/>
              </w:rPr>
            </w:pPr>
            <w:r>
              <w:rPr>
                <w:rFonts w:ascii="Arial" w:cs="Arial" w:eastAsia="Arial" w:hAnsi="Arial"/>
                <w:sz w:val="12"/>
                <w:szCs w:val="12"/>
                <w:b w:val="1"/>
                <w:bCs w:val="1"/>
                <w:color w:val="auto"/>
              </w:rPr>
              <w:t>Units (in thousands)</w:t>
            </w:r>
          </w:p>
        </w:tc>
        <w:tc>
          <w:tcPr>
            <w:tcW w:w="54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2"/>
                <w:szCs w:val="12"/>
                <w:b w:val="1"/>
                <w:bCs w:val="1"/>
                <w:color w:val="auto"/>
              </w:rPr>
              <w:t>Diluted EPS</w:t>
            </w:r>
          </w:p>
        </w:tc>
        <w:tc>
          <w:tcPr>
            <w:tcW w:w="1120" w:type="dxa"/>
            <w:vAlign w:val="bottom"/>
            <w:gridSpan w:val="2"/>
          </w:tcPr>
          <w:p>
            <w:pPr>
              <w:ind w:left="480"/>
              <w:spacing w:after="0"/>
              <w:rPr>
                <w:sz w:val="20"/>
                <w:szCs w:val="20"/>
                <w:color w:val="auto"/>
              </w:rPr>
            </w:pPr>
            <w:r>
              <w:rPr>
                <w:rFonts w:ascii="Arial" w:cs="Arial" w:eastAsia="Arial" w:hAnsi="Arial"/>
                <w:sz w:val="12"/>
                <w:szCs w:val="12"/>
                <w:b w:val="1"/>
                <w:bCs w:val="1"/>
                <w:color w:val="auto"/>
              </w:rPr>
              <w:t>FFO</w:t>
            </w:r>
          </w:p>
        </w:tc>
      </w:tr>
      <w:tr>
        <w:trPr>
          <w:trHeight w:val="148"/>
        </w:trPr>
        <w:tc>
          <w:tcPr>
            <w:tcW w:w="4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Common</w:t>
            </w: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Common</w:t>
            </w: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r>
      <w:tr>
        <w:trPr>
          <w:trHeight w:val="144"/>
        </w:trPr>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Shares</w:t>
            </w:r>
          </w:p>
        </w:tc>
        <w:tc>
          <w:tcPr>
            <w:tcW w:w="6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OP Units</w:t>
            </w: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Total</w:t>
            </w: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Quarter</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YTD</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Quarter</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YTD</w:t>
            </w:r>
          </w:p>
        </w:tc>
      </w:tr>
      <w:tr>
        <w:trPr>
          <w:trHeight w:val="205"/>
        </w:trPr>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Balance at 12/31/2017</w:t>
            </w: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83,708</w:t>
            </w:r>
          </w:p>
        </w:tc>
        <w:tc>
          <w:tcPr>
            <w:tcW w:w="600" w:type="dxa"/>
            <w:vAlign w:val="bottom"/>
          </w:tcPr>
          <w:p>
            <w:pPr>
              <w:jc w:val="right"/>
              <w:ind w:right="82"/>
              <w:spacing w:after="0"/>
              <w:rPr>
                <w:sz w:val="20"/>
                <w:szCs w:val="20"/>
                <w:color w:val="auto"/>
              </w:rPr>
            </w:pPr>
            <w:r>
              <w:rPr>
                <w:rFonts w:ascii="Arial" w:cs="Arial" w:eastAsia="Arial" w:hAnsi="Arial"/>
                <w:sz w:val="12"/>
                <w:szCs w:val="12"/>
                <w:color w:val="auto"/>
              </w:rPr>
              <w:t>4,716</w:t>
            </w: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88,424</w:t>
            </w: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9"/>
        </w:trPr>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Other</w:t>
            </w: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11</w:t>
            </w:r>
          </w:p>
        </w:tc>
        <w:tc>
          <w:tcPr>
            <w:tcW w:w="600" w:type="dxa"/>
            <w:vAlign w:val="bottom"/>
          </w:tcPr>
          <w:p>
            <w:pPr>
              <w:jc w:val="right"/>
              <w:ind w:right="82"/>
              <w:spacing w:after="0"/>
              <w:rPr>
                <w:sz w:val="20"/>
                <w:szCs w:val="20"/>
                <w:color w:val="auto"/>
              </w:rPr>
            </w:pPr>
            <w:r>
              <w:rPr>
                <w:rFonts w:ascii="Arial" w:cs="Arial" w:eastAsia="Arial" w:hAnsi="Arial"/>
                <w:sz w:val="12"/>
                <w:szCs w:val="12"/>
                <w:color w:val="auto"/>
              </w:rPr>
              <w:t>289</w:t>
            </w: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300</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9"/>
        </w:trPr>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Share repurchases</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(1,304)</w:t>
            </w:r>
          </w:p>
        </w:tc>
        <w:tc>
          <w:tcPr>
            <w:tcW w:w="6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(1,304)</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OP Conversions</w:t>
            </w: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36</w:t>
            </w: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(36)</w:t>
            </w: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194"/>
        </w:trPr>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Balance at 3/31/2018</w:t>
            </w: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82,451</w:t>
            </w:r>
          </w:p>
        </w:tc>
        <w:tc>
          <w:tcPr>
            <w:tcW w:w="600" w:type="dxa"/>
            <w:vAlign w:val="bottom"/>
          </w:tcPr>
          <w:p>
            <w:pPr>
              <w:jc w:val="right"/>
              <w:ind w:right="82"/>
              <w:spacing w:after="0"/>
              <w:rPr>
                <w:sz w:val="20"/>
                <w:szCs w:val="20"/>
                <w:color w:val="auto"/>
              </w:rPr>
            </w:pPr>
            <w:r>
              <w:rPr>
                <w:rFonts w:ascii="Arial" w:cs="Arial" w:eastAsia="Arial" w:hAnsi="Arial"/>
                <w:sz w:val="12"/>
                <w:szCs w:val="12"/>
                <w:color w:val="auto"/>
              </w:rPr>
              <w:t>4,969</w:t>
            </w: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87,420</w:t>
            </w:r>
          </w:p>
        </w:tc>
        <w:tc>
          <w:tcPr>
            <w:tcW w:w="540" w:type="dxa"/>
            <w:vAlign w:val="bottom"/>
          </w:tcPr>
          <w:p>
            <w:pPr>
              <w:ind w:left="80"/>
              <w:spacing w:after="0"/>
              <w:rPr>
                <w:sz w:val="20"/>
                <w:szCs w:val="20"/>
                <w:color w:val="auto"/>
              </w:rPr>
            </w:pPr>
            <w:r>
              <w:rPr>
                <w:rFonts w:ascii="Arial" w:cs="Arial" w:eastAsia="Arial" w:hAnsi="Arial"/>
                <w:sz w:val="12"/>
                <w:szCs w:val="12"/>
                <w:color w:val="auto"/>
              </w:rPr>
              <w:t>83,438</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83,438</w:t>
            </w:r>
          </w:p>
        </w:tc>
        <w:tc>
          <w:tcPr>
            <w:tcW w:w="580" w:type="dxa"/>
            <w:vAlign w:val="bottom"/>
          </w:tcPr>
          <w:p>
            <w:pPr>
              <w:ind w:left="100"/>
              <w:spacing w:after="0"/>
              <w:rPr>
                <w:sz w:val="20"/>
                <w:szCs w:val="20"/>
                <w:color w:val="auto"/>
              </w:rPr>
            </w:pPr>
            <w:r>
              <w:rPr>
                <w:rFonts w:ascii="Arial" w:cs="Arial" w:eastAsia="Arial" w:hAnsi="Arial"/>
                <w:sz w:val="12"/>
                <w:szCs w:val="12"/>
                <w:color w:val="auto"/>
              </w:rPr>
              <w:t>89,067</w:t>
            </w: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89,067</w:t>
            </w:r>
          </w:p>
        </w:tc>
      </w:tr>
      <w:tr>
        <w:trPr>
          <w:trHeight w:val="885"/>
        </w:trPr>
        <w:tc>
          <w:tcPr>
            <w:tcW w:w="400" w:type="dxa"/>
            <w:vAlign w:val="bottom"/>
          </w:tcPr>
          <w:p>
            <w:pPr>
              <w:jc w:val="right"/>
              <w:ind w:right="2"/>
              <w:spacing w:after="0"/>
              <w:rPr>
                <w:sz w:val="20"/>
                <w:szCs w:val="20"/>
                <w:color w:val="auto"/>
              </w:rPr>
            </w:pPr>
            <w:r>
              <w:rPr>
                <w:rFonts w:ascii="Arial" w:cs="Arial" w:eastAsia="Arial" w:hAnsi="Arial"/>
                <w:sz w:val="12"/>
                <w:szCs w:val="12"/>
                <w:b w:val="1"/>
                <w:bCs w:val="1"/>
                <w:color w:val="auto"/>
              </w:rPr>
              <w:t>70%</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71%</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148"/>
        </w:trPr>
        <w:tc>
          <w:tcPr>
            <w:tcW w:w="400" w:type="dxa"/>
            <w:vAlign w:val="bottom"/>
          </w:tcPr>
          <w:p>
            <w:pPr>
              <w:jc w:val="right"/>
              <w:ind w:right="2"/>
              <w:spacing w:after="0"/>
              <w:rPr>
                <w:sz w:val="20"/>
                <w:szCs w:val="20"/>
                <w:color w:val="auto"/>
              </w:rPr>
            </w:pPr>
            <w:r>
              <w:rPr>
                <w:rFonts w:ascii="Arial" w:cs="Arial" w:eastAsia="Arial" w:hAnsi="Arial"/>
                <w:sz w:val="12"/>
                <w:szCs w:val="12"/>
                <w:b w:val="1"/>
                <w:bCs w:val="1"/>
                <w:color w:val="auto"/>
              </w:rPr>
              <w:t>30%</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29%</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92"/>
        </w:trPr>
        <w:tc>
          <w:tcPr>
            <w:tcW w:w="400" w:type="dxa"/>
            <w:vAlign w:val="bottom"/>
          </w:tcPr>
          <w:p>
            <w:pPr>
              <w:jc w:val="right"/>
              <w:ind w:right="2"/>
              <w:spacing w:after="0"/>
              <w:rPr>
                <w:sz w:val="20"/>
                <w:szCs w:val="20"/>
                <w:color w:val="auto"/>
              </w:rPr>
            </w:pPr>
            <w:r>
              <w:rPr>
                <w:rFonts w:ascii="Arial" w:cs="Arial" w:eastAsia="Arial" w:hAnsi="Arial"/>
                <w:sz w:val="12"/>
                <w:szCs w:val="12"/>
                <w:b w:val="1"/>
                <w:bCs w:val="1"/>
                <w:color w:val="auto"/>
              </w:rPr>
              <w:t>100%</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100%</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640" w:lineRule="exact"/>
        <w:rPr>
          <w:sz w:val="20"/>
          <w:szCs w:val="20"/>
          <w:color w:val="auto"/>
        </w:rPr>
      </w:pPr>
    </w:p>
    <w:p>
      <w:pPr>
        <w:sectPr>
          <w:pgSz w:w="11900" w:h="16838" w:orient="portrait"/>
          <w:cols w:equalWidth="0" w:num="2">
            <w:col w:w="4220" w:space="160"/>
            <w:col w:w="7080"/>
          </w:cols>
          <w:pgMar w:left="220" w:top="617" w:right="219" w:bottom="1440" w:gutter="0" w:footer="0" w:header="0"/>
          <w:type w:val="continuous"/>
        </w:sectPr>
      </w:pPr>
    </w:p>
    <w:p>
      <w:pPr>
        <w:ind w:left="540" w:hanging="270"/>
        <w:spacing w:after="0"/>
        <w:tabs>
          <w:tab w:leader="none" w:pos="5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Reflects debt net of Core Portfolio cash of $12,126 and pro-rata share of Funds cash of $8,754, for total cash netted against debt of $20,880.</w:t>
      </w:r>
    </w:p>
    <w:p>
      <w:pPr>
        <w:ind w:left="540" w:hanging="270"/>
        <w:spacing w:after="0"/>
        <w:tabs>
          <w:tab w:leader="none" w:pos="540" w:val="left"/>
        </w:tabs>
        <w:numPr>
          <w:ilvl w:val="0"/>
          <w:numId w:val="4"/>
        </w:numPr>
        <w:rPr>
          <w:rFonts w:ascii="Arial" w:cs="Arial" w:eastAsia="Arial" w:hAnsi="Arial"/>
          <w:sz w:val="10"/>
          <w:szCs w:val="10"/>
          <w:color w:val="auto"/>
        </w:rPr>
      </w:pPr>
      <w:r>
        <w:rPr>
          <w:rFonts w:ascii="Arial" w:cs="Arial" w:eastAsia="Arial" w:hAnsi="Arial"/>
          <w:sz w:val="10"/>
          <w:szCs w:val="10"/>
          <w:color w:val="auto"/>
        </w:rPr>
        <w:t>Represents 188 Series A and 136,593 Series C Preferred OP Units convertible into 25,067 and 474,278 Common OP Units, respectively, multiplied by the Common Share price at quarter end.</w:t>
      </w:r>
    </w:p>
    <w:p>
      <w:pPr>
        <w:spacing w:after="0" w:line="16" w:lineRule="exact"/>
        <w:rPr>
          <w:rFonts w:ascii="Arial" w:cs="Arial" w:eastAsia="Arial" w:hAnsi="Arial"/>
          <w:sz w:val="10"/>
          <w:szCs w:val="10"/>
          <w:color w:val="auto"/>
        </w:rPr>
      </w:pPr>
    </w:p>
    <w:p>
      <w:pPr>
        <w:ind w:left="540" w:hanging="270"/>
        <w:spacing w:after="0"/>
        <w:tabs>
          <w:tab w:leader="none" w:pos="54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Market capitalization comprises (fixed-rate debt includes notional principal fixed through interest rate swap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2928620" cy="1040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8620" cy="1040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6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00" w:type="dxa"/>
            <w:vAlign w:val="bottom"/>
          </w:tcPr>
          <w:p>
            <w:pPr>
              <w:jc w:val="right"/>
              <w:spacing w:after="0"/>
              <w:rPr>
                <w:sz w:val="20"/>
                <w:szCs w:val="20"/>
                <w:color w:val="auto"/>
              </w:rPr>
            </w:pPr>
            <w:r>
              <w:rPr>
                <w:rFonts w:ascii="Arial" w:cs="Arial" w:eastAsia="Arial" w:hAnsi="Arial"/>
                <w:sz w:val="12"/>
                <w:szCs w:val="12"/>
                <w:color w:val="auto"/>
              </w:rPr>
              <w:t>4</w:t>
            </w:r>
          </w:p>
        </w:tc>
      </w:tr>
    </w:tbl>
    <w:p>
      <w:pPr>
        <w:sectPr>
          <w:pgSz w:w="11900" w:h="16838" w:orient="portrait"/>
          <w:cols w:equalWidth="0" w:num="1">
            <w:col w:w="11460"/>
          </w:cols>
          <w:pgMar w:left="220" w:top="617" w:right="2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Income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2726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46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 w:type="dxa"/>
            <w:vAlign w:val="bottom"/>
            <w:tcBorders>
              <w:top w:val="single" w:sz="8" w:color="9BDA44"/>
              <w:left w:val="single" w:sz="8" w:color="9BDA44"/>
            </w:tcBorders>
          </w:tcPr>
          <w:p>
            <w:pPr>
              <w:spacing w:after="0"/>
              <w:rPr>
                <w:sz w:val="24"/>
                <w:szCs w:val="24"/>
                <w:color w:val="auto"/>
              </w:rPr>
            </w:pPr>
          </w:p>
        </w:tc>
        <w:tc>
          <w:tcPr>
            <w:tcW w:w="1380" w:type="dxa"/>
            <w:vAlign w:val="bottom"/>
            <w:tcBorders>
              <w:top w:val="single" w:sz="8" w:color="9BDA44"/>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7"/>
              </w:rPr>
              <w:t xml:space="preserve">March 31, 2018 </w:t>
            </w:r>
            <w:r>
              <w:rPr>
                <w:rFonts w:ascii="Arial" w:cs="Arial" w:eastAsia="Arial" w:hAnsi="Arial"/>
                <w:sz w:val="17"/>
                <w:szCs w:val="17"/>
                <w:b w:val="1"/>
                <w:bCs w:val="1"/>
                <w:color w:val="auto"/>
                <w:w w:val="97"/>
                <w:vertAlign w:val="superscript"/>
              </w:rPr>
              <w:t>1</w:t>
            </w:r>
          </w:p>
        </w:tc>
        <w:tc>
          <w:tcPr>
            <w:tcW w:w="120" w:type="dxa"/>
            <w:vAlign w:val="bottom"/>
            <w:tcBorders>
              <w:top w:val="single" w:sz="8" w:color="9BDA44"/>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20" w:type="dxa"/>
            <w:vAlign w:val="bottom"/>
            <w:tcBorders>
              <w:left w:val="single" w:sz="8" w:color="9BDA44"/>
            </w:tcBorders>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Borders>
              <w:right w:val="single" w:sz="8" w:color="9BDA44"/>
            </w:tcBorders>
            <w:gridSpan w:val="2"/>
          </w:tcPr>
          <w:p>
            <w:pPr>
              <w:jc w:val="center"/>
              <w:ind w:right="380"/>
              <w:spacing w:after="0"/>
              <w:rPr>
                <w:sz w:val="20"/>
                <w:szCs w:val="20"/>
                <w:color w:val="auto"/>
              </w:rPr>
            </w:pPr>
            <w:r>
              <w:rPr>
                <w:rFonts w:ascii="Arial" w:cs="Arial" w:eastAsia="Arial" w:hAnsi="Arial"/>
                <w:sz w:val="15"/>
                <w:szCs w:val="15"/>
                <w:b w:val="1"/>
                <w:bCs w:val="1"/>
                <w:color w:val="auto"/>
                <w:w w:val="99"/>
              </w:rPr>
              <w:t>Quarter</w:t>
            </w:r>
          </w:p>
        </w:tc>
        <w:tc>
          <w:tcPr>
            <w:tcW w:w="0" w:type="dxa"/>
            <w:vAlign w:val="bottom"/>
          </w:tcPr>
          <w:p>
            <w:pPr>
              <w:spacing w:after="0"/>
              <w:rPr>
                <w:sz w:val="1"/>
                <w:szCs w:val="1"/>
                <w:color w:val="auto"/>
              </w:rPr>
            </w:pPr>
          </w:p>
        </w:tc>
      </w:tr>
      <w:tr>
        <w:trPr>
          <w:trHeight w:val="206"/>
        </w:trPr>
        <w:tc>
          <w:tcPr>
            <w:tcW w:w="4640" w:type="dxa"/>
            <w:vAlign w:val="bottom"/>
          </w:tcPr>
          <w:p>
            <w:pPr>
              <w:spacing w:after="0"/>
              <w:rPr>
                <w:sz w:val="20"/>
                <w:szCs w:val="20"/>
                <w:color w:val="auto"/>
              </w:rPr>
            </w:pPr>
            <w:r>
              <w:rPr>
                <w:rFonts w:ascii="Arial" w:cs="Arial" w:eastAsia="Arial" w:hAnsi="Arial"/>
                <w:sz w:val="15"/>
                <w:szCs w:val="15"/>
                <w:b w:val="1"/>
                <w:bCs w:val="1"/>
                <w:color w:val="auto"/>
              </w:rPr>
              <w:t>CONSOLIDATED INCOME STATEMENT</w:t>
            </w:r>
          </w:p>
        </w:tc>
        <w:tc>
          <w:tcPr>
            <w:tcW w:w="5200" w:type="dxa"/>
            <w:vAlign w:val="bottom"/>
          </w:tcPr>
          <w:p>
            <w:pPr>
              <w:spacing w:after="0"/>
              <w:rPr>
                <w:sz w:val="17"/>
                <w:szCs w:val="17"/>
                <w:color w:val="auto"/>
              </w:rPr>
            </w:pPr>
          </w:p>
        </w:tc>
        <w:tc>
          <w:tcPr>
            <w:tcW w:w="120" w:type="dxa"/>
            <w:vAlign w:val="bottom"/>
            <w:tcBorders>
              <w:left w:val="single" w:sz="8" w:color="9BDA44"/>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right w:val="single" w:sz="8" w:color="9BDA44"/>
            </w:tcBorders>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4640" w:type="dxa"/>
            <w:vAlign w:val="bottom"/>
          </w:tcPr>
          <w:p>
            <w:pPr>
              <w:spacing w:after="0"/>
              <w:rPr>
                <w:sz w:val="20"/>
                <w:szCs w:val="20"/>
                <w:color w:val="auto"/>
              </w:rPr>
            </w:pPr>
            <w:r>
              <w:rPr>
                <w:rFonts w:ascii="Arial" w:cs="Arial" w:eastAsia="Arial" w:hAnsi="Arial"/>
                <w:sz w:val="15"/>
                <w:szCs w:val="15"/>
                <w:b w:val="1"/>
                <w:bCs w:val="1"/>
                <w:color w:val="auto"/>
              </w:rPr>
              <w:t>Revenues</w:t>
            </w:r>
          </w:p>
        </w:tc>
        <w:tc>
          <w:tcPr>
            <w:tcW w:w="5200" w:type="dxa"/>
            <w:vAlign w:val="bottom"/>
          </w:tcPr>
          <w:p>
            <w:pPr>
              <w:spacing w:after="0"/>
              <w:rPr>
                <w:sz w:val="24"/>
                <w:szCs w:val="24"/>
                <w:color w:val="auto"/>
              </w:rPr>
            </w:pPr>
          </w:p>
        </w:tc>
        <w:tc>
          <w:tcPr>
            <w:tcW w:w="120" w:type="dxa"/>
            <w:vAlign w:val="bottom"/>
            <w:tcBorders>
              <w:left w:val="single" w:sz="8" w:color="9BDA44"/>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40" w:type="dxa"/>
            <w:vAlign w:val="bottom"/>
          </w:tcPr>
          <w:p>
            <w:pPr>
              <w:spacing w:after="0"/>
              <w:rPr>
                <w:sz w:val="20"/>
                <w:szCs w:val="20"/>
                <w:color w:val="auto"/>
              </w:rPr>
            </w:pPr>
            <w:r>
              <w:rPr>
                <w:rFonts w:ascii="Arial" w:cs="Arial" w:eastAsia="Arial" w:hAnsi="Arial"/>
                <w:sz w:val="15"/>
                <w:szCs w:val="15"/>
                <w:color w:val="auto"/>
              </w:rPr>
              <w:t>Rental income</w:t>
            </w:r>
          </w:p>
        </w:tc>
        <w:tc>
          <w:tcPr>
            <w:tcW w:w="5200" w:type="dxa"/>
            <w:vAlign w:val="bottom"/>
          </w:tcPr>
          <w:p>
            <w:pPr>
              <w:spacing w:after="0"/>
              <w:rPr>
                <w:sz w:val="19"/>
                <w:szCs w:val="19"/>
                <w:color w:val="auto"/>
              </w:rPr>
            </w:pPr>
          </w:p>
        </w:tc>
        <w:tc>
          <w:tcPr>
            <w:tcW w:w="380" w:type="dxa"/>
            <w:vAlign w:val="bottom"/>
            <w:tcBorders>
              <w:left w:val="single" w:sz="8" w:color="9BDA44"/>
            </w:tcBorders>
            <w:gridSpan w:val="2"/>
          </w:tcPr>
          <w:p>
            <w:pPr>
              <w:jc w:val="right"/>
              <w:ind w:right="87"/>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50,779</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Pr>
          <w:p>
            <w:pPr>
              <w:spacing w:after="0"/>
              <w:rPr>
                <w:sz w:val="20"/>
                <w:szCs w:val="20"/>
                <w:color w:val="auto"/>
              </w:rPr>
            </w:pPr>
            <w:r>
              <w:rPr>
                <w:rFonts w:ascii="Arial" w:cs="Arial" w:eastAsia="Arial" w:hAnsi="Arial"/>
                <w:sz w:val="15"/>
                <w:szCs w:val="15"/>
                <w:color w:val="auto"/>
              </w:rPr>
              <w:t>Expense reimbursements</w:t>
            </w:r>
          </w:p>
        </w:tc>
        <w:tc>
          <w:tcPr>
            <w:tcW w:w="52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11,208</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5"/>
                <w:szCs w:val="15"/>
                <w:color w:val="auto"/>
              </w:rPr>
              <w:t>Other</w:t>
            </w:r>
          </w:p>
        </w:tc>
        <w:tc>
          <w:tcPr>
            <w:tcW w:w="52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1,137</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40" w:type="dxa"/>
            <w:vAlign w:val="bottom"/>
          </w:tcPr>
          <w:p>
            <w:pPr>
              <w:ind w:left="120"/>
              <w:spacing w:after="0"/>
              <w:rPr>
                <w:sz w:val="20"/>
                <w:szCs w:val="20"/>
                <w:color w:val="auto"/>
              </w:rPr>
            </w:pPr>
            <w:r>
              <w:rPr>
                <w:rFonts w:ascii="Arial" w:cs="Arial" w:eastAsia="Arial" w:hAnsi="Arial"/>
                <w:sz w:val="15"/>
                <w:szCs w:val="15"/>
                <w:color w:val="auto"/>
              </w:rPr>
              <w:t>Total revenues</w:t>
            </w:r>
          </w:p>
        </w:tc>
        <w:tc>
          <w:tcPr>
            <w:tcW w:w="5200" w:type="dxa"/>
            <w:vAlign w:val="bottom"/>
          </w:tcPr>
          <w:p>
            <w:pPr>
              <w:spacing w:after="0"/>
              <w:rPr>
                <w:sz w:val="17"/>
                <w:szCs w:val="17"/>
                <w:color w:val="auto"/>
              </w:rPr>
            </w:pPr>
          </w:p>
        </w:tc>
        <w:tc>
          <w:tcPr>
            <w:tcW w:w="120" w:type="dxa"/>
            <w:vAlign w:val="bottom"/>
            <w:tcBorders>
              <w:left w:val="single" w:sz="8" w:color="9BDA44"/>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63,124</w:t>
            </w:r>
          </w:p>
        </w:tc>
        <w:tc>
          <w:tcPr>
            <w:tcW w:w="120" w:type="dxa"/>
            <w:vAlign w:val="bottom"/>
            <w:tcBorders>
              <w:right w:val="single" w:sz="8" w:color="9BDA44"/>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4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5200" w:type="dxa"/>
            <w:vAlign w:val="bottom"/>
          </w:tcPr>
          <w:p>
            <w:pPr>
              <w:spacing w:after="0"/>
              <w:rPr>
                <w:sz w:val="16"/>
                <w:szCs w:val="16"/>
                <w:color w:val="auto"/>
              </w:rPr>
            </w:pPr>
          </w:p>
        </w:tc>
        <w:tc>
          <w:tcPr>
            <w:tcW w:w="120" w:type="dxa"/>
            <w:vAlign w:val="bottom"/>
            <w:tcBorders>
              <w:left w:val="single" w:sz="8" w:color="9BDA44"/>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Borders>
              <w:right w:val="single" w:sz="8" w:color="9BDA44"/>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4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52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28,576</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52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8,470</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Pr>
          <w:p>
            <w:pPr>
              <w:spacing w:after="0"/>
              <w:rPr>
                <w:sz w:val="20"/>
                <w:szCs w:val="20"/>
                <w:color w:val="auto"/>
              </w:rPr>
            </w:pPr>
            <w:r>
              <w:rPr>
                <w:rFonts w:ascii="Arial" w:cs="Arial" w:eastAsia="Arial" w:hAnsi="Arial"/>
                <w:sz w:val="15"/>
                <w:szCs w:val="15"/>
                <w:color w:val="auto"/>
              </w:rPr>
              <w:t>Real estate taxes</w:t>
            </w:r>
          </w:p>
        </w:tc>
        <w:tc>
          <w:tcPr>
            <w:tcW w:w="52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8,959</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Pr>
          <w:p>
            <w:pPr>
              <w:spacing w:after="0"/>
              <w:rPr>
                <w:sz w:val="20"/>
                <w:szCs w:val="20"/>
                <w:color w:val="auto"/>
              </w:rPr>
            </w:pPr>
            <w:r>
              <w:rPr>
                <w:rFonts w:ascii="Arial" w:cs="Arial" w:eastAsia="Arial" w:hAnsi="Arial"/>
                <w:sz w:val="15"/>
                <w:szCs w:val="15"/>
                <w:color w:val="auto"/>
              </w:rPr>
              <w:t>Property operating</w:t>
            </w:r>
          </w:p>
        </w:tc>
        <w:tc>
          <w:tcPr>
            <w:tcW w:w="52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10,338</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5"/>
                <w:szCs w:val="15"/>
                <w:color w:val="auto"/>
              </w:rPr>
              <w:t>Other operating</w:t>
            </w:r>
          </w:p>
        </w:tc>
        <w:tc>
          <w:tcPr>
            <w:tcW w:w="52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80</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40" w:type="dxa"/>
            <w:vAlign w:val="bottom"/>
          </w:tcPr>
          <w:p>
            <w:pPr>
              <w:ind w:left="120"/>
              <w:spacing w:after="0"/>
              <w:rPr>
                <w:sz w:val="20"/>
                <w:szCs w:val="20"/>
                <w:color w:val="auto"/>
              </w:rPr>
            </w:pPr>
            <w:r>
              <w:rPr>
                <w:rFonts w:ascii="Arial" w:cs="Arial" w:eastAsia="Arial" w:hAnsi="Arial"/>
                <w:sz w:val="15"/>
                <w:szCs w:val="15"/>
                <w:color w:val="auto"/>
              </w:rPr>
              <w:t>Total operating expenses</w:t>
            </w:r>
          </w:p>
        </w:tc>
        <w:tc>
          <w:tcPr>
            <w:tcW w:w="5200" w:type="dxa"/>
            <w:vAlign w:val="bottom"/>
          </w:tcPr>
          <w:p>
            <w:pPr>
              <w:spacing w:after="0"/>
              <w:rPr>
                <w:sz w:val="17"/>
                <w:szCs w:val="17"/>
                <w:color w:val="auto"/>
              </w:rPr>
            </w:pPr>
          </w:p>
        </w:tc>
        <w:tc>
          <w:tcPr>
            <w:tcW w:w="120" w:type="dxa"/>
            <w:vAlign w:val="bottom"/>
            <w:tcBorders>
              <w:left w:val="single" w:sz="8" w:color="9BDA44"/>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56,423</w:t>
            </w:r>
          </w:p>
        </w:tc>
        <w:tc>
          <w:tcPr>
            <w:tcW w:w="120" w:type="dxa"/>
            <w:vAlign w:val="bottom"/>
            <w:tcBorders>
              <w:right w:val="single" w:sz="8" w:color="9BDA44"/>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40" w:type="dxa"/>
            <w:vAlign w:val="bottom"/>
          </w:tcPr>
          <w:p>
            <w:pPr>
              <w:ind w:left="120"/>
              <w:spacing w:after="0"/>
              <w:rPr>
                <w:sz w:val="20"/>
                <w:szCs w:val="20"/>
                <w:color w:val="auto"/>
              </w:rPr>
            </w:pPr>
            <w:r>
              <w:rPr>
                <w:rFonts w:ascii="Arial" w:cs="Arial" w:eastAsia="Arial" w:hAnsi="Arial"/>
                <w:sz w:val="15"/>
                <w:szCs w:val="15"/>
                <w:b w:val="1"/>
                <w:bCs w:val="1"/>
                <w:color w:val="auto"/>
              </w:rPr>
              <w:t>Operating income</w:t>
            </w:r>
          </w:p>
        </w:tc>
        <w:tc>
          <w:tcPr>
            <w:tcW w:w="5200" w:type="dxa"/>
            <w:vAlign w:val="bottom"/>
          </w:tcPr>
          <w:p>
            <w:pPr>
              <w:spacing w:after="0"/>
              <w:rPr>
                <w:sz w:val="16"/>
                <w:szCs w:val="16"/>
                <w:color w:val="auto"/>
              </w:rPr>
            </w:pPr>
          </w:p>
        </w:tc>
        <w:tc>
          <w:tcPr>
            <w:tcW w:w="120" w:type="dxa"/>
            <w:vAlign w:val="bottom"/>
            <w:tcBorders>
              <w:left w:val="single" w:sz="8" w:color="9BDA44"/>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5"/>
                <w:szCs w:val="15"/>
                <w:b w:val="1"/>
                <w:bCs w:val="1"/>
                <w:color w:val="auto"/>
              </w:rPr>
              <w:t>6,701</w:t>
            </w:r>
          </w:p>
        </w:tc>
        <w:tc>
          <w:tcPr>
            <w:tcW w:w="120" w:type="dxa"/>
            <w:vAlign w:val="bottom"/>
            <w:tcBorders>
              <w:right w:val="single" w:sz="8" w:color="9BDA44"/>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40" w:type="dxa"/>
            <w:vAlign w:val="bottom"/>
          </w:tcPr>
          <w:p>
            <w:pPr>
              <w:spacing w:after="0"/>
              <w:rPr>
                <w:sz w:val="20"/>
                <w:szCs w:val="20"/>
                <w:color w:val="auto"/>
              </w:rPr>
            </w:pPr>
            <w:r>
              <w:rPr>
                <w:rFonts w:ascii="Arial" w:cs="Arial" w:eastAsia="Arial" w:hAnsi="Arial"/>
                <w:sz w:val="15"/>
                <w:szCs w:val="15"/>
                <w:color w:val="auto"/>
              </w:rPr>
              <w:t>Equity in earnings of unconsolidated affiliates</w:t>
            </w:r>
          </w:p>
        </w:tc>
        <w:tc>
          <w:tcPr>
            <w:tcW w:w="52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1,684</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Pr>
          <w:p>
            <w:pPr>
              <w:spacing w:after="0"/>
              <w:rPr>
                <w:sz w:val="20"/>
                <w:szCs w:val="20"/>
                <w:color w:val="auto"/>
              </w:rPr>
            </w:pPr>
            <w:r>
              <w:rPr>
                <w:rFonts w:ascii="Arial" w:cs="Arial" w:eastAsia="Arial" w:hAnsi="Arial"/>
                <w:sz w:val="15"/>
                <w:szCs w:val="15"/>
                <w:color w:val="auto"/>
              </w:rPr>
              <w:t>Interest income</w:t>
            </w:r>
          </w:p>
        </w:tc>
        <w:tc>
          <w:tcPr>
            <w:tcW w:w="52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7"/>
              <w:spacing w:after="0"/>
              <w:rPr>
                <w:sz w:val="20"/>
                <w:szCs w:val="20"/>
                <w:color w:val="auto"/>
              </w:rPr>
            </w:pPr>
            <w:r>
              <w:rPr>
                <w:rFonts w:ascii="Arial" w:cs="Arial" w:eastAsia="Arial" w:hAnsi="Arial"/>
                <w:sz w:val="15"/>
                <w:szCs w:val="15"/>
                <w:color w:val="auto"/>
              </w:rPr>
              <w:t>3,737</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5"/>
                <w:szCs w:val="15"/>
                <w:color w:val="auto"/>
              </w:rPr>
              <w:t>Interest expense</w:t>
            </w:r>
          </w:p>
        </w:tc>
        <w:tc>
          <w:tcPr>
            <w:tcW w:w="52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(15,890)</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640" w:type="dxa"/>
            <w:vAlign w:val="bottom"/>
          </w:tcPr>
          <w:p>
            <w:pPr>
              <w:ind w:left="120"/>
              <w:spacing w:after="0"/>
              <w:rPr>
                <w:sz w:val="20"/>
                <w:szCs w:val="20"/>
                <w:color w:val="auto"/>
              </w:rPr>
            </w:pPr>
            <w:r>
              <w:rPr>
                <w:rFonts w:ascii="Arial" w:cs="Arial" w:eastAsia="Arial" w:hAnsi="Arial"/>
                <w:sz w:val="15"/>
                <w:szCs w:val="15"/>
                <w:color w:val="auto"/>
              </w:rPr>
              <w:t>Loss from continuing operations before income taxes</w:t>
            </w:r>
          </w:p>
        </w:tc>
        <w:tc>
          <w:tcPr>
            <w:tcW w:w="5200" w:type="dxa"/>
            <w:vAlign w:val="bottom"/>
          </w:tcPr>
          <w:p>
            <w:pPr>
              <w:spacing w:after="0"/>
              <w:rPr>
                <w:sz w:val="16"/>
                <w:szCs w:val="16"/>
                <w:color w:val="auto"/>
              </w:rPr>
            </w:pPr>
          </w:p>
        </w:tc>
        <w:tc>
          <w:tcPr>
            <w:tcW w:w="120" w:type="dxa"/>
            <w:vAlign w:val="bottom"/>
            <w:tcBorders>
              <w:left w:val="single" w:sz="8" w:color="9BDA44"/>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(3,768)</w:t>
            </w:r>
          </w:p>
        </w:tc>
        <w:tc>
          <w:tcPr>
            <w:tcW w:w="120" w:type="dxa"/>
            <w:vAlign w:val="bottom"/>
            <w:tcBorders>
              <w:right w:val="single" w:sz="8" w:color="9BDA44"/>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640" w:type="dxa"/>
            <w:vAlign w:val="bottom"/>
          </w:tcPr>
          <w:p>
            <w:pPr>
              <w:spacing w:after="0"/>
              <w:rPr>
                <w:sz w:val="20"/>
                <w:szCs w:val="20"/>
                <w:color w:val="auto"/>
              </w:rPr>
            </w:pPr>
            <w:r>
              <w:rPr>
                <w:rFonts w:ascii="Arial" w:cs="Arial" w:eastAsia="Arial" w:hAnsi="Arial"/>
                <w:sz w:val="15"/>
                <w:szCs w:val="15"/>
                <w:color w:val="auto"/>
              </w:rPr>
              <w:t>Income tax provision</w:t>
            </w:r>
          </w:p>
        </w:tc>
        <w:tc>
          <w:tcPr>
            <w:tcW w:w="52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(392)</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640" w:type="dxa"/>
            <w:vAlign w:val="bottom"/>
          </w:tcPr>
          <w:p>
            <w:pPr>
              <w:ind w:left="120"/>
              <w:spacing w:after="0"/>
              <w:rPr>
                <w:sz w:val="20"/>
                <w:szCs w:val="20"/>
                <w:color w:val="auto"/>
              </w:rPr>
            </w:pPr>
            <w:r>
              <w:rPr>
                <w:rFonts w:ascii="Arial" w:cs="Arial" w:eastAsia="Arial" w:hAnsi="Arial"/>
                <w:sz w:val="15"/>
                <w:szCs w:val="15"/>
                <w:b w:val="1"/>
                <w:bCs w:val="1"/>
                <w:color w:val="auto"/>
              </w:rPr>
              <w:t>Net loss</w:t>
            </w:r>
          </w:p>
        </w:tc>
        <w:tc>
          <w:tcPr>
            <w:tcW w:w="5200" w:type="dxa"/>
            <w:vAlign w:val="bottom"/>
          </w:tcPr>
          <w:p>
            <w:pPr>
              <w:spacing w:after="0"/>
              <w:rPr>
                <w:sz w:val="16"/>
                <w:szCs w:val="16"/>
                <w:color w:val="auto"/>
              </w:rPr>
            </w:pPr>
          </w:p>
        </w:tc>
        <w:tc>
          <w:tcPr>
            <w:tcW w:w="120" w:type="dxa"/>
            <w:vAlign w:val="bottom"/>
            <w:tcBorders>
              <w:left w:val="single" w:sz="8" w:color="9BDA44"/>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(4,160)</w:t>
            </w:r>
          </w:p>
        </w:tc>
        <w:tc>
          <w:tcPr>
            <w:tcW w:w="120" w:type="dxa"/>
            <w:vAlign w:val="bottom"/>
            <w:tcBorders>
              <w:right w:val="single" w:sz="8" w:color="9BDA44"/>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5"/>
                <w:szCs w:val="15"/>
                <w:color w:val="auto"/>
              </w:rPr>
              <w:t>Net loss attributable to noncontrolling interests</w:t>
            </w:r>
          </w:p>
        </w:tc>
        <w:tc>
          <w:tcPr>
            <w:tcW w:w="52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11,579</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rPr>
                <w:sz w:val="20"/>
                <w:szCs w:val="20"/>
                <w:color w:val="auto"/>
              </w:rPr>
            </w:pPr>
            <w:r>
              <w:rPr>
                <w:rFonts w:ascii="Arial" w:cs="Arial" w:eastAsia="Arial" w:hAnsi="Arial"/>
                <w:sz w:val="15"/>
                <w:szCs w:val="15"/>
                <w:b w:val="1"/>
                <w:bCs w:val="1"/>
                <w:color w:val="auto"/>
              </w:rPr>
              <w:t>Net income attributable to Acadia</w:t>
            </w:r>
          </w:p>
        </w:tc>
        <w:tc>
          <w:tcPr>
            <w:tcW w:w="5200" w:type="dxa"/>
            <w:vAlign w:val="bottom"/>
          </w:tcPr>
          <w:p>
            <w:pPr>
              <w:spacing w:after="0"/>
              <w:rPr>
                <w:sz w:val="17"/>
                <w:szCs w:val="17"/>
                <w:color w:val="auto"/>
              </w:rPr>
            </w:pPr>
          </w:p>
        </w:tc>
        <w:tc>
          <w:tcPr>
            <w:tcW w:w="380" w:type="dxa"/>
            <w:vAlign w:val="bottom"/>
            <w:tcBorders>
              <w:left w:val="single" w:sz="8" w:color="9BDA44"/>
            </w:tcBorders>
            <w:gridSpan w:val="2"/>
          </w:tcPr>
          <w:p>
            <w:pPr>
              <w:jc w:val="right"/>
              <w:ind w:right="87"/>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47"/>
              <w:spacing w:after="0"/>
              <w:rPr>
                <w:sz w:val="20"/>
                <w:szCs w:val="20"/>
                <w:color w:val="auto"/>
              </w:rPr>
            </w:pPr>
            <w:r>
              <w:rPr>
                <w:rFonts w:ascii="Arial" w:cs="Arial" w:eastAsia="Arial" w:hAnsi="Arial"/>
                <w:sz w:val="15"/>
                <w:szCs w:val="15"/>
                <w:b w:val="1"/>
                <w:bCs w:val="1"/>
                <w:color w:val="auto"/>
              </w:rPr>
              <w:t>7,419</w:t>
            </w:r>
          </w:p>
        </w:tc>
        <w:tc>
          <w:tcPr>
            <w:tcW w:w="120" w:type="dxa"/>
            <w:vAlign w:val="bottom"/>
            <w:tcBorders>
              <w:right w:val="single" w:sz="8" w:color="9BDA44"/>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140"/>
              <w:spacing w:after="0"/>
              <w:rPr>
                <w:sz w:val="20"/>
                <w:szCs w:val="20"/>
                <w:color w:val="auto"/>
              </w:rPr>
            </w:pPr>
            <w:r>
              <w:rPr>
                <w:rFonts w:ascii="Arial" w:cs="Arial" w:eastAsia="Arial" w:hAnsi="Arial"/>
                <w:sz w:val="15"/>
                <w:szCs w:val="15"/>
                <w:i w:val="1"/>
                <w:iCs w:val="1"/>
                <w:color w:val="auto"/>
              </w:rPr>
              <w:t>Supplemental Report - March 31, 2018</w:t>
            </w:r>
          </w:p>
        </w:tc>
        <w:tc>
          <w:tcPr>
            <w:tcW w:w="5200" w:type="dxa"/>
            <w:vAlign w:val="bottom"/>
            <w:vMerge w:val="restart"/>
          </w:tcPr>
          <w:p>
            <w:pPr>
              <w:jc w:val="right"/>
              <w:ind w:right="3982"/>
              <w:spacing w:after="0"/>
              <w:rPr>
                <w:sz w:val="20"/>
                <w:szCs w:val="20"/>
                <w:color w:val="auto"/>
              </w:rPr>
            </w:pPr>
            <w:r>
              <w:rPr>
                <w:rFonts w:ascii="Arial" w:cs="Arial" w:eastAsia="Arial" w:hAnsi="Arial"/>
                <w:sz w:val="12"/>
                <w:szCs w:val="12"/>
                <w:color w:val="auto"/>
              </w:rPr>
              <w:t>5</w:t>
            </w:r>
          </w:p>
        </w:tc>
        <w:tc>
          <w:tcPr>
            <w:tcW w:w="120" w:type="dxa"/>
            <w:vAlign w:val="bottom"/>
            <w:tcBorders>
              <w:left w:val="single" w:sz="8" w:color="9BDA4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9BDA4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640" w:type="dxa"/>
            <w:vAlign w:val="bottom"/>
            <w:vMerge w:val="continue"/>
          </w:tcPr>
          <w:p>
            <w:pPr>
              <w:spacing w:after="0"/>
              <w:rPr>
                <w:sz w:val="24"/>
                <w:szCs w:val="24"/>
                <w:color w:val="auto"/>
              </w:rPr>
            </w:pPr>
          </w:p>
        </w:tc>
        <w:tc>
          <w:tcPr>
            <w:tcW w:w="5200" w:type="dxa"/>
            <w:vAlign w:val="bottom"/>
            <w:vMerge w:val="continue"/>
          </w:tcPr>
          <w:p>
            <w:pPr>
              <w:spacing w:after="0"/>
              <w:rPr>
                <w:sz w:val="24"/>
                <w:szCs w:val="24"/>
                <w:color w:val="auto"/>
              </w:rPr>
            </w:pPr>
          </w:p>
        </w:tc>
        <w:tc>
          <w:tcPr>
            <w:tcW w:w="120" w:type="dxa"/>
            <w:vAlign w:val="bottom"/>
            <w:tcBorders>
              <w:left w:val="single" w:sz="8" w:color="9BDA44"/>
              <w:bottom w:val="single" w:sz="8" w:color="9BDA44"/>
            </w:tcBorders>
          </w:tcPr>
          <w:p>
            <w:pPr>
              <w:spacing w:after="0"/>
              <w:rPr>
                <w:sz w:val="24"/>
                <w:szCs w:val="24"/>
                <w:color w:val="auto"/>
              </w:rPr>
            </w:pPr>
          </w:p>
        </w:tc>
        <w:tc>
          <w:tcPr>
            <w:tcW w:w="260" w:type="dxa"/>
            <w:vAlign w:val="bottom"/>
            <w:tcBorders>
              <w:bottom w:val="single" w:sz="8" w:color="9BDA44"/>
            </w:tcBorders>
          </w:tcPr>
          <w:p>
            <w:pPr>
              <w:spacing w:after="0"/>
              <w:rPr>
                <w:sz w:val="24"/>
                <w:szCs w:val="24"/>
                <w:color w:val="auto"/>
              </w:rPr>
            </w:pPr>
          </w:p>
        </w:tc>
        <w:tc>
          <w:tcPr>
            <w:tcW w:w="1120" w:type="dxa"/>
            <w:vAlign w:val="bottom"/>
            <w:tcBorders>
              <w:bottom w:val="single" w:sz="8" w:color="9BDA44"/>
            </w:tcBorders>
          </w:tcPr>
          <w:p>
            <w:pPr>
              <w:spacing w:after="0"/>
              <w:rPr>
                <w:sz w:val="24"/>
                <w:szCs w:val="24"/>
                <w:color w:val="auto"/>
              </w:rPr>
            </w:pPr>
          </w:p>
        </w:tc>
        <w:tc>
          <w:tcPr>
            <w:tcW w:w="120" w:type="dxa"/>
            <w:vAlign w:val="bottom"/>
            <w:tcBorders>
              <w:bottom w:val="single" w:sz="8" w:color="9BDA44"/>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640" w:type="dxa"/>
            <w:vAlign w:val="bottom"/>
            <w:vMerge w:val="continue"/>
          </w:tcPr>
          <w:p>
            <w:pPr>
              <w:spacing w:after="0"/>
              <w:rPr>
                <w:sz w:val="24"/>
                <w:szCs w:val="24"/>
                <w:color w:val="auto"/>
              </w:rPr>
            </w:pPr>
          </w:p>
        </w:tc>
        <w:tc>
          <w:tcPr>
            <w:tcW w:w="5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17" w:right="19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Income Statement -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2726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10100" w:type="dxa"/>
            <w:vAlign w:val="bottom"/>
            <w:tcBorders>
              <w:right w:val="single" w:sz="8" w:color="9BDA44"/>
            </w:tcBorders>
          </w:tcPr>
          <w:p>
            <w:pPr>
              <w:spacing w:after="0"/>
              <w:rPr>
                <w:sz w:val="24"/>
                <w:szCs w:val="24"/>
                <w:color w:val="auto"/>
              </w:rPr>
            </w:pPr>
          </w:p>
        </w:tc>
        <w:tc>
          <w:tcPr>
            <w:tcW w:w="100" w:type="dxa"/>
            <w:vAlign w:val="bottom"/>
            <w:tcBorders>
              <w:top w:val="single" w:sz="8" w:color="9BDA44"/>
            </w:tcBorders>
          </w:tcPr>
          <w:p>
            <w:pPr>
              <w:spacing w:after="0"/>
              <w:rPr>
                <w:sz w:val="24"/>
                <w:szCs w:val="24"/>
                <w:color w:val="auto"/>
              </w:rPr>
            </w:pPr>
          </w:p>
        </w:tc>
        <w:tc>
          <w:tcPr>
            <w:tcW w:w="100" w:type="dxa"/>
            <w:vAlign w:val="bottom"/>
            <w:tcBorders>
              <w:top w:val="single" w:sz="8" w:color="9BDA44"/>
              <w:bottom w:val="single" w:sz="8" w:color="auto"/>
            </w:tcBorders>
          </w:tcPr>
          <w:p>
            <w:pPr>
              <w:spacing w:after="0"/>
              <w:rPr>
                <w:sz w:val="24"/>
                <w:szCs w:val="24"/>
                <w:color w:val="auto"/>
              </w:rPr>
            </w:pPr>
          </w:p>
        </w:tc>
        <w:tc>
          <w:tcPr>
            <w:tcW w:w="1040" w:type="dxa"/>
            <w:vAlign w:val="bottom"/>
            <w:tcBorders>
              <w:top w:val="single" w:sz="8" w:color="9BDA44"/>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95"/>
              </w:rPr>
              <w:t xml:space="preserve">March 31, 2018 </w:t>
            </w:r>
            <w:r>
              <w:rPr>
                <w:rFonts w:ascii="Arial" w:cs="Arial" w:eastAsia="Arial" w:hAnsi="Arial"/>
                <w:sz w:val="14"/>
                <w:szCs w:val="14"/>
                <w:b w:val="1"/>
                <w:bCs w:val="1"/>
                <w:color w:val="auto"/>
                <w:w w:val="95"/>
                <w:vertAlign w:val="superscript"/>
              </w:rPr>
              <w:t>1</w:t>
            </w:r>
          </w:p>
        </w:tc>
        <w:tc>
          <w:tcPr>
            <w:tcW w:w="120" w:type="dxa"/>
            <w:vAlign w:val="bottom"/>
            <w:tcBorders>
              <w:top w:val="single" w:sz="8" w:color="9BDA44"/>
              <w:right w:val="single" w:sz="8" w:color="9BDA44"/>
            </w:tcBorders>
          </w:tcPr>
          <w:p>
            <w:pPr>
              <w:spacing w:after="0"/>
              <w:rPr>
                <w:sz w:val="24"/>
                <w:szCs w:val="24"/>
                <w:color w:val="auto"/>
              </w:rPr>
            </w:pPr>
          </w:p>
        </w:tc>
      </w:tr>
      <w:tr>
        <w:trPr>
          <w:trHeight w:val="189"/>
        </w:trPr>
        <w:tc>
          <w:tcPr>
            <w:tcW w:w="10100" w:type="dxa"/>
            <w:vAlign w:val="bottom"/>
            <w:tcBorders>
              <w:right w:val="single" w:sz="8" w:color="9BDA44"/>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9BDA44"/>
            </w:tcBorders>
            <w:gridSpan w:val="2"/>
          </w:tcPr>
          <w:p>
            <w:pPr>
              <w:jc w:val="center"/>
              <w:ind w:right="220"/>
              <w:spacing w:after="0"/>
              <w:rPr>
                <w:sz w:val="20"/>
                <w:szCs w:val="20"/>
                <w:color w:val="auto"/>
              </w:rPr>
            </w:pPr>
            <w:r>
              <w:rPr>
                <w:rFonts w:ascii="Arial" w:cs="Arial" w:eastAsia="Arial" w:hAnsi="Arial"/>
                <w:sz w:val="12"/>
                <w:szCs w:val="12"/>
                <w:b w:val="1"/>
                <w:bCs w:val="1"/>
                <w:color w:val="auto"/>
                <w:w w:val="96"/>
              </w:rPr>
              <w:t>Quarter</w:t>
            </w:r>
          </w:p>
        </w:tc>
      </w:tr>
      <w:tr>
        <w:trPr>
          <w:trHeight w:val="307"/>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b w:val="1"/>
                <w:bCs w:val="1"/>
                <w:color w:val="auto"/>
              </w:rPr>
              <w:t>CORE PORTFOLIO AND FUND INCOME</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right w:val="single" w:sz="8" w:color="9BDA44"/>
            </w:tcBorders>
          </w:tcPr>
          <w:p>
            <w:pPr>
              <w:spacing w:after="0"/>
              <w:rPr>
                <w:sz w:val="24"/>
                <w:szCs w:val="24"/>
                <w:color w:val="auto"/>
              </w:rPr>
            </w:pPr>
          </w:p>
        </w:tc>
      </w:tr>
      <w:tr>
        <w:trPr>
          <w:trHeight w:val="317"/>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b w:val="1"/>
                <w:bCs w:val="1"/>
                <w:color w:val="auto"/>
              </w:rPr>
              <w:t>PROPERTY REVENUES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right w:val="single" w:sz="8" w:color="9BDA44"/>
            </w:tcBorders>
          </w:tcPr>
          <w:p>
            <w:pPr>
              <w:spacing w:after="0"/>
              <w:rPr>
                <w:sz w:val="24"/>
                <w:szCs w:val="24"/>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Minimum rents</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45,484</w:t>
            </w:r>
          </w:p>
        </w:tc>
        <w:tc>
          <w:tcPr>
            <w:tcW w:w="120" w:type="dxa"/>
            <w:vAlign w:val="bottom"/>
            <w:tcBorders>
              <w:right w:val="single" w:sz="8" w:color="9BDA44"/>
            </w:tcBorders>
          </w:tcPr>
          <w:p>
            <w:pPr>
              <w:spacing w:after="0"/>
              <w:rPr>
                <w:sz w:val="19"/>
                <w:szCs w:val="19"/>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Percentage rents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199</w:t>
            </w:r>
          </w:p>
        </w:tc>
        <w:tc>
          <w:tcPr>
            <w:tcW w:w="120" w:type="dxa"/>
            <w:vAlign w:val="bottom"/>
            <w:tcBorders>
              <w:right w:val="single" w:sz="8" w:color="9BDA44"/>
            </w:tcBorders>
          </w:tcPr>
          <w:p>
            <w:pPr>
              <w:spacing w:after="0"/>
              <w:rPr>
                <w:sz w:val="19"/>
                <w:szCs w:val="19"/>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Expense reimbursements - CAM</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4,450</w:t>
            </w:r>
          </w:p>
        </w:tc>
        <w:tc>
          <w:tcPr>
            <w:tcW w:w="120" w:type="dxa"/>
            <w:vAlign w:val="bottom"/>
            <w:tcBorders>
              <w:right w:val="single" w:sz="8" w:color="9BDA44"/>
            </w:tcBorders>
          </w:tcPr>
          <w:p>
            <w:pPr>
              <w:spacing w:after="0"/>
              <w:rPr>
                <w:sz w:val="19"/>
                <w:szCs w:val="19"/>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Expense reimbursements - Taxes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6,757</w:t>
            </w:r>
          </w:p>
        </w:tc>
        <w:tc>
          <w:tcPr>
            <w:tcW w:w="120" w:type="dxa"/>
            <w:vAlign w:val="bottom"/>
            <w:tcBorders>
              <w:right w:val="single" w:sz="8" w:color="9BDA44"/>
            </w:tcBorders>
          </w:tcPr>
          <w:p>
            <w:pPr>
              <w:spacing w:after="0"/>
              <w:rPr>
                <w:sz w:val="19"/>
                <w:szCs w:val="19"/>
                <w:color w:val="auto"/>
              </w:rPr>
            </w:pPr>
          </w:p>
        </w:tc>
      </w:tr>
      <w:tr>
        <w:trPr>
          <w:trHeight w:val="223"/>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Other property income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525</w:t>
            </w:r>
          </w:p>
        </w:tc>
        <w:tc>
          <w:tcPr>
            <w:tcW w:w="120" w:type="dxa"/>
            <w:vAlign w:val="bottom"/>
            <w:tcBorders>
              <w:right w:val="single" w:sz="8" w:color="9BDA44"/>
            </w:tcBorders>
          </w:tcPr>
          <w:p>
            <w:pPr>
              <w:spacing w:after="0"/>
              <w:rPr>
                <w:sz w:val="19"/>
                <w:szCs w:val="19"/>
                <w:color w:val="auto"/>
              </w:rPr>
            </w:pPr>
          </w:p>
        </w:tc>
      </w:tr>
      <w:tr>
        <w:trPr>
          <w:trHeight w:val="194"/>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b w:val="1"/>
                <w:bCs w:val="1"/>
                <w:color w:val="auto"/>
              </w:rPr>
              <w:t>Total Property Revenues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b w:val="1"/>
                <w:bCs w:val="1"/>
                <w:color w:val="auto"/>
              </w:rPr>
              <w:t>57,415</w:t>
            </w:r>
          </w:p>
        </w:tc>
        <w:tc>
          <w:tcPr>
            <w:tcW w:w="120" w:type="dxa"/>
            <w:vAlign w:val="bottom"/>
            <w:tcBorders>
              <w:right w:val="single" w:sz="8" w:color="9BDA44"/>
            </w:tcBorders>
          </w:tcPr>
          <w:p>
            <w:pPr>
              <w:spacing w:after="0"/>
              <w:rPr>
                <w:sz w:val="16"/>
                <w:szCs w:val="16"/>
                <w:color w:val="auto"/>
              </w:rPr>
            </w:pPr>
          </w:p>
        </w:tc>
      </w:tr>
      <w:tr>
        <w:trPr>
          <w:trHeight w:val="317"/>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b w:val="1"/>
                <w:bCs w:val="1"/>
                <w:color w:val="auto"/>
              </w:rPr>
              <w:t>PROPERTY EXPENSES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right w:val="single" w:sz="8" w:color="9BDA44"/>
            </w:tcBorders>
          </w:tcPr>
          <w:p>
            <w:pPr>
              <w:spacing w:after="0"/>
              <w:rPr>
                <w:sz w:val="24"/>
                <w:szCs w:val="24"/>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Property operating - CAM</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7,785</w:t>
            </w:r>
          </w:p>
        </w:tc>
        <w:tc>
          <w:tcPr>
            <w:tcW w:w="120" w:type="dxa"/>
            <w:vAlign w:val="bottom"/>
            <w:tcBorders>
              <w:right w:val="single" w:sz="8" w:color="9BDA44"/>
            </w:tcBorders>
          </w:tcPr>
          <w:p>
            <w:pPr>
              <w:spacing w:after="0"/>
              <w:rPr>
                <w:sz w:val="19"/>
                <w:szCs w:val="19"/>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Other property operating (Non-CAM)</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2,449</w:t>
            </w:r>
          </w:p>
        </w:tc>
        <w:tc>
          <w:tcPr>
            <w:tcW w:w="120" w:type="dxa"/>
            <w:vAlign w:val="bottom"/>
            <w:tcBorders>
              <w:right w:val="single" w:sz="8" w:color="9BDA44"/>
            </w:tcBorders>
          </w:tcPr>
          <w:p>
            <w:pPr>
              <w:spacing w:after="0"/>
              <w:rPr>
                <w:sz w:val="19"/>
                <w:szCs w:val="19"/>
                <w:color w:val="auto"/>
              </w:rPr>
            </w:pPr>
          </w:p>
        </w:tc>
      </w:tr>
      <w:tr>
        <w:trPr>
          <w:trHeight w:val="223"/>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Real estate taxes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8,959</w:t>
            </w:r>
          </w:p>
        </w:tc>
        <w:tc>
          <w:tcPr>
            <w:tcW w:w="120" w:type="dxa"/>
            <w:vAlign w:val="bottom"/>
            <w:tcBorders>
              <w:right w:val="single" w:sz="8" w:color="9BDA44"/>
            </w:tcBorders>
          </w:tcPr>
          <w:p>
            <w:pPr>
              <w:spacing w:after="0"/>
              <w:rPr>
                <w:sz w:val="19"/>
                <w:szCs w:val="19"/>
                <w:color w:val="auto"/>
              </w:rPr>
            </w:pPr>
          </w:p>
        </w:tc>
      </w:tr>
      <w:tr>
        <w:trPr>
          <w:trHeight w:val="194"/>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b w:val="1"/>
                <w:bCs w:val="1"/>
                <w:color w:val="auto"/>
              </w:rPr>
              <w:t>Total Property Expenses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b w:val="1"/>
                <w:bCs w:val="1"/>
                <w:color w:val="auto"/>
              </w:rPr>
              <w:t>19,193</w:t>
            </w:r>
          </w:p>
        </w:tc>
        <w:tc>
          <w:tcPr>
            <w:tcW w:w="120" w:type="dxa"/>
            <w:vAlign w:val="bottom"/>
            <w:tcBorders>
              <w:right w:val="single" w:sz="8" w:color="9BDA44"/>
            </w:tcBorders>
          </w:tcPr>
          <w:p>
            <w:pPr>
              <w:spacing w:after="0"/>
              <w:rPr>
                <w:sz w:val="16"/>
                <w:szCs w:val="16"/>
                <w:color w:val="auto"/>
              </w:rPr>
            </w:pPr>
          </w:p>
        </w:tc>
      </w:tr>
      <w:tr>
        <w:trPr>
          <w:trHeight w:val="108"/>
        </w:trPr>
        <w:tc>
          <w:tcPr>
            <w:tcW w:w="10100" w:type="dxa"/>
            <w:vAlign w:val="bottom"/>
            <w:tcBorders>
              <w:right w:val="single" w:sz="8" w:color="9BDA44"/>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Borders>
              <w:right w:val="single" w:sz="8" w:color="9BDA44"/>
            </w:tcBorders>
          </w:tcPr>
          <w:p>
            <w:pPr>
              <w:spacing w:after="0"/>
              <w:rPr>
                <w:sz w:val="9"/>
                <w:szCs w:val="9"/>
                <w:color w:val="auto"/>
              </w:rPr>
            </w:pPr>
          </w:p>
        </w:tc>
      </w:tr>
      <w:tr>
        <w:trPr>
          <w:trHeight w:val="18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b w:val="1"/>
                <w:bCs w:val="1"/>
                <w:color w:val="auto"/>
              </w:rPr>
              <w:t>NET OPERATING INCOME - PROPERTIES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b w:val="1"/>
                <w:bCs w:val="1"/>
                <w:color w:val="auto"/>
              </w:rPr>
              <w:t>38,222</w:t>
            </w:r>
          </w:p>
        </w:tc>
        <w:tc>
          <w:tcPr>
            <w:tcW w:w="120" w:type="dxa"/>
            <w:vAlign w:val="bottom"/>
            <w:tcBorders>
              <w:right w:val="single" w:sz="8" w:color="9BDA44"/>
            </w:tcBorders>
          </w:tcPr>
          <w:p>
            <w:pPr>
              <w:spacing w:after="0"/>
              <w:rPr>
                <w:sz w:val="16"/>
                <w:szCs w:val="16"/>
                <w:color w:val="auto"/>
              </w:rPr>
            </w:pPr>
          </w:p>
        </w:tc>
      </w:tr>
      <w:tr>
        <w:trPr>
          <w:trHeight w:val="317"/>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b w:val="1"/>
                <w:bCs w:val="1"/>
                <w:color w:val="auto"/>
              </w:rPr>
              <w:t>OTHER INCOME (EXPENSE)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right w:val="single" w:sz="8" w:color="9BDA44"/>
            </w:tcBorders>
          </w:tcPr>
          <w:p>
            <w:pPr>
              <w:spacing w:after="0"/>
              <w:rPr>
                <w:sz w:val="24"/>
                <w:szCs w:val="24"/>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Interest income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3,737</w:t>
            </w:r>
          </w:p>
        </w:tc>
        <w:tc>
          <w:tcPr>
            <w:tcW w:w="120" w:type="dxa"/>
            <w:vAlign w:val="bottom"/>
            <w:tcBorders>
              <w:right w:val="single" w:sz="8" w:color="9BDA44"/>
            </w:tcBorders>
          </w:tcPr>
          <w:p>
            <w:pPr>
              <w:spacing w:after="0"/>
              <w:rPr>
                <w:sz w:val="19"/>
                <w:szCs w:val="19"/>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Straight-line rent income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2,434</w:t>
            </w:r>
          </w:p>
        </w:tc>
        <w:tc>
          <w:tcPr>
            <w:tcW w:w="120" w:type="dxa"/>
            <w:vAlign w:val="bottom"/>
            <w:tcBorders>
              <w:right w:val="single" w:sz="8" w:color="9BDA44"/>
            </w:tcBorders>
          </w:tcPr>
          <w:p>
            <w:pPr>
              <w:spacing w:after="0"/>
              <w:rPr>
                <w:sz w:val="19"/>
                <w:szCs w:val="19"/>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Above/below-market 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2,666</w:t>
            </w:r>
          </w:p>
        </w:tc>
        <w:tc>
          <w:tcPr>
            <w:tcW w:w="120" w:type="dxa"/>
            <w:vAlign w:val="bottom"/>
            <w:tcBorders>
              <w:right w:val="single" w:sz="8" w:color="9BDA44"/>
            </w:tcBorders>
          </w:tcPr>
          <w:p>
            <w:pPr>
              <w:spacing w:after="0"/>
              <w:rPr>
                <w:sz w:val="19"/>
                <w:szCs w:val="19"/>
                <w:color w:val="auto"/>
              </w:rPr>
            </w:pPr>
          </w:p>
        </w:tc>
      </w:tr>
      <w:tr>
        <w:trPr>
          <w:trHeight w:val="260"/>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 xml:space="preserve">Interest expense </w:t>
            </w:r>
            <w:r>
              <w:rPr>
                <w:rFonts w:ascii="Arial" w:cs="Arial" w:eastAsia="Arial" w:hAnsi="Arial"/>
                <w:sz w:val="14"/>
                <w:szCs w:val="14"/>
                <w:color w:val="auto"/>
                <w:vertAlign w:val="superscript"/>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(13,793)</w:t>
            </w:r>
          </w:p>
        </w:tc>
        <w:tc>
          <w:tcPr>
            <w:tcW w:w="120" w:type="dxa"/>
            <w:vAlign w:val="bottom"/>
            <w:tcBorders>
              <w:right w:val="single" w:sz="8" w:color="9BDA44"/>
            </w:tcBorders>
          </w:tcPr>
          <w:p>
            <w:pPr>
              <w:spacing w:after="0"/>
              <w:rPr>
                <w:sz w:val="22"/>
                <w:szCs w:val="22"/>
                <w:color w:val="auto"/>
              </w:rPr>
            </w:pPr>
          </w:p>
        </w:tc>
      </w:tr>
      <w:tr>
        <w:trPr>
          <w:trHeight w:val="177"/>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Amortization of finance costs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(1,375)</w:t>
            </w:r>
          </w:p>
        </w:tc>
        <w:tc>
          <w:tcPr>
            <w:tcW w:w="120" w:type="dxa"/>
            <w:vAlign w:val="bottom"/>
            <w:tcBorders>
              <w:right w:val="single" w:sz="8" w:color="9BDA44"/>
            </w:tcBorders>
          </w:tcPr>
          <w:p>
            <w:pPr>
              <w:spacing w:after="0"/>
              <w:rPr>
                <w:sz w:val="15"/>
                <w:szCs w:val="15"/>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Above/below-market interest expense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26</w:t>
            </w:r>
          </w:p>
        </w:tc>
        <w:tc>
          <w:tcPr>
            <w:tcW w:w="120" w:type="dxa"/>
            <w:vAlign w:val="bottom"/>
            <w:tcBorders>
              <w:right w:val="single" w:sz="8" w:color="9BDA44"/>
            </w:tcBorders>
          </w:tcPr>
          <w:p>
            <w:pPr>
              <w:spacing w:after="0"/>
              <w:rPr>
                <w:sz w:val="19"/>
                <w:szCs w:val="19"/>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Asset and property management expense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(279)</w:t>
            </w:r>
          </w:p>
        </w:tc>
        <w:tc>
          <w:tcPr>
            <w:tcW w:w="120" w:type="dxa"/>
            <w:vAlign w:val="bottom"/>
            <w:tcBorders>
              <w:right w:val="single" w:sz="8" w:color="9BDA44"/>
            </w:tcBorders>
          </w:tcPr>
          <w:p>
            <w:pPr>
              <w:spacing w:after="0"/>
              <w:rPr>
                <w:sz w:val="19"/>
                <w:szCs w:val="19"/>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Other income/expense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503</w:t>
            </w:r>
          </w:p>
        </w:tc>
        <w:tc>
          <w:tcPr>
            <w:tcW w:w="120" w:type="dxa"/>
            <w:vAlign w:val="bottom"/>
            <w:tcBorders>
              <w:right w:val="single" w:sz="8" w:color="9BDA44"/>
            </w:tcBorders>
          </w:tcPr>
          <w:p>
            <w:pPr>
              <w:spacing w:after="0"/>
              <w:rPr>
                <w:sz w:val="19"/>
                <w:szCs w:val="19"/>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Transaction costs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(80)</w:t>
            </w:r>
          </w:p>
        </w:tc>
        <w:tc>
          <w:tcPr>
            <w:tcW w:w="120" w:type="dxa"/>
            <w:vAlign w:val="bottom"/>
            <w:tcBorders>
              <w:right w:val="single" w:sz="8" w:color="9BDA44"/>
            </w:tcBorders>
          </w:tcPr>
          <w:p>
            <w:pPr>
              <w:spacing w:after="0"/>
              <w:rPr>
                <w:sz w:val="19"/>
                <w:szCs w:val="19"/>
                <w:color w:val="auto"/>
              </w:rPr>
            </w:pPr>
          </w:p>
        </w:tc>
      </w:tr>
      <w:tr>
        <w:trPr>
          <w:trHeight w:val="223"/>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Capital lease interest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(748)</w:t>
            </w:r>
          </w:p>
        </w:tc>
        <w:tc>
          <w:tcPr>
            <w:tcW w:w="120" w:type="dxa"/>
            <w:vAlign w:val="bottom"/>
            <w:tcBorders>
              <w:right w:val="single" w:sz="8" w:color="9BDA44"/>
            </w:tcBorders>
          </w:tcPr>
          <w:p>
            <w:pPr>
              <w:spacing w:after="0"/>
              <w:rPr>
                <w:sz w:val="19"/>
                <w:szCs w:val="19"/>
                <w:color w:val="auto"/>
              </w:rPr>
            </w:pPr>
          </w:p>
        </w:tc>
      </w:tr>
      <w:tr>
        <w:trPr>
          <w:trHeight w:val="194"/>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b w:val="1"/>
                <w:bCs w:val="1"/>
                <w:color w:val="auto"/>
              </w:rPr>
              <w:t>CORE PORTFOLIO AND FUND INCOME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b w:val="1"/>
                <w:bCs w:val="1"/>
                <w:color w:val="auto"/>
              </w:rPr>
              <w:t>31,313</w:t>
            </w:r>
          </w:p>
        </w:tc>
        <w:tc>
          <w:tcPr>
            <w:tcW w:w="120" w:type="dxa"/>
            <w:vAlign w:val="bottom"/>
            <w:tcBorders>
              <w:right w:val="single" w:sz="8" w:color="9BDA44"/>
            </w:tcBorders>
          </w:tcPr>
          <w:p>
            <w:pPr>
              <w:spacing w:after="0"/>
              <w:rPr>
                <w:sz w:val="16"/>
                <w:szCs w:val="16"/>
                <w:color w:val="auto"/>
              </w:rPr>
            </w:pPr>
          </w:p>
        </w:tc>
      </w:tr>
      <w:tr>
        <w:trPr>
          <w:trHeight w:val="317"/>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b w:val="1"/>
                <w:bCs w:val="1"/>
                <w:color w:val="auto"/>
              </w:rPr>
              <w:t>FEE INCOME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right w:val="single" w:sz="8" w:color="9BDA44"/>
            </w:tcBorders>
          </w:tcPr>
          <w:p>
            <w:pPr>
              <w:spacing w:after="0"/>
              <w:rPr>
                <w:sz w:val="24"/>
                <w:szCs w:val="24"/>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Asset and property management fees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215</w:t>
            </w:r>
          </w:p>
        </w:tc>
        <w:tc>
          <w:tcPr>
            <w:tcW w:w="120" w:type="dxa"/>
            <w:vAlign w:val="bottom"/>
            <w:tcBorders>
              <w:right w:val="single" w:sz="8" w:color="9BDA44"/>
            </w:tcBorders>
          </w:tcPr>
          <w:p>
            <w:pPr>
              <w:spacing w:after="0"/>
              <w:rPr>
                <w:sz w:val="19"/>
                <w:szCs w:val="19"/>
                <w:color w:val="auto"/>
              </w:rPr>
            </w:pPr>
          </w:p>
        </w:tc>
      </w:tr>
      <w:tr>
        <w:trPr>
          <w:trHeight w:val="219"/>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Promote income from funds, net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r>
      <w:tr>
        <w:trPr>
          <w:trHeight w:val="260"/>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 xml:space="preserve">Transactional fees </w:t>
            </w:r>
            <w:r>
              <w:rPr>
                <w:rFonts w:ascii="Arial" w:cs="Arial" w:eastAsia="Arial" w:hAnsi="Arial"/>
                <w:sz w:val="14"/>
                <w:szCs w:val="14"/>
                <w:color w:val="auto"/>
                <w:vertAlign w:val="superscript"/>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66</w:t>
            </w:r>
          </w:p>
        </w:tc>
        <w:tc>
          <w:tcPr>
            <w:tcW w:w="120" w:type="dxa"/>
            <w:vAlign w:val="bottom"/>
            <w:tcBorders>
              <w:right w:val="single" w:sz="8" w:color="9BDA44"/>
            </w:tcBorders>
          </w:tcPr>
          <w:p>
            <w:pPr>
              <w:spacing w:after="0"/>
              <w:rPr>
                <w:sz w:val="22"/>
                <w:szCs w:val="22"/>
                <w:color w:val="auto"/>
              </w:rPr>
            </w:pPr>
          </w:p>
        </w:tc>
      </w:tr>
      <w:tr>
        <w:trPr>
          <w:trHeight w:val="182"/>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Income tax benefit (provision)</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(392)</w:t>
            </w:r>
          </w:p>
        </w:tc>
        <w:tc>
          <w:tcPr>
            <w:tcW w:w="120" w:type="dxa"/>
            <w:vAlign w:val="bottom"/>
            <w:tcBorders>
              <w:right w:val="single" w:sz="8" w:color="9BDA44"/>
            </w:tcBorders>
          </w:tcPr>
          <w:p>
            <w:pPr>
              <w:spacing w:after="0"/>
              <w:rPr>
                <w:sz w:val="15"/>
                <w:szCs w:val="15"/>
                <w:color w:val="auto"/>
              </w:rPr>
            </w:pPr>
          </w:p>
        </w:tc>
      </w:tr>
      <w:tr>
        <w:trPr>
          <w:trHeight w:val="194"/>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b w:val="1"/>
                <w:bCs w:val="1"/>
                <w:color w:val="auto"/>
              </w:rPr>
              <w:t>Total Fee Income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b w:val="1"/>
                <w:bCs w:val="1"/>
                <w:color w:val="auto"/>
              </w:rPr>
              <w:t>(111)</w:t>
            </w:r>
          </w:p>
        </w:tc>
        <w:tc>
          <w:tcPr>
            <w:tcW w:w="120" w:type="dxa"/>
            <w:vAlign w:val="bottom"/>
            <w:tcBorders>
              <w:right w:val="single" w:sz="8" w:color="9BDA44"/>
            </w:tcBorders>
          </w:tcPr>
          <w:p>
            <w:pPr>
              <w:spacing w:after="0"/>
              <w:rPr>
                <w:sz w:val="16"/>
                <w:szCs w:val="16"/>
                <w:color w:val="auto"/>
              </w:rPr>
            </w:pPr>
          </w:p>
        </w:tc>
      </w:tr>
      <w:tr>
        <w:trPr>
          <w:trHeight w:val="317"/>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b w:val="1"/>
                <w:bCs w:val="1"/>
                <w:color w:val="auto"/>
              </w:rPr>
              <w:t>General and Administrative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b w:val="1"/>
                <w:bCs w:val="1"/>
                <w:color w:val="auto"/>
              </w:rPr>
              <w:t>(8,470)</w:t>
            </w:r>
          </w:p>
        </w:tc>
        <w:tc>
          <w:tcPr>
            <w:tcW w:w="120" w:type="dxa"/>
            <w:vAlign w:val="bottom"/>
            <w:tcBorders>
              <w:right w:val="single" w:sz="8" w:color="9BDA44"/>
            </w:tcBorders>
          </w:tcPr>
          <w:p>
            <w:pPr>
              <w:spacing w:after="0"/>
              <w:rPr>
                <w:sz w:val="24"/>
                <w:szCs w:val="24"/>
                <w:color w:val="auto"/>
              </w:rPr>
            </w:pPr>
          </w:p>
        </w:tc>
      </w:tr>
      <w:tr>
        <w:trPr>
          <w:trHeight w:val="317"/>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Depreciation and amortization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(28,465)</w:t>
            </w:r>
          </w:p>
        </w:tc>
        <w:tc>
          <w:tcPr>
            <w:tcW w:w="120" w:type="dxa"/>
            <w:vAlign w:val="bottom"/>
            <w:tcBorders>
              <w:right w:val="single" w:sz="8" w:color="9BDA44"/>
            </w:tcBorders>
          </w:tcPr>
          <w:p>
            <w:pPr>
              <w:spacing w:after="0"/>
              <w:rPr>
                <w:sz w:val="24"/>
                <w:szCs w:val="24"/>
                <w:color w:val="auto"/>
              </w:rPr>
            </w:pPr>
          </w:p>
        </w:tc>
      </w:tr>
      <w:tr>
        <w:trPr>
          <w:trHeight w:val="223"/>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Non-real estate depreciation and amortization</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(111)</w:t>
            </w:r>
          </w:p>
        </w:tc>
        <w:tc>
          <w:tcPr>
            <w:tcW w:w="120" w:type="dxa"/>
            <w:vAlign w:val="bottom"/>
            <w:tcBorders>
              <w:right w:val="single" w:sz="8" w:color="9BDA44"/>
            </w:tcBorders>
          </w:tcPr>
          <w:p>
            <w:pPr>
              <w:spacing w:after="0"/>
              <w:rPr>
                <w:sz w:val="19"/>
                <w:szCs w:val="19"/>
                <w:color w:val="auto"/>
              </w:rPr>
            </w:pPr>
          </w:p>
        </w:tc>
      </w:tr>
      <w:tr>
        <w:trPr>
          <w:trHeight w:val="194"/>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b w:val="1"/>
                <w:bCs w:val="1"/>
                <w:color w:val="auto"/>
              </w:rPr>
              <w:t>Loss before equity in earnings and noncontrolling interests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b w:val="1"/>
                <w:bCs w:val="1"/>
                <w:color w:val="auto"/>
              </w:rPr>
              <w:t>(5,844)</w:t>
            </w:r>
          </w:p>
        </w:tc>
        <w:tc>
          <w:tcPr>
            <w:tcW w:w="120" w:type="dxa"/>
            <w:vAlign w:val="bottom"/>
            <w:tcBorders>
              <w:right w:val="single" w:sz="8" w:color="9BDA44"/>
            </w:tcBorders>
          </w:tcPr>
          <w:p>
            <w:pPr>
              <w:spacing w:after="0"/>
              <w:rPr>
                <w:sz w:val="16"/>
                <w:szCs w:val="16"/>
                <w:color w:val="auto"/>
              </w:rPr>
            </w:pPr>
          </w:p>
        </w:tc>
      </w:tr>
      <w:tr>
        <w:trPr>
          <w:trHeight w:val="317"/>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Equity in earnings of unconsolidated affiliates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1,684</w:t>
            </w:r>
          </w:p>
        </w:tc>
        <w:tc>
          <w:tcPr>
            <w:tcW w:w="120" w:type="dxa"/>
            <w:vAlign w:val="bottom"/>
            <w:tcBorders>
              <w:right w:val="single" w:sz="8" w:color="9BDA44"/>
            </w:tcBorders>
          </w:tcPr>
          <w:p>
            <w:pPr>
              <w:spacing w:after="0"/>
              <w:rPr>
                <w:sz w:val="24"/>
                <w:szCs w:val="24"/>
                <w:color w:val="auto"/>
              </w:rPr>
            </w:pPr>
          </w:p>
        </w:tc>
      </w:tr>
      <w:tr>
        <w:trPr>
          <w:trHeight w:val="223"/>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color w:val="auto"/>
              </w:rPr>
              <w:t>Noncontrolling interests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11,579</w:t>
            </w:r>
          </w:p>
        </w:tc>
        <w:tc>
          <w:tcPr>
            <w:tcW w:w="120" w:type="dxa"/>
            <w:vAlign w:val="bottom"/>
            <w:tcBorders>
              <w:right w:val="single" w:sz="8" w:color="9BDA44"/>
            </w:tcBorders>
          </w:tcPr>
          <w:p>
            <w:pPr>
              <w:spacing w:after="0"/>
              <w:rPr>
                <w:sz w:val="19"/>
                <w:szCs w:val="19"/>
                <w:color w:val="auto"/>
              </w:rPr>
            </w:pPr>
          </w:p>
        </w:tc>
      </w:tr>
      <w:tr>
        <w:trPr>
          <w:trHeight w:val="302"/>
        </w:trPr>
        <w:tc>
          <w:tcPr>
            <w:tcW w:w="10100" w:type="dxa"/>
            <w:vAlign w:val="bottom"/>
            <w:tcBorders>
              <w:right w:val="single" w:sz="8" w:color="9BDA44"/>
            </w:tcBorders>
          </w:tcPr>
          <w:p>
            <w:pPr>
              <w:spacing w:after="0"/>
              <w:rPr>
                <w:sz w:val="20"/>
                <w:szCs w:val="20"/>
                <w:color w:val="auto"/>
              </w:rPr>
            </w:pPr>
            <w:r>
              <w:rPr>
                <w:rFonts w:ascii="Arial" w:cs="Arial" w:eastAsia="Arial" w:hAnsi="Arial"/>
                <w:sz w:val="12"/>
                <w:szCs w:val="12"/>
                <w:b w:val="1"/>
                <w:bCs w:val="1"/>
                <w:color w:val="auto"/>
              </w:rPr>
              <w:t>NET INCOME ATTRIBUTABLE TO ACADIA</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tcPr>
          <w:p>
            <w:pPr>
              <w:jc w:val="right"/>
              <w:ind w:right="62"/>
              <w:spacing w:after="0"/>
              <w:rPr>
                <w:sz w:val="20"/>
                <w:szCs w:val="20"/>
                <w:color w:val="auto"/>
              </w:rPr>
            </w:pPr>
            <w:r>
              <w:rPr>
                <w:rFonts w:ascii="Arial" w:cs="Arial" w:eastAsia="Arial" w:hAnsi="Arial"/>
                <w:sz w:val="12"/>
                <w:szCs w:val="12"/>
                <w:b w:val="1"/>
                <w:bCs w:val="1"/>
                <w:color w:val="auto"/>
              </w:rPr>
              <w:t>7,419</w:t>
            </w:r>
          </w:p>
        </w:tc>
        <w:tc>
          <w:tcPr>
            <w:tcW w:w="120" w:type="dxa"/>
            <w:vAlign w:val="bottom"/>
            <w:tcBorders>
              <w:right w:val="single" w:sz="8" w:color="9BDA44"/>
            </w:tcBorders>
          </w:tcPr>
          <w:p>
            <w:pPr>
              <w:spacing w:after="0"/>
              <w:rPr>
                <w:sz w:val="24"/>
                <w:szCs w:val="24"/>
                <w:color w:val="auto"/>
              </w:rPr>
            </w:pPr>
          </w:p>
        </w:tc>
      </w:tr>
      <w:tr>
        <w:trPr>
          <w:trHeight w:val="20"/>
        </w:trPr>
        <w:tc>
          <w:tcPr>
            <w:tcW w:w="10100" w:type="dxa"/>
            <w:vAlign w:val="bottom"/>
            <w:tcBorders>
              <w:right w:val="single" w:sz="8" w:color="9BDA44"/>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9BDA44"/>
            </w:tcBorders>
          </w:tcPr>
          <w:p>
            <w:pPr>
              <w:spacing w:after="0" w:line="20" w:lineRule="exact"/>
              <w:rPr>
                <w:sz w:val="1"/>
                <w:szCs w:val="1"/>
                <w:color w:val="auto"/>
              </w:rPr>
            </w:pPr>
          </w:p>
        </w:tc>
      </w:tr>
      <w:tr>
        <w:trPr>
          <w:trHeight w:val="104"/>
        </w:trPr>
        <w:tc>
          <w:tcPr>
            <w:tcW w:w="10100" w:type="dxa"/>
            <w:vAlign w:val="bottom"/>
            <w:tcBorders>
              <w:right w:val="single" w:sz="8" w:color="9BDA44"/>
            </w:tcBorders>
          </w:tcPr>
          <w:p>
            <w:pPr>
              <w:spacing w:after="0"/>
              <w:rPr>
                <w:sz w:val="9"/>
                <w:szCs w:val="9"/>
                <w:color w:val="auto"/>
              </w:rPr>
            </w:pPr>
          </w:p>
        </w:tc>
        <w:tc>
          <w:tcPr>
            <w:tcW w:w="100" w:type="dxa"/>
            <w:vAlign w:val="bottom"/>
            <w:tcBorders>
              <w:bottom w:val="single" w:sz="8" w:color="9BDA44"/>
            </w:tcBorders>
          </w:tcPr>
          <w:p>
            <w:pPr>
              <w:spacing w:after="0"/>
              <w:rPr>
                <w:sz w:val="9"/>
                <w:szCs w:val="9"/>
                <w:color w:val="auto"/>
              </w:rPr>
            </w:pPr>
          </w:p>
        </w:tc>
        <w:tc>
          <w:tcPr>
            <w:tcW w:w="100" w:type="dxa"/>
            <w:vAlign w:val="bottom"/>
            <w:tcBorders>
              <w:bottom w:val="single" w:sz="8" w:color="9BDA44"/>
            </w:tcBorders>
          </w:tcPr>
          <w:p>
            <w:pPr>
              <w:spacing w:after="0"/>
              <w:rPr>
                <w:sz w:val="9"/>
                <w:szCs w:val="9"/>
                <w:color w:val="auto"/>
              </w:rPr>
            </w:pPr>
          </w:p>
        </w:tc>
        <w:tc>
          <w:tcPr>
            <w:tcW w:w="1040" w:type="dxa"/>
            <w:vAlign w:val="bottom"/>
            <w:tcBorders>
              <w:bottom w:val="single" w:sz="8" w:color="9BDA44"/>
            </w:tcBorders>
          </w:tcPr>
          <w:p>
            <w:pPr>
              <w:spacing w:after="0"/>
              <w:rPr>
                <w:sz w:val="9"/>
                <w:szCs w:val="9"/>
                <w:color w:val="auto"/>
              </w:rPr>
            </w:pPr>
          </w:p>
        </w:tc>
        <w:tc>
          <w:tcPr>
            <w:tcW w:w="120" w:type="dxa"/>
            <w:vAlign w:val="bottom"/>
            <w:tcBorders>
              <w:bottom w:val="single" w:sz="8" w:color="9BDA44"/>
              <w:right w:val="single" w:sz="8" w:color="9BDA44"/>
            </w:tcBorders>
          </w:tcPr>
          <w:p>
            <w:pPr>
              <w:spacing w:after="0"/>
              <w:rPr>
                <w:sz w:val="9"/>
                <w:szCs w:val="9"/>
                <w:color w:val="auto"/>
              </w:rPr>
            </w:pPr>
          </w:p>
        </w:tc>
      </w:tr>
    </w:tbl>
    <w:p>
      <w:pPr>
        <w:spacing w:after="0" w:line="324" w:lineRule="exact"/>
        <w:rPr>
          <w:sz w:val="20"/>
          <w:szCs w:val="20"/>
          <w:color w:val="auto"/>
        </w:rPr>
      </w:pPr>
    </w:p>
    <w:tbl>
      <w:tblPr>
        <w:tblLayout w:type="fixed"/>
        <w:tblInd w:w="140" w:type="dxa"/>
        <w:tblCellMar>
          <w:top w:w="0" w:type="dxa"/>
          <w:left w:w="0" w:type="dxa"/>
          <w:bottom w:w="0" w:type="dxa"/>
          <w:right w:w="0" w:type="dxa"/>
        </w:tblCellMar>
      </w:tblPr>
      <w:tr>
        <w:trPr>
          <w:trHeight w:val="191"/>
        </w:trPr>
        <w:tc>
          <w:tcPr>
            <w:tcW w:w="406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00" w:type="dxa"/>
            <w:vAlign w:val="bottom"/>
          </w:tcPr>
          <w:p>
            <w:pPr>
              <w:jc w:val="right"/>
              <w:spacing w:after="0"/>
              <w:rPr>
                <w:sz w:val="20"/>
                <w:szCs w:val="20"/>
                <w:color w:val="auto"/>
              </w:rPr>
            </w:pPr>
            <w:r>
              <w:rPr>
                <w:rFonts w:ascii="Arial" w:cs="Arial" w:eastAsia="Arial" w:hAnsi="Arial"/>
                <w:sz w:val="12"/>
                <w:szCs w:val="12"/>
                <w:color w:val="auto"/>
              </w:rPr>
              <w:t>6</w:t>
            </w:r>
          </w:p>
        </w:tc>
      </w:tr>
    </w:tbl>
    <w:p>
      <w:pPr>
        <w:sectPr>
          <w:pgSz w:w="11900" w:h="16838" w:orient="portrait"/>
          <w:cols w:equalWidth="0" w:num="1">
            <w:col w:w="11460"/>
          </w:cols>
          <w:pgMar w:left="240" w:top="617" w:right="1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4920" w:type="dxa"/>
            <w:vAlign w:val="bottom"/>
            <w:tcBorders>
              <w:bottom w:val="single" w:sz="8" w:color="00497F"/>
            </w:tcBorders>
          </w:tcPr>
          <w:p>
            <w:pPr>
              <w:ind w:left="20"/>
              <w:spacing w:after="0"/>
              <w:rPr>
                <w:sz w:val="20"/>
                <w:szCs w:val="20"/>
                <w:color w:val="auto"/>
              </w:rPr>
            </w:pPr>
            <w:r>
              <w:rPr>
                <w:rFonts w:ascii="Arial" w:cs="Arial" w:eastAsia="Arial" w:hAnsi="Arial"/>
                <w:sz w:val="20"/>
                <w:szCs w:val="20"/>
                <w:b w:val="1"/>
                <w:bCs w:val="1"/>
                <w:color w:val="auto"/>
              </w:rPr>
              <w:t>Income Statement - Pro Rata Adjustments</w:t>
            </w:r>
          </w:p>
        </w:tc>
        <w:tc>
          <w:tcPr>
            <w:tcW w:w="3900" w:type="dxa"/>
            <w:vAlign w:val="bottom"/>
            <w:tcBorders>
              <w:bottom w:val="single" w:sz="8" w:color="00497F"/>
            </w:tcBorders>
          </w:tcPr>
          <w:p>
            <w:pPr>
              <w:spacing w:after="0"/>
              <w:rPr>
                <w:sz w:val="24"/>
                <w:szCs w:val="24"/>
                <w:color w:val="auto"/>
              </w:rPr>
            </w:pPr>
          </w:p>
        </w:tc>
        <w:tc>
          <w:tcPr>
            <w:tcW w:w="120" w:type="dxa"/>
            <w:vAlign w:val="bottom"/>
            <w:tcBorders>
              <w:bottom w:val="single" w:sz="8" w:color="00497F"/>
            </w:tcBorders>
          </w:tcPr>
          <w:p>
            <w:pPr>
              <w:spacing w:after="0"/>
              <w:rPr>
                <w:sz w:val="24"/>
                <w:szCs w:val="24"/>
                <w:color w:val="auto"/>
              </w:rPr>
            </w:pPr>
          </w:p>
        </w:tc>
        <w:tc>
          <w:tcPr>
            <w:tcW w:w="140" w:type="dxa"/>
            <w:vAlign w:val="bottom"/>
            <w:tcBorders>
              <w:bottom w:val="single" w:sz="8" w:color="00497F"/>
            </w:tcBorders>
          </w:tcPr>
          <w:p>
            <w:pPr>
              <w:spacing w:after="0"/>
              <w:rPr>
                <w:sz w:val="24"/>
                <w:szCs w:val="24"/>
                <w:color w:val="auto"/>
              </w:rPr>
            </w:pPr>
          </w:p>
        </w:tc>
        <w:tc>
          <w:tcPr>
            <w:tcW w:w="1020" w:type="dxa"/>
            <w:vAlign w:val="bottom"/>
            <w:tcBorders>
              <w:bottom w:val="single" w:sz="8" w:color="00497F"/>
            </w:tcBorders>
          </w:tcPr>
          <w:p>
            <w:pPr>
              <w:spacing w:after="0"/>
              <w:rPr>
                <w:sz w:val="24"/>
                <w:szCs w:val="24"/>
                <w:color w:val="auto"/>
              </w:rPr>
            </w:pPr>
          </w:p>
        </w:tc>
        <w:tc>
          <w:tcPr>
            <w:tcW w:w="120" w:type="dxa"/>
            <w:vAlign w:val="bottom"/>
            <w:tcBorders>
              <w:bottom w:val="single" w:sz="8" w:color="00497F"/>
            </w:tcBorders>
          </w:tcPr>
          <w:p>
            <w:pPr>
              <w:spacing w:after="0"/>
              <w:rPr>
                <w:sz w:val="24"/>
                <w:szCs w:val="24"/>
                <w:color w:val="auto"/>
              </w:rPr>
            </w:pPr>
          </w:p>
        </w:tc>
        <w:tc>
          <w:tcPr>
            <w:tcW w:w="140" w:type="dxa"/>
            <w:vAlign w:val="bottom"/>
            <w:tcBorders>
              <w:bottom w:val="single" w:sz="8" w:color="00497F"/>
            </w:tcBorders>
          </w:tcPr>
          <w:p>
            <w:pPr>
              <w:spacing w:after="0"/>
              <w:rPr>
                <w:sz w:val="24"/>
                <w:szCs w:val="24"/>
                <w:color w:val="auto"/>
              </w:rPr>
            </w:pPr>
          </w:p>
        </w:tc>
        <w:tc>
          <w:tcPr>
            <w:tcW w:w="1000" w:type="dxa"/>
            <w:vAlign w:val="bottom"/>
            <w:tcBorders>
              <w:bottom w:val="single" w:sz="8" w:color="00497F"/>
            </w:tcBorders>
          </w:tcPr>
          <w:p>
            <w:pPr>
              <w:spacing w:after="0"/>
              <w:rPr>
                <w:sz w:val="24"/>
                <w:szCs w:val="24"/>
                <w:color w:val="auto"/>
              </w:rPr>
            </w:pPr>
          </w:p>
        </w:tc>
        <w:tc>
          <w:tcPr>
            <w:tcW w:w="120" w:type="dxa"/>
            <w:vAlign w:val="bottom"/>
            <w:tcBorders>
              <w:bottom w:val="single" w:sz="8" w:color="00497F"/>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20" w:type="dxa"/>
            <w:vAlign w:val="bottom"/>
            <w:vMerge w:val="restart"/>
          </w:tcPr>
          <w:p>
            <w:pPr>
              <w:ind w:left="20"/>
              <w:spacing w:after="0"/>
              <w:rPr>
                <w:sz w:val="20"/>
                <w:szCs w:val="20"/>
                <w:color w:val="auto"/>
              </w:rPr>
            </w:pPr>
            <w:r>
              <w:rPr>
                <w:rFonts w:ascii="Arial" w:cs="Arial" w:eastAsia="Arial" w:hAnsi="Arial"/>
                <w:sz w:val="15"/>
                <w:szCs w:val="15"/>
                <w:color w:val="auto"/>
              </w:rPr>
              <w:t>(in thousands)</w:t>
            </w:r>
          </w:p>
        </w:tc>
        <w:tc>
          <w:tcPr>
            <w:tcW w:w="3900" w:type="dxa"/>
            <w:vAlign w:val="bottom"/>
          </w:tcPr>
          <w:p>
            <w:pPr>
              <w:spacing w:after="0"/>
              <w:rPr>
                <w:sz w:val="18"/>
                <w:szCs w:val="18"/>
                <w:color w:val="auto"/>
              </w:rPr>
            </w:pPr>
          </w:p>
        </w:tc>
        <w:tc>
          <w:tcPr>
            <w:tcW w:w="120" w:type="dxa"/>
            <w:vAlign w:val="bottom"/>
            <w:tcBorders>
              <w:bottom w:val="single" w:sz="8" w:color="9BDA44"/>
            </w:tcBorders>
          </w:tcPr>
          <w:p>
            <w:pPr>
              <w:spacing w:after="0"/>
              <w:rPr>
                <w:sz w:val="18"/>
                <w:szCs w:val="18"/>
                <w:color w:val="auto"/>
              </w:rPr>
            </w:pPr>
          </w:p>
        </w:tc>
        <w:tc>
          <w:tcPr>
            <w:tcW w:w="140" w:type="dxa"/>
            <w:vAlign w:val="bottom"/>
            <w:tcBorders>
              <w:bottom w:val="single" w:sz="8" w:color="9BDA44"/>
            </w:tcBorders>
          </w:tcPr>
          <w:p>
            <w:pPr>
              <w:spacing w:after="0"/>
              <w:rPr>
                <w:sz w:val="18"/>
                <w:szCs w:val="18"/>
                <w:color w:val="auto"/>
              </w:rPr>
            </w:pPr>
          </w:p>
        </w:tc>
        <w:tc>
          <w:tcPr>
            <w:tcW w:w="1020" w:type="dxa"/>
            <w:vAlign w:val="bottom"/>
            <w:tcBorders>
              <w:bottom w:val="single" w:sz="8" w:color="9BDA44"/>
            </w:tcBorders>
          </w:tcPr>
          <w:p>
            <w:pPr>
              <w:spacing w:after="0"/>
              <w:rPr>
                <w:sz w:val="18"/>
                <w:szCs w:val="18"/>
                <w:color w:val="auto"/>
              </w:rPr>
            </w:pPr>
          </w:p>
        </w:tc>
        <w:tc>
          <w:tcPr>
            <w:tcW w:w="120" w:type="dxa"/>
            <w:vAlign w:val="bottom"/>
            <w:tcBorders>
              <w:bottom w:val="single" w:sz="8" w:color="9BDA44"/>
            </w:tcBorders>
          </w:tcPr>
          <w:p>
            <w:pPr>
              <w:spacing w:after="0"/>
              <w:rPr>
                <w:sz w:val="18"/>
                <w:szCs w:val="18"/>
                <w:color w:val="auto"/>
              </w:rPr>
            </w:pPr>
          </w:p>
        </w:tc>
        <w:tc>
          <w:tcPr>
            <w:tcW w:w="140" w:type="dxa"/>
            <w:vAlign w:val="bottom"/>
            <w:tcBorders>
              <w:bottom w:val="single" w:sz="8" w:color="9BDA44"/>
            </w:tcBorders>
          </w:tcPr>
          <w:p>
            <w:pPr>
              <w:spacing w:after="0"/>
              <w:rPr>
                <w:sz w:val="18"/>
                <w:szCs w:val="18"/>
                <w:color w:val="auto"/>
              </w:rPr>
            </w:pPr>
          </w:p>
        </w:tc>
        <w:tc>
          <w:tcPr>
            <w:tcW w:w="1000" w:type="dxa"/>
            <w:vAlign w:val="bottom"/>
            <w:tcBorders>
              <w:bottom w:val="single" w:sz="8" w:color="9BDA44"/>
            </w:tcBorders>
          </w:tcPr>
          <w:p>
            <w:pPr>
              <w:spacing w:after="0"/>
              <w:rPr>
                <w:sz w:val="18"/>
                <w:szCs w:val="18"/>
                <w:color w:val="auto"/>
              </w:rPr>
            </w:pPr>
          </w:p>
        </w:tc>
        <w:tc>
          <w:tcPr>
            <w:tcW w:w="120" w:type="dxa"/>
            <w:vAlign w:val="bottom"/>
            <w:tcBorders>
              <w:bottom w:val="single" w:sz="8" w:color="9BDA44"/>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492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120" w:type="dxa"/>
            <w:vAlign w:val="bottom"/>
            <w:tcBorders>
              <w:left w:val="single" w:sz="8" w:color="9BDA44"/>
            </w:tcBorders>
          </w:tcPr>
          <w:p>
            <w:pPr>
              <w:spacing w:after="0"/>
              <w:rPr>
                <w:sz w:val="7"/>
                <w:szCs w:val="7"/>
                <w:color w:val="auto"/>
              </w:rPr>
            </w:pPr>
          </w:p>
        </w:tc>
        <w:tc>
          <w:tcPr>
            <w:tcW w:w="140" w:type="dxa"/>
            <w:vAlign w:val="bottom"/>
          </w:tcPr>
          <w:p>
            <w:pPr>
              <w:spacing w:after="0"/>
              <w:rPr>
                <w:sz w:val="7"/>
                <w:szCs w:val="7"/>
                <w:color w:val="auto"/>
              </w:rPr>
            </w:pPr>
          </w:p>
        </w:tc>
        <w:tc>
          <w:tcPr>
            <w:tcW w:w="2400" w:type="dxa"/>
            <w:vAlign w:val="bottom"/>
            <w:tcBorders>
              <w:right w:val="single" w:sz="8" w:color="9BDA44"/>
            </w:tcBorders>
            <w:gridSpan w:val="5"/>
            <w:vMerge w:val="restart"/>
          </w:tcPr>
          <w:p>
            <w:pPr>
              <w:ind w:left="240"/>
              <w:spacing w:after="0"/>
              <w:rPr>
                <w:sz w:val="20"/>
                <w:szCs w:val="20"/>
                <w:color w:val="auto"/>
              </w:rPr>
            </w:pPr>
            <w:r>
              <w:rPr>
                <w:rFonts w:ascii="Arial" w:cs="Arial" w:eastAsia="Arial" w:hAnsi="Arial"/>
                <w:sz w:val="12"/>
                <w:szCs w:val="12"/>
                <w:b w:val="1"/>
                <w:bCs w:val="1"/>
                <w:color w:val="auto"/>
              </w:rPr>
              <w:t>Quarter Ended March 31, 2018</w:t>
            </w:r>
          </w:p>
        </w:tc>
        <w:tc>
          <w:tcPr>
            <w:tcW w:w="0" w:type="dxa"/>
            <w:vAlign w:val="bottom"/>
          </w:tcPr>
          <w:p>
            <w:pPr>
              <w:spacing w:after="0"/>
              <w:rPr>
                <w:sz w:val="1"/>
                <w:szCs w:val="1"/>
                <w:color w:val="auto"/>
              </w:rPr>
            </w:pPr>
          </w:p>
        </w:tc>
      </w:tr>
      <w:tr>
        <w:trPr>
          <w:trHeight w:val="226"/>
        </w:trPr>
        <w:tc>
          <w:tcPr>
            <w:tcW w:w="49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Borders>
              <w:right w:val="single" w:sz="8" w:color="9BDA44"/>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49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Borders>
              <w:left w:val="single" w:sz="8" w:color="9BDA44"/>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6"/>
              </w:rPr>
              <w:t>Noncontrolling</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right w:val="single" w:sz="8" w:color="9BDA44"/>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20" w:type="dxa"/>
            <w:vAlign w:val="bottom"/>
            <w:tcBorders>
              <w:left w:val="single" w:sz="8" w:color="9BDA44"/>
            </w:tcBorders>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2" w:lineRule="exact"/>
              <w:rPr>
                <w:sz w:val="20"/>
                <w:szCs w:val="20"/>
                <w:color w:val="auto"/>
              </w:rPr>
            </w:pPr>
            <w:r>
              <w:rPr>
                <w:rFonts w:ascii="Arial" w:cs="Arial" w:eastAsia="Arial" w:hAnsi="Arial"/>
                <w:sz w:val="12"/>
                <w:szCs w:val="12"/>
                <w:b w:val="1"/>
                <w:bCs w:val="1"/>
                <w:color w:val="auto"/>
                <w:w w:val="97"/>
              </w:rPr>
              <w:t>Interest in</w:t>
            </w:r>
          </w:p>
        </w:tc>
        <w:tc>
          <w:tcPr>
            <w:tcW w:w="1260" w:type="dxa"/>
            <w:vAlign w:val="bottom"/>
            <w:tcBorders>
              <w:right w:val="single" w:sz="8" w:color="9BDA44"/>
            </w:tcBorders>
            <w:gridSpan w:val="3"/>
          </w:tcPr>
          <w:p>
            <w:pPr>
              <w:ind w:left="40"/>
              <w:spacing w:after="0" w:line="132" w:lineRule="exact"/>
              <w:rPr>
                <w:sz w:val="20"/>
                <w:szCs w:val="20"/>
                <w:color w:val="auto"/>
              </w:rPr>
            </w:pPr>
            <w:r>
              <w:rPr>
                <w:rFonts w:ascii="Arial" w:cs="Arial" w:eastAsia="Arial" w:hAnsi="Arial"/>
                <w:sz w:val="12"/>
                <w:szCs w:val="12"/>
                <w:b w:val="1"/>
                <w:bCs w:val="1"/>
                <w:color w:val="auto"/>
              </w:rPr>
              <w:t>Company’s Interest</w:t>
            </w: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20" w:type="dxa"/>
            <w:vAlign w:val="bottom"/>
            <w:tcBorders>
              <w:left w:val="single" w:sz="8" w:color="9BDA44"/>
            </w:tcBorders>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7"/>
              </w:rPr>
              <w:t>Consolidated</w:t>
            </w:r>
          </w:p>
        </w:tc>
        <w:tc>
          <w:tcPr>
            <w:tcW w:w="1260" w:type="dxa"/>
            <w:vAlign w:val="bottom"/>
            <w:tcBorders>
              <w:right w:val="single" w:sz="8" w:color="9BDA44"/>
            </w:tcBorders>
            <w:gridSpan w:val="3"/>
          </w:tcPr>
          <w:p>
            <w:pPr>
              <w:jc w:val="center"/>
              <w:ind w:right="120"/>
              <w:spacing w:after="0" w:line="132" w:lineRule="exact"/>
              <w:rPr>
                <w:sz w:val="20"/>
                <w:szCs w:val="20"/>
                <w:color w:val="auto"/>
              </w:rPr>
            </w:pPr>
            <w:r>
              <w:rPr>
                <w:rFonts w:ascii="Arial" w:cs="Arial" w:eastAsia="Arial" w:hAnsi="Arial"/>
                <w:sz w:val="12"/>
                <w:szCs w:val="12"/>
                <w:b w:val="1"/>
                <w:bCs w:val="1"/>
                <w:color w:val="auto"/>
                <w:w w:val="98"/>
              </w:rPr>
              <w:t>in Unconsolidated</w:t>
            </w:r>
          </w:p>
        </w:tc>
        <w:tc>
          <w:tcPr>
            <w:tcW w:w="0" w:type="dxa"/>
            <w:vAlign w:val="bottom"/>
          </w:tcPr>
          <w:p>
            <w:pPr>
              <w:spacing w:after="0"/>
              <w:rPr>
                <w:sz w:val="1"/>
                <w:szCs w:val="1"/>
                <w:color w:val="auto"/>
              </w:rPr>
            </w:pPr>
          </w:p>
        </w:tc>
      </w:tr>
      <w:tr>
        <w:trPr>
          <w:trHeight w:val="163"/>
        </w:trPr>
        <w:tc>
          <w:tcPr>
            <w:tcW w:w="49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Borders>
              <w:left w:val="single" w:sz="8" w:color="9BDA44"/>
            </w:tcBorders>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 xml:space="preserve">Subsidiaries </w:t>
            </w:r>
            <w:r>
              <w:rPr>
                <w:rFonts w:ascii="Arial" w:cs="Arial" w:eastAsia="Arial" w:hAnsi="Arial"/>
                <w:sz w:val="14"/>
                <w:szCs w:val="14"/>
                <w:b w:val="1"/>
                <w:bCs w:val="1"/>
                <w:color w:val="auto"/>
                <w:w w:val="95"/>
                <w:vertAlign w:val="superscript"/>
              </w:rPr>
              <w:t>4</w:t>
            </w:r>
          </w:p>
        </w:tc>
        <w:tc>
          <w:tcPr>
            <w:tcW w:w="140" w:type="dxa"/>
            <w:vAlign w:val="bottom"/>
          </w:tcPr>
          <w:p>
            <w:pPr>
              <w:spacing w:after="0"/>
              <w:rPr>
                <w:sz w:val="14"/>
                <w:szCs w:val="14"/>
                <w:color w:val="auto"/>
              </w:rPr>
            </w:pPr>
          </w:p>
        </w:tc>
        <w:tc>
          <w:tcPr>
            <w:tcW w:w="1120" w:type="dxa"/>
            <w:vAlign w:val="bottom"/>
            <w:tcBorders>
              <w:right w:val="single" w:sz="8" w:color="9BDA44"/>
            </w:tcBorders>
            <w:gridSpan w:val="2"/>
          </w:tcPr>
          <w:p>
            <w:pPr>
              <w:jc w:val="center"/>
              <w:ind w:right="260"/>
              <w:spacing w:after="0"/>
              <w:rPr>
                <w:sz w:val="20"/>
                <w:szCs w:val="20"/>
                <w:color w:val="auto"/>
              </w:rPr>
            </w:pPr>
            <w:r>
              <w:rPr>
                <w:rFonts w:ascii="Arial" w:cs="Arial" w:eastAsia="Arial" w:hAnsi="Arial"/>
                <w:sz w:val="12"/>
                <w:szCs w:val="12"/>
                <w:b w:val="1"/>
                <w:bCs w:val="1"/>
                <w:color w:val="auto"/>
                <w:w w:val="97"/>
              </w:rPr>
              <w:t xml:space="preserve">Subsidiaries </w:t>
            </w:r>
            <w:r>
              <w:rPr>
                <w:rFonts w:ascii="Arial" w:cs="Arial" w:eastAsia="Arial" w:hAnsi="Arial"/>
                <w:sz w:val="14"/>
                <w:szCs w:val="14"/>
                <w:b w:val="1"/>
                <w:bCs w:val="1"/>
                <w:color w:val="auto"/>
                <w:w w:val="97"/>
                <w:vertAlign w:val="superscript"/>
              </w:rPr>
              <w:t>5</w:t>
            </w:r>
          </w:p>
        </w:tc>
        <w:tc>
          <w:tcPr>
            <w:tcW w:w="0" w:type="dxa"/>
            <w:vAlign w:val="bottom"/>
          </w:tcPr>
          <w:p>
            <w:pPr>
              <w:spacing w:after="0"/>
              <w:rPr>
                <w:sz w:val="1"/>
                <w:szCs w:val="1"/>
                <w:color w:val="auto"/>
              </w:rPr>
            </w:pPr>
          </w:p>
        </w:tc>
      </w:tr>
      <w:tr>
        <w:trPr>
          <w:trHeight w:val="200"/>
        </w:trPr>
        <w:tc>
          <w:tcPr>
            <w:tcW w:w="4920" w:type="dxa"/>
            <w:vAlign w:val="bottom"/>
          </w:tcPr>
          <w:p>
            <w:pPr>
              <w:ind w:left="20"/>
              <w:spacing w:after="0"/>
              <w:rPr>
                <w:sz w:val="20"/>
                <w:szCs w:val="20"/>
                <w:color w:val="auto"/>
              </w:rPr>
            </w:pPr>
            <w:r>
              <w:rPr>
                <w:rFonts w:ascii="Arial" w:cs="Arial" w:eastAsia="Arial" w:hAnsi="Arial"/>
                <w:sz w:val="12"/>
                <w:szCs w:val="12"/>
                <w:b w:val="1"/>
                <w:bCs w:val="1"/>
                <w:color w:val="auto"/>
              </w:rPr>
              <w:t>CORE PORTFOLIO AND FUND INCOME</w:t>
            </w:r>
          </w:p>
        </w:tc>
        <w:tc>
          <w:tcPr>
            <w:tcW w:w="3900" w:type="dxa"/>
            <w:vAlign w:val="bottom"/>
          </w:tcPr>
          <w:p>
            <w:pPr>
              <w:spacing w:after="0"/>
              <w:rPr>
                <w:sz w:val="17"/>
                <w:szCs w:val="17"/>
                <w:color w:val="auto"/>
              </w:rPr>
            </w:pPr>
          </w:p>
        </w:tc>
        <w:tc>
          <w:tcPr>
            <w:tcW w:w="120" w:type="dxa"/>
            <w:vAlign w:val="bottom"/>
            <w:tcBorders>
              <w:left w:val="single" w:sz="8" w:color="9BDA44"/>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right w:val="single" w:sz="8" w:color="9BDA44"/>
            </w:tcBorders>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4920" w:type="dxa"/>
            <w:vAlign w:val="bottom"/>
          </w:tcPr>
          <w:p>
            <w:pPr>
              <w:ind w:left="20"/>
              <w:spacing w:after="0"/>
              <w:rPr>
                <w:sz w:val="20"/>
                <w:szCs w:val="20"/>
                <w:color w:val="auto"/>
              </w:rPr>
            </w:pPr>
            <w:r>
              <w:rPr>
                <w:rFonts w:ascii="Arial" w:cs="Arial" w:eastAsia="Arial" w:hAnsi="Arial"/>
                <w:sz w:val="12"/>
                <w:szCs w:val="12"/>
                <w:b w:val="1"/>
                <w:bCs w:val="1"/>
                <w:color w:val="auto"/>
              </w:rPr>
              <w:t>PROPERTY REVENUES</w:t>
            </w:r>
          </w:p>
        </w:tc>
        <w:tc>
          <w:tcPr>
            <w:tcW w:w="3900" w:type="dxa"/>
            <w:vAlign w:val="bottom"/>
          </w:tcPr>
          <w:p>
            <w:pPr>
              <w:spacing w:after="0"/>
              <w:rPr>
                <w:sz w:val="24"/>
                <w:szCs w:val="24"/>
                <w:color w:val="auto"/>
              </w:rPr>
            </w:pPr>
          </w:p>
        </w:tc>
        <w:tc>
          <w:tcPr>
            <w:tcW w:w="120" w:type="dxa"/>
            <w:vAlign w:val="bottom"/>
            <w:tcBorders>
              <w:left w:val="single" w:sz="8" w:color="9BDA44"/>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Minimum rents</w:t>
            </w:r>
          </w:p>
        </w:tc>
        <w:tc>
          <w:tcPr>
            <w:tcW w:w="3900" w:type="dxa"/>
            <w:vAlign w:val="bottom"/>
          </w:tcPr>
          <w:p>
            <w:pPr>
              <w:spacing w:after="0"/>
              <w:rPr>
                <w:sz w:val="19"/>
                <w:szCs w:val="19"/>
                <w:color w:val="auto"/>
              </w:rPr>
            </w:pPr>
          </w:p>
        </w:tc>
        <w:tc>
          <w:tcPr>
            <w:tcW w:w="260" w:type="dxa"/>
            <w:vAlign w:val="bottom"/>
            <w:tcBorders>
              <w:left w:val="single" w:sz="8" w:color="9BDA44"/>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(13,339)</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7,291</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Percentage rents</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(113)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57</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Expense reimbursements - CAM</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(1,556)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680</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Expense reimbursements - Taxes</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(1,340)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1,350</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2"/>
                <w:szCs w:val="12"/>
                <w:color w:val="auto"/>
              </w:rPr>
              <w:t>Other property income</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(235)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48</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920" w:type="dxa"/>
            <w:vAlign w:val="bottom"/>
          </w:tcPr>
          <w:p>
            <w:pPr>
              <w:ind w:left="20"/>
              <w:spacing w:after="0"/>
              <w:rPr>
                <w:sz w:val="20"/>
                <w:szCs w:val="20"/>
                <w:color w:val="auto"/>
              </w:rPr>
            </w:pPr>
            <w:r>
              <w:rPr>
                <w:rFonts w:ascii="Arial" w:cs="Arial" w:eastAsia="Arial" w:hAnsi="Arial"/>
                <w:sz w:val="12"/>
                <w:szCs w:val="12"/>
                <w:b w:val="1"/>
                <w:bCs w:val="1"/>
                <w:color w:val="auto"/>
              </w:rPr>
              <w:t>Total Property Revenues</w:t>
            </w:r>
          </w:p>
        </w:tc>
        <w:tc>
          <w:tcPr>
            <w:tcW w:w="3900" w:type="dxa"/>
            <w:vAlign w:val="bottom"/>
          </w:tcPr>
          <w:p>
            <w:pPr>
              <w:spacing w:after="0"/>
              <w:rPr>
                <w:sz w:val="16"/>
                <w:szCs w:val="16"/>
                <w:color w:val="auto"/>
              </w:rPr>
            </w:pPr>
          </w:p>
        </w:tc>
        <w:tc>
          <w:tcPr>
            <w:tcW w:w="120" w:type="dxa"/>
            <w:vAlign w:val="bottom"/>
            <w:tcBorders>
              <w:left w:val="single" w:sz="8" w:color="9BDA44"/>
            </w:tcBorders>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b w:val="1"/>
                <w:bCs w:val="1"/>
                <w:color w:val="auto"/>
              </w:rPr>
              <w:t>(16,583)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b w:val="1"/>
                <w:bCs w:val="1"/>
                <w:color w:val="auto"/>
              </w:rPr>
              <w:t>9,426</w:t>
            </w:r>
          </w:p>
        </w:tc>
        <w:tc>
          <w:tcPr>
            <w:tcW w:w="120" w:type="dxa"/>
            <w:vAlign w:val="bottom"/>
            <w:tcBorders>
              <w:right w:val="single" w:sz="8" w:color="9BDA44"/>
            </w:tcBorders>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920" w:type="dxa"/>
            <w:vAlign w:val="bottom"/>
          </w:tcPr>
          <w:p>
            <w:pPr>
              <w:ind w:left="20"/>
              <w:spacing w:after="0"/>
              <w:rPr>
                <w:sz w:val="20"/>
                <w:szCs w:val="20"/>
                <w:color w:val="auto"/>
              </w:rPr>
            </w:pPr>
            <w:r>
              <w:rPr>
                <w:rFonts w:ascii="Arial" w:cs="Arial" w:eastAsia="Arial" w:hAnsi="Arial"/>
                <w:sz w:val="12"/>
                <w:szCs w:val="12"/>
                <w:b w:val="1"/>
                <w:bCs w:val="1"/>
                <w:color w:val="auto"/>
              </w:rPr>
              <w:t>PROPERTY EXPENSES</w:t>
            </w:r>
          </w:p>
        </w:tc>
        <w:tc>
          <w:tcPr>
            <w:tcW w:w="3900" w:type="dxa"/>
            <w:vAlign w:val="bottom"/>
          </w:tcPr>
          <w:p>
            <w:pPr>
              <w:spacing w:after="0"/>
              <w:rPr>
                <w:sz w:val="24"/>
                <w:szCs w:val="24"/>
                <w:color w:val="auto"/>
              </w:rPr>
            </w:pPr>
          </w:p>
        </w:tc>
        <w:tc>
          <w:tcPr>
            <w:tcW w:w="120" w:type="dxa"/>
            <w:vAlign w:val="bottom"/>
            <w:tcBorders>
              <w:left w:val="single" w:sz="8" w:color="9BDA44"/>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Property operating - CAM</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(3,333)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823</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Other property operating (Non-CAM)</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(1,298)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254</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2"/>
                <w:szCs w:val="12"/>
                <w:color w:val="auto"/>
              </w:rPr>
              <w:t>Real estate taxes</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(2,349)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1,415</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920" w:type="dxa"/>
            <w:vAlign w:val="bottom"/>
          </w:tcPr>
          <w:p>
            <w:pPr>
              <w:ind w:left="20"/>
              <w:spacing w:after="0"/>
              <w:rPr>
                <w:sz w:val="20"/>
                <w:szCs w:val="20"/>
                <w:color w:val="auto"/>
              </w:rPr>
            </w:pPr>
            <w:r>
              <w:rPr>
                <w:rFonts w:ascii="Arial" w:cs="Arial" w:eastAsia="Arial" w:hAnsi="Arial"/>
                <w:sz w:val="12"/>
                <w:szCs w:val="12"/>
                <w:b w:val="1"/>
                <w:bCs w:val="1"/>
                <w:color w:val="auto"/>
              </w:rPr>
              <w:t>Total Property Expenses</w:t>
            </w:r>
          </w:p>
        </w:tc>
        <w:tc>
          <w:tcPr>
            <w:tcW w:w="3900" w:type="dxa"/>
            <w:vAlign w:val="bottom"/>
          </w:tcPr>
          <w:p>
            <w:pPr>
              <w:spacing w:after="0"/>
              <w:rPr>
                <w:sz w:val="16"/>
                <w:szCs w:val="16"/>
                <w:color w:val="auto"/>
              </w:rPr>
            </w:pPr>
          </w:p>
        </w:tc>
        <w:tc>
          <w:tcPr>
            <w:tcW w:w="120" w:type="dxa"/>
            <w:vAlign w:val="bottom"/>
            <w:tcBorders>
              <w:left w:val="single" w:sz="8" w:color="9BDA44"/>
            </w:tcBorders>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b w:val="1"/>
                <w:bCs w:val="1"/>
                <w:color w:val="auto"/>
              </w:rPr>
              <w:t>(6,980)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b w:val="1"/>
                <w:bCs w:val="1"/>
                <w:color w:val="auto"/>
              </w:rPr>
              <w:t>2,492</w:t>
            </w:r>
          </w:p>
        </w:tc>
        <w:tc>
          <w:tcPr>
            <w:tcW w:w="120" w:type="dxa"/>
            <w:vAlign w:val="bottom"/>
            <w:tcBorders>
              <w:right w:val="single" w:sz="8" w:color="9BDA44"/>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20" w:type="dxa"/>
            <w:vAlign w:val="bottom"/>
            <w:tcBorders>
              <w:left w:val="single" w:sz="8" w:color="9BDA44"/>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right w:val="single" w:sz="8" w:color="9BDA44"/>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20"/>
              <w:spacing w:after="0"/>
              <w:rPr>
                <w:sz w:val="20"/>
                <w:szCs w:val="20"/>
                <w:color w:val="auto"/>
              </w:rPr>
            </w:pPr>
            <w:r>
              <w:rPr>
                <w:rFonts w:ascii="Arial" w:cs="Arial" w:eastAsia="Arial" w:hAnsi="Arial"/>
                <w:sz w:val="12"/>
                <w:szCs w:val="12"/>
                <w:b w:val="1"/>
                <w:bCs w:val="1"/>
                <w:color w:val="auto"/>
              </w:rPr>
              <w:t>NET OPERATING INCOME - PROPERTIES</w:t>
            </w:r>
          </w:p>
        </w:tc>
        <w:tc>
          <w:tcPr>
            <w:tcW w:w="3900" w:type="dxa"/>
            <w:vAlign w:val="bottom"/>
          </w:tcPr>
          <w:p>
            <w:pPr>
              <w:spacing w:after="0"/>
              <w:rPr>
                <w:sz w:val="16"/>
                <w:szCs w:val="16"/>
                <w:color w:val="auto"/>
              </w:rPr>
            </w:pPr>
          </w:p>
        </w:tc>
        <w:tc>
          <w:tcPr>
            <w:tcW w:w="120" w:type="dxa"/>
            <w:vAlign w:val="bottom"/>
            <w:tcBorders>
              <w:left w:val="single" w:sz="8" w:color="9BDA44"/>
            </w:tcBorders>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b w:val="1"/>
                <w:bCs w:val="1"/>
                <w:color w:val="auto"/>
              </w:rPr>
              <w:t>(9,603)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b w:val="1"/>
                <w:bCs w:val="1"/>
                <w:color w:val="auto"/>
              </w:rPr>
              <w:t>6,934</w:t>
            </w:r>
          </w:p>
        </w:tc>
        <w:tc>
          <w:tcPr>
            <w:tcW w:w="120" w:type="dxa"/>
            <w:vAlign w:val="bottom"/>
            <w:tcBorders>
              <w:right w:val="single" w:sz="8" w:color="9BDA44"/>
            </w:tcBorders>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920" w:type="dxa"/>
            <w:vAlign w:val="bottom"/>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3900" w:type="dxa"/>
            <w:vAlign w:val="bottom"/>
          </w:tcPr>
          <w:p>
            <w:pPr>
              <w:spacing w:after="0"/>
              <w:rPr>
                <w:sz w:val="24"/>
                <w:szCs w:val="24"/>
                <w:color w:val="auto"/>
              </w:rPr>
            </w:pPr>
          </w:p>
        </w:tc>
        <w:tc>
          <w:tcPr>
            <w:tcW w:w="120" w:type="dxa"/>
            <w:vAlign w:val="bottom"/>
            <w:tcBorders>
              <w:left w:val="single" w:sz="8" w:color="9BDA44"/>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Interest income</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(1,528)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Straight-line rent income</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(1,448)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413</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Above/below-market rent</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(707)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218</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7,487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(2,046)</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Amortization of finance costs</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938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(158)</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Above/below-market interest expense</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21</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Asset and property management expense</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(244)</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Other income/expense</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(338)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323</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Transaction costs</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2"/>
                <w:szCs w:val="12"/>
                <w:color w:val="auto"/>
              </w:rPr>
              <w:t>Capital lease interest</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4"/>
        </w:trPr>
        <w:tc>
          <w:tcPr>
            <w:tcW w:w="4920" w:type="dxa"/>
            <w:vAlign w:val="bottom"/>
          </w:tcPr>
          <w:p>
            <w:pPr>
              <w:ind w:left="20"/>
              <w:spacing w:after="0"/>
              <w:rPr>
                <w:sz w:val="20"/>
                <w:szCs w:val="20"/>
                <w:color w:val="auto"/>
              </w:rPr>
            </w:pPr>
            <w:r>
              <w:rPr>
                <w:rFonts w:ascii="Arial" w:cs="Arial" w:eastAsia="Arial" w:hAnsi="Arial"/>
                <w:sz w:val="12"/>
                <w:szCs w:val="12"/>
                <w:b w:val="1"/>
                <w:bCs w:val="1"/>
                <w:color w:val="auto"/>
              </w:rPr>
              <w:t>CORE PORTFOLIO AND FUND INCOME</w:t>
            </w:r>
          </w:p>
        </w:tc>
        <w:tc>
          <w:tcPr>
            <w:tcW w:w="3900" w:type="dxa"/>
            <w:vAlign w:val="bottom"/>
          </w:tcPr>
          <w:p>
            <w:pPr>
              <w:spacing w:after="0"/>
              <w:rPr>
                <w:sz w:val="16"/>
                <w:szCs w:val="16"/>
                <w:color w:val="auto"/>
              </w:rPr>
            </w:pPr>
          </w:p>
        </w:tc>
        <w:tc>
          <w:tcPr>
            <w:tcW w:w="120" w:type="dxa"/>
            <w:vAlign w:val="bottom"/>
            <w:tcBorders>
              <w:left w:val="single" w:sz="8" w:color="9BDA44"/>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(4,917)</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5,461</w:t>
            </w:r>
          </w:p>
        </w:tc>
        <w:tc>
          <w:tcPr>
            <w:tcW w:w="120" w:type="dxa"/>
            <w:vAlign w:val="bottom"/>
            <w:tcBorders>
              <w:right w:val="single" w:sz="8" w:color="9BDA44"/>
            </w:tcBorders>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920" w:type="dxa"/>
            <w:vAlign w:val="bottom"/>
          </w:tcPr>
          <w:p>
            <w:pPr>
              <w:ind w:left="20"/>
              <w:spacing w:after="0"/>
              <w:rPr>
                <w:sz w:val="20"/>
                <w:szCs w:val="20"/>
                <w:color w:val="auto"/>
              </w:rPr>
            </w:pPr>
            <w:r>
              <w:rPr>
                <w:rFonts w:ascii="Arial" w:cs="Arial" w:eastAsia="Arial" w:hAnsi="Arial"/>
                <w:sz w:val="12"/>
                <w:szCs w:val="12"/>
                <w:b w:val="1"/>
                <w:bCs w:val="1"/>
                <w:color w:val="auto"/>
              </w:rPr>
              <w:t>FEE INCOME</w:t>
            </w:r>
          </w:p>
        </w:tc>
        <w:tc>
          <w:tcPr>
            <w:tcW w:w="3900" w:type="dxa"/>
            <w:vAlign w:val="bottom"/>
          </w:tcPr>
          <w:p>
            <w:pPr>
              <w:spacing w:after="0"/>
              <w:rPr>
                <w:sz w:val="24"/>
                <w:szCs w:val="24"/>
                <w:color w:val="auto"/>
              </w:rPr>
            </w:pPr>
          </w:p>
        </w:tc>
        <w:tc>
          <w:tcPr>
            <w:tcW w:w="120" w:type="dxa"/>
            <w:vAlign w:val="bottom"/>
            <w:tcBorders>
              <w:left w:val="single" w:sz="8" w:color="9BDA44"/>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Asset and property management fees</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3,906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78</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Promote income from funds, net</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Transactional fees</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1,334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63</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2"/>
                <w:szCs w:val="12"/>
                <w:color w:val="auto"/>
              </w:rPr>
              <w:t>Income tax provision</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920" w:type="dxa"/>
            <w:vAlign w:val="bottom"/>
          </w:tcPr>
          <w:p>
            <w:pPr>
              <w:ind w:left="20"/>
              <w:spacing w:after="0"/>
              <w:rPr>
                <w:sz w:val="20"/>
                <w:szCs w:val="20"/>
                <w:color w:val="auto"/>
              </w:rPr>
            </w:pPr>
            <w:r>
              <w:rPr>
                <w:rFonts w:ascii="Arial" w:cs="Arial" w:eastAsia="Arial" w:hAnsi="Arial"/>
                <w:sz w:val="12"/>
                <w:szCs w:val="12"/>
                <w:b w:val="1"/>
                <w:bCs w:val="1"/>
                <w:color w:val="auto"/>
              </w:rPr>
              <w:t>Total Fee Income</w:t>
            </w:r>
          </w:p>
        </w:tc>
        <w:tc>
          <w:tcPr>
            <w:tcW w:w="3900" w:type="dxa"/>
            <w:vAlign w:val="bottom"/>
          </w:tcPr>
          <w:p>
            <w:pPr>
              <w:spacing w:after="0"/>
              <w:rPr>
                <w:sz w:val="16"/>
                <w:szCs w:val="16"/>
                <w:color w:val="auto"/>
              </w:rPr>
            </w:pPr>
          </w:p>
        </w:tc>
        <w:tc>
          <w:tcPr>
            <w:tcW w:w="120" w:type="dxa"/>
            <w:vAlign w:val="bottom"/>
            <w:tcBorders>
              <w:left w:val="single" w:sz="8" w:color="9BDA44"/>
            </w:tcBorders>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b w:val="1"/>
                <w:bCs w:val="1"/>
                <w:color w:val="auto"/>
              </w:rPr>
              <w:t>5,426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b w:val="1"/>
                <w:bCs w:val="1"/>
                <w:color w:val="auto"/>
              </w:rPr>
              <w:t>136</w:t>
            </w:r>
          </w:p>
        </w:tc>
        <w:tc>
          <w:tcPr>
            <w:tcW w:w="120" w:type="dxa"/>
            <w:vAlign w:val="bottom"/>
            <w:tcBorders>
              <w:right w:val="single" w:sz="8" w:color="9BDA44"/>
            </w:tcBorders>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920" w:type="dxa"/>
            <w:vAlign w:val="bottom"/>
          </w:tcPr>
          <w:p>
            <w:pPr>
              <w:ind w:left="20"/>
              <w:spacing w:after="0"/>
              <w:rPr>
                <w:sz w:val="20"/>
                <w:szCs w:val="20"/>
                <w:color w:val="auto"/>
              </w:rPr>
            </w:pPr>
            <w:r>
              <w:rPr>
                <w:rFonts w:ascii="Arial" w:cs="Arial" w:eastAsia="Arial" w:hAnsi="Arial"/>
                <w:sz w:val="12"/>
                <w:szCs w:val="12"/>
                <w:b w:val="1"/>
                <w:bCs w:val="1"/>
                <w:color w:val="auto"/>
              </w:rPr>
              <w:t>General and Administrative</w:t>
            </w:r>
          </w:p>
        </w:tc>
        <w:tc>
          <w:tcPr>
            <w:tcW w:w="3900" w:type="dxa"/>
            <w:vAlign w:val="bottom"/>
          </w:tcPr>
          <w:p>
            <w:pPr>
              <w:spacing w:after="0"/>
              <w:rPr>
                <w:sz w:val="24"/>
                <w:szCs w:val="24"/>
                <w:color w:val="auto"/>
              </w:rPr>
            </w:pPr>
          </w:p>
        </w:tc>
        <w:tc>
          <w:tcPr>
            <w:tcW w:w="120" w:type="dxa"/>
            <w:vAlign w:val="bottom"/>
            <w:tcBorders>
              <w:left w:val="single" w:sz="8" w:color="9BDA44"/>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b w:val="1"/>
                <w:bCs w:val="1"/>
                <w:color w:val="auto"/>
              </w:rPr>
              <w:t>297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b w:val="1"/>
                <w:bCs w:val="1"/>
                <w:color w:val="auto"/>
              </w:rPr>
              <w:t>(43)</w:t>
            </w:r>
          </w:p>
        </w:tc>
        <w:tc>
          <w:tcPr>
            <w:tcW w:w="12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92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3900" w:type="dxa"/>
            <w:vAlign w:val="bottom"/>
          </w:tcPr>
          <w:p>
            <w:pPr>
              <w:spacing w:after="0"/>
              <w:rPr>
                <w:sz w:val="24"/>
                <w:szCs w:val="24"/>
                <w:color w:val="auto"/>
              </w:rPr>
            </w:pPr>
          </w:p>
        </w:tc>
        <w:tc>
          <w:tcPr>
            <w:tcW w:w="120" w:type="dxa"/>
            <w:vAlign w:val="bottom"/>
            <w:tcBorders>
              <w:left w:val="single" w:sz="8" w:color="9BDA44"/>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11,250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(3,870)</w:t>
            </w:r>
          </w:p>
        </w:tc>
        <w:tc>
          <w:tcPr>
            <w:tcW w:w="12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color w:val="auto"/>
              </w:rPr>
              <w:t>Non-real estate depreciation and amortization</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2"/>
                <w:szCs w:val="12"/>
                <w:b w:val="1"/>
                <w:bCs w:val="1"/>
                <w:color w:val="auto"/>
              </w:rPr>
              <w:t>Income before equity in earnings and noncontrolling interests</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b w:val="1"/>
                <w:bCs w:val="1"/>
                <w:color w:val="auto"/>
              </w:rPr>
              <w:t>12,056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b w:val="1"/>
                <w:bCs w:val="1"/>
                <w:color w:val="auto"/>
              </w:rPr>
              <w:t>1,684</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4920" w:type="dxa"/>
            <w:vAlign w:val="bottom"/>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3900" w:type="dxa"/>
            <w:vAlign w:val="bottom"/>
          </w:tcPr>
          <w:p>
            <w:pPr>
              <w:spacing w:after="0"/>
              <w:rPr>
                <w:sz w:val="24"/>
                <w:szCs w:val="24"/>
                <w:color w:val="auto"/>
              </w:rPr>
            </w:pPr>
          </w:p>
        </w:tc>
        <w:tc>
          <w:tcPr>
            <w:tcW w:w="120" w:type="dxa"/>
            <w:vAlign w:val="bottom"/>
            <w:tcBorders>
              <w:left w:val="single" w:sz="8" w:color="9BDA44"/>
            </w:tcBorders>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8"/>
        </w:trPr>
        <w:tc>
          <w:tcPr>
            <w:tcW w:w="4920" w:type="dxa"/>
            <w:vAlign w:val="bottom"/>
          </w:tcPr>
          <w:p>
            <w:pPr>
              <w:ind w:left="20"/>
              <w:spacing w:after="0"/>
              <w:rPr>
                <w:sz w:val="20"/>
                <w:szCs w:val="20"/>
                <w:color w:val="auto"/>
              </w:rPr>
            </w:pPr>
            <w:r>
              <w:rPr>
                <w:rFonts w:ascii="Arial" w:cs="Arial" w:eastAsia="Arial" w:hAnsi="Arial"/>
                <w:sz w:val="12"/>
                <w:szCs w:val="12"/>
                <w:color w:val="auto"/>
              </w:rPr>
              <w:t xml:space="preserve">Noncontrolling interests </w:t>
            </w:r>
            <w:r>
              <w:rPr>
                <w:rFonts w:ascii="Arial" w:cs="Arial" w:eastAsia="Arial" w:hAnsi="Arial"/>
                <w:sz w:val="14"/>
                <w:szCs w:val="14"/>
                <w:color w:val="auto"/>
                <w:vertAlign w:val="superscript"/>
              </w:rPr>
              <w:t>6</w:t>
            </w:r>
          </w:p>
        </w:tc>
        <w:tc>
          <w:tcPr>
            <w:tcW w:w="3900" w:type="dxa"/>
            <w:vAlign w:val="bottom"/>
          </w:tcPr>
          <w:p>
            <w:pPr>
              <w:spacing w:after="0"/>
              <w:rPr>
                <w:sz w:val="19"/>
                <w:szCs w:val="19"/>
                <w:color w:val="auto"/>
              </w:rPr>
            </w:pPr>
          </w:p>
        </w:tc>
        <w:tc>
          <w:tcPr>
            <w:tcW w:w="120" w:type="dxa"/>
            <w:vAlign w:val="bottom"/>
            <w:tcBorders>
              <w:left w:val="single" w:sz="8" w:color="9BDA4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(477)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920" w:type="dxa"/>
            <w:vAlign w:val="bottom"/>
          </w:tcPr>
          <w:p>
            <w:pPr>
              <w:ind w:left="20"/>
              <w:spacing w:after="0"/>
              <w:rPr>
                <w:sz w:val="20"/>
                <w:szCs w:val="20"/>
                <w:color w:val="auto"/>
              </w:rPr>
            </w:pPr>
            <w:r>
              <w:rPr>
                <w:rFonts w:ascii="Arial" w:cs="Arial" w:eastAsia="Arial" w:hAnsi="Arial"/>
                <w:sz w:val="12"/>
                <w:szCs w:val="12"/>
                <w:b w:val="1"/>
                <w:bCs w:val="1"/>
                <w:color w:val="auto"/>
              </w:rPr>
              <w:t>NET INCOME ATTRIBUTABLE TO ACADIA</w:t>
            </w:r>
          </w:p>
        </w:tc>
        <w:tc>
          <w:tcPr>
            <w:tcW w:w="3900" w:type="dxa"/>
            <w:vAlign w:val="bottom"/>
          </w:tcPr>
          <w:p>
            <w:pPr>
              <w:spacing w:after="0"/>
              <w:rPr>
                <w:sz w:val="24"/>
                <w:szCs w:val="24"/>
                <w:color w:val="auto"/>
              </w:rPr>
            </w:pPr>
          </w:p>
        </w:tc>
        <w:tc>
          <w:tcPr>
            <w:tcW w:w="260" w:type="dxa"/>
            <w:vAlign w:val="bottom"/>
            <w:tcBorders>
              <w:left w:val="single" w:sz="8" w:color="9BDA44"/>
            </w:tcBorders>
            <w:gridSpan w:val="2"/>
          </w:tcPr>
          <w:p>
            <w:pPr>
              <w:jc w:val="right"/>
              <w:ind w:right="40"/>
              <w:spacing w:after="0"/>
              <w:rPr>
                <w:sz w:val="20"/>
                <w:szCs w:val="20"/>
                <w:color w:val="auto"/>
              </w:rPr>
            </w:pPr>
            <w:r>
              <w:rPr>
                <w:rFonts w:ascii="Arial" w:cs="Arial" w:eastAsia="Arial" w:hAnsi="Arial"/>
                <w:sz w:val="12"/>
                <w:szCs w:val="12"/>
                <w:b w:val="1"/>
                <w:bCs w:val="1"/>
                <w:color w:val="auto"/>
              </w:rPr>
              <w:t>$</w:t>
            </w:r>
          </w:p>
        </w:tc>
        <w:tc>
          <w:tcPr>
            <w:tcW w:w="1020" w:type="dxa"/>
            <w:vAlign w:val="bottom"/>
          </w:tcPr>
          <w:p>
            <w:pPr>
              <w:jc w:val="right"/>
              <w:ind w:right="62"/>
              <w:spacing w:after="0"/>
              <w:rPr>
                <w:sz w:val="20"/>
                <w:szCs w:val="20"/>
                <w:color w:val="auto"/>
              </w:rPr>
            </w:pPr>
            <w:r>
              <w:rPr>
                <w:rFonts w:ascii="Arial" w:cs="Arial" w:eastAsia="Arial" w:hAnsi="Arial"/>
                <w:sz w:val="12"/>
                <w:szCs w:val="12"/>
                <w:b w:val="1"/>
                <w:bCs w:val="1"/>
                <w:color w:val="auto"/>
              </w:rPr>
              <w:t>11,579</w:t>
            </w: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right"/>
              <w:ind w:right="62"/>
              <w:spacing w:after="0"/>
              <w:rPr>
                <w:sz w:val="20"/>
                <w:szCs w:val="20"/>
                <w:color w:val="auto"/>
              </w:rPr>
            </w:pPr>
            <w:r>
              <w:rPr>
                <w:rFonts w:ascii="Arial" w:cs="Arial" w:eastAsia="Arial" w:hAnsi="Arial"/>
                <w:sz w:val="12"/>
                <w:szCs w:val="12"/>
                <w:b w:val="1"/>
                <w:bCs w:val="1"/>
                <w:color w:val="auto"/>
              </w:rPr>
              <w:t>1,684</w:t>
            </w:r>
          </w:p>
        </w:tc>
        <w:tc>
          <w:tcPr>
            <w:tcW w:w="12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160"/>
              <w:spacing w:after="0"/>
              <w:rPr>
                <w:sz w:val="20"/>
                <w:szCs w:val="20"/>
                <w:color w:val="auto"/>
              </w:rPr>
            </w:pPr>
            <w:r>
              <w:rPr>
                <w:rFonts w:ascii="Arial" w:cs="Arial" w:eastAsia="Arial" w:hAnsi="Arial"/>
                <w:sz w:val="15"/>
                <w:szCs w:val="15"/>
                <w:i w:val="1"/>
                <w:iCs w:val="1"/>
                <w:color w:val="auto"/>
              </w:rPr>
              <w:t>Supplemental Report - March 31, 2018</w:t>
            </w:r>
          </w:p>
        </w:tc>
        <w:tc>
          <w:tcPr>
            <w:tcW w:w="3900" w:type="dxa"/>
            <w:vAlign w:val="bottom"/>
            <w:vMerge w:val="restart"/>
          </w:tcPr>
          <w:p>
            <w:pPr>
              <w:jc w:val="right"/>
              <w:ind w:right="2942"/>
              <w:spacing w:after="0"/>
              <w:rPr>
                <w:sz w:val="20"/>
                <w:szCs w:val="20"/>
                <w:color w:val="auto"/>
              </w:rPr>
            </w:pPr>
            <w:r>
              <w:rPr>
                <w:rFonts w:ascii="Arial" w:cs="Arial" w:eastAsia="Arial" w:hAnsi="Arial"/>
                <w:sz w:val="12"/>
                <w:szCs w:val="12"/>
                <w:color w:val="auto"/>
              </w:rPr>
              <w:t>7</w:t>
            </w:r>
          </w:p>
        </w:tc>
        <w:tc>
          <w:tcPr>
            <w:tcW w:w="120" w:type="dxa"/>
            <w:vAlign w:val="bottom"/>
            <w:tcBorders>
              <w:left w:val="single" w:sz="8" w:color="9BDA4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9BDA4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4920" w:type="dxa"/>
            <w:vAlign w:val="bottom"/>
            <w:vMerge w:val="continue"/>
          </w:tcPr>
          <w:p>
            <w:pPr>
              <w:spacing w:after="0"/>
              <w:rPr>
                <w:sz w:val="6"/>
                <w:szCs w:val="6"/>
                <w:color w:val="auto"/>
              </w:rPr>
            </w:pPr>
          </w:p>
        </w:tc>
        <w:tc>
          <w:tcPr>
            <w:tcW w:w="3900" w:type="dxa"/>
            <w:vAlign w:val="bottom"/>
            <w:vMerge w:val="continue"/>
          </w:tcPr>
          <w:p>
            <w:pPr>
              <w:spacing w:after="0"/>
              <w:rPr>
                <w:sz w:val="6"/>
                <w:szCs w:val="6"/>
                <w:color w:val="auto"/>
              </w:rPr>
            </w:pPr>
          </w:p>
        </w:tc>
        <w:tc>
          <w:tcPr>
            <w:tcW w:w="120" w:type="dxa"/>
            <w:vAlign w:val="bottom"/>
            <w:tcBorders>
              <w:left w:val="single" w:sz="8" w:color="9BDA44"/>
              <w:bottom w:val="single" w:sz="8" w:color="9BDA44"/>
            </w:tcBorders>
          </w:tcPr>
          <w:p>
            <w:pPr>
              <w:spacing w:after="0"/>
              <w:rPr>
                <w:sz w:val="6"/>
                <w:szCs w:val="6"/>
                <w:color w:val="auto"/>
              </w:rPr>
            </w:pPr>
          </w:p>
        </w:tc>
        <w:tc>
          <w:tcPr>
            <w:tcW w:w="140" w:type="dxa"/>
            <w:vAlign w:val="bottom"/>
            <w:tcBorders>
              <w:bottom w:val="single" w:sz="8" w:color="9BDA44"/>
            </w:tcBorders>
          </w:tcPr>
          <w:p>
            <w:pPr>
              <w:spacing w:after="0"/>
              <w:rPr>
                <w:sz w:val="6"/>
                <w:szCs w:val="6"/>
                <w:color w:val="auto"/>
              </w:rPr>
            </w:pPr>
          </w:p>
        </w:tc>
        <w:tc>
          <w:tcPr>
            <w:tcW w:w="1020" w:type="dxa"/>
            <w:vAlign w:val="bottom"/>
            <w:tcBorders>
              <w:bottom w:val="single" w:sz="8" w:color="9BDA44"/>
            </w:tcBorders>
          </w:tcPr>
          <w:p>
            <w:pPr>
              <w:spacing w:after="0"/>
              <w:rPr>
                <w:sz w:val="6"/>
                <w:szCs w:val="6"/>
                <w:color w:val="auto"/>
              </w:rPr>
            </w:pPr>
          </w:p>
        </w:tc>
        <w:tc>
          <w:tcPr>
            <w:tcW w:w="120" w:type="dxa"/>
            <w:vAlign w:val="bottom"/>
            <w:tcBorders>
              <w:bottom w:val="single" w:sz="8" w:color="9BDA44"/>
            </w:tcBorders>
          </w:tcPr>
          <w:p>
            <w:pPr>
              <w:spacing w:after="0"/>
              <w:rPr>
                <w:sz w:val="6"/>
                <w:szCs w:val="6"/>
                <w:color w:val="auto"/>
              </w:rPr>
            </w:pPr>
          </w:p>
        </w:tc>
        <w:tc>
          <w:tcPr>
            <w:tcW w:w="140" w:type="dxa"/>
            <w:vAlign w:val="bottom"/>
            <w:tcBorders>
              <w:bottom w:val="single" w:sz="8" w:color="9BDA44"/>
            </w:tcBorders>
          </w:tcPr>
          <w:p>
            <w:pPr>
              <w:spacing w:after="0"/>
              <w:rPr>
                <w:sz w:val="6"/>
                <w:szCs w:val="6"/>
                <w:color w:val="auto"/>
              </w:rPr>
            </w:pPr>
          </w:p>
        </w:tc>
        <w:tc>
          <w:tcPr>
            <w:tcW w:w="1000" w:type="dxa"/>
            <w:vAlign w:val="bottom"/>
            <w:tcBorders>
              <w:bottom w:val="single" w:sz="8" w:color="9BDA44"/>
            </w:tcBorders>
          </w:tcPr>
          <w:p>
            <w:pPr>
              <w:spacing w:after="0"/>
              <w:rPr>
                <w:sz w:val="6"/>
                <w:szCs w:val="6"/>
                <w:color w:val="auto"/>
              </w:rPr>
            </w:pPr>
          </w:p>
        </w:tc>
        <w:tc>
          <w:tcPr>
            <w:tcW w:w="120" w:type="dxa"/>
            <w:vAlign w:val="bottom"/>
            <w:tcBorders>
              <w:bottom w:val="single" w:sz="8" w:color="9BDA44"/>
              <w:right w:val="single" w:sz="8" w:color="9BDA44"/>
            </w:tcBorders>
          </w:tcPr>
          <w:p>
            <w:pPr>
              <w:spacing w:after="0"/>
              <w:rPr>
                <w:sz w:val="6"/>
                <w:szCs w:val="6"/>
                <w:color w:val="auto"/>
              </w:rPr>
            </w:pPr>
          </w:p>
        </w:tc>
        <w:tc>
          <w:tcPr>
            <w:tcW w:w="0" w:type="dxa"/>
            <w:vAlign w:val="bottom"/>
          </w:tcPr>
          <w:p>
            <w:pPr>
              <w:spacing w:after="0"/>
              <w:rPr>
                <w:sz w:val="1"/>
                <w:szCs w:val="1"/>
                <w:color w:val="auto"/>
              </w:rPr>
            </w:pPr>
          </w:p>
        </w:tc>
      </w:tr>
      <w:tr>
        <w:trPr>
          <w:trHeight w:val="681"/>
        </w:trPr>
        <w:tc>
          <w:tcPr>
            <w:tcW w:w="4920" w:type="dxa"/>
            <w:vAlign w:val="bottom"/>
            <w:vMerge w:val="continue"/>
          </w:tcPr>
          <w:p>
            <w:pPr>
              <w:spacing w:after="0"/>
              <w:rPr>
                <w:sz w:val="24"/>
                <w:szCs w:val="24"/>
                <w:color w:val="auto"/>
              </w:rPr>
            </w:pPr>
          </w:p>
        </w:tc>
        <w:tc>
          <w:tcPr>
            <w:tcW w:w="3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617" w:right="199" w:bottom="1440" w:gutter="0" w:footer="0" w:header="0"/>
        </w:sectPr>
      </w:pPr>
    </w:p>
    <w:bookmarkStart w:id="19" w:name="page20"/>
    <w:bookmarkEnd w:id="19"/>
    <w:p>
      <w:pPr>
        <w:ind w:left="380"/>
        <w:spacing w:after="0"/>
        <w:rPr>
          <w:sz w:val="20"/>
          <w:szCs w:val="20"/>
          <w:color w:val="auto"/>
        </w:rPr>
      </w:pPr>
      <w:r>
        <w:rPr>
          <w:rFonts w:ascii="Arial" w:cs="Arial" w:eastAsia="Arial" w:hAnsi="Arial"/>
          <w:sz w:val="20"/>
          <w:szCs w:val="20"/>
          <w:b w:val="1"/>
          <w:bCs w:val="1"/>
          <w:color w:val="auto"/>
        </w:rPr>
        <w:t xml:space="preserve">Consolidated Balance Sheet </w:t>
      </w:r>
      <w:r>
        <w:rPr>
          <w:rFonts w:ascii="Arial" w:cs="Arial" w:eastAsia="Arial" w:hAnsi="Arial"/>
          <w:sz w:val="23"/>
          <w:szCs w:val="23"/>
          <w:b w:val="1"/>
          <w:bCs w:val="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14605</wp:posOffset>
            </wp:positionV>
            <wp:extent cx="66344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4480" cy="6985"/>
                    </a:xfrm>
                    <a:prstGeom prst="rect">
                      <a:avLst/>
                    </a:prstGeom>
                    <a:noFill/>
                  </pic:spPr>
                </pic:pic>
              </a:graphicData>
            </a:graphic>
          </wp:anchor>
        </w:drawing>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 thousands)</w:t>
      </w:r>
    </w:p>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02"/>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tcBorders>
              <w:right w:val="single" w:sz="8" w:color="9BDA44"/>
            </w:tcBorders>
          </w:tcPr>
          <w:p>
            <w:pPr>
              <w:spacing w:after="0"/>
              <w:rPr>
                <w:sz w:val="17"/>
                <w:szCs w:val="17"/>
                <w:color w:val="auto"/>
              </w:rPr>
            </w:pPr>
          </w:p>
        </w:tc>
        <w:tc>
          <w:tcPr>
            <w:tcW w:w="160" w:type="dxa"/>
            <w:vAlign w:val="bottom"/>
            <w:tcBorders>
              <w:top w:val="single" w:sz="8" w:color="9BDA44"/>
            </w:tcBorders>
          </w:tcPr>
          <w:p>
            <w:pPr>
              <w:spacing w:after="0"/>
              <w:rPr>
                <w:sz w:val="17"/>
                <w:szCs w:val="17"/>
                <w:color w:val="auto"/>
              </w:rPr>
            </w:pPr>
          </w:p>
        </w:tc>
        <w:tc>
          <w:tcPr>
            <w:tcW w:w="1120" w:type="dxa"/>
            <w:vAlign w:val="bottom"/>
            <w:tcBorders>
              <w:top w:val="single" w:sz="8" w:color="9BDA44"/>
              <w:right w:val="single" w:sz="8" w:color="9BDA44"/>
            </w:tcBorders>
          </w:tcPr>
          <w:p>
            <w:pPr>
              <w:jc w:val="center"/>
              <w:ind w:right="162"/>
              <w:spacing w:after="0"/>
              <w:rPr>
                <w:sz w:val="20"/>
                <w:szCs w:val="20"/>
                <w:color w:val="auto"/>
              </w:rPr>
            </w:pPr>
            <w:r>
              <w:rPr>
                <w:rFonts w:ascii="Arial" w:cs="Arial" w:eastAsia="Arial" w:hAnsi="Arial"/>
                <w:sz w:val="12"/>
                <w:szCs w:val="12"/>
                <w:b w:val="1"/>
                <w:bCs w:val="1"/>
                <w:color w:val="auto"/>
                <w:w w:val="97"/>
              </w:rPr>
              <w:t>Consolidated</w:t>
            </w:r>
          </w:p>
        </w:tc>
        <w:tc>
          <w:tcPr>
            <w:tcW w:w="1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20" w:type="dxa"/>
            <w:vAlign w:val="bottom"/>
            <w:tcBorders>
              <w:right w:val="single" w:sz="8" w:color="9BDA44"/>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center"/>
              <w:ind w:right="142"/>
              <w:spacing w:after="0"/>
              <w:rPr>
                <w:sz w:val="20"/>
                <w:szCs w:val="20"/>
                <w:color w:val="auto"/>
              </w:rPr>
            </w:pPr>
            <w:r>
              <w:rPr>
                <w:rFonts w:ascii="Arial" w:cs="Arial" w:eastAsia="Arial" w:hAnsi="Arial"/>
                <w:sz w:val="12"/>
                <w:szCs w:val="12"/>
                <w:b w:val="1"/>
                <w:bCs w:val="1"/>
                <w:color w:val="auto"/>
                <w:w w:val="95"/>
              </w:rPr>
              <w:t>Balance</w:t>
            </w:r>
          </w:p>
        </w:tc>
        <w:tc>
          <w:tcPr>
            <w:tcW w:w="1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20" w:type="dxa"/>
            <w:vAlign w:val="bottom"/>
            <w:tcBorders>
              <w:right w:val="single" w:sz="8" w:color="9BDA44"/>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center"/>
              <w:ind w:right="142"/>
              <w:spacing w:after="0"/>
              <w:rPr>
                <w:sz w:val="20"/>
                <w:szCs w:val="20"/>
                <w:color w:val="auto"/>
              </w:rPr>
            </w:pPr>
            <w:r>
              <w:rPr>
                <w:rFonts w:ascii="Arial" w:cs="Arial" w:eastAsia="Arial" w:hAnsi="Arial"/>
                <w:sz w:val="12"/>
                <w:szCs w:val="12"/>
                <w:b w:val="1"/>
                <w:bCs w:val="1"/>
                <w:color w:val="auto"/>
                <w:w w:val="97"/>
              </w:rPr>
              <w:t>Sheet</w:t>
            </w:r>
          </w:p>
        </w:tc>
        <w:tc>
          <w:tcPr>
            <w:tcW w:w="1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b w:val="1"/>
                <w:bCs w:val="1"/>
                <w:color w:val="auto"/>
              </w:rPr>
              <w:t>ASSETS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9BDA44"/>
            </w:tcBorders>
          </w:tcPr>
          <w:p>
            <w:pPr>
              <w:jc w:val="center"/>
              <w:ind w:right="142"/>
              <w:spacing w:after="0"/>
              <w:rPr>
                <w:sz w:val="20"/>
                <w:szCs w:val="20"/>
                <w:color w:val="auto"/>
              </w:rPr>
            </w:pPr>
            <w:r>
              <w:rPr>
                <w:rFonts w:ascii="Arial" w:cs="Arial" w:eastAsia="Arial" w:hAnsi="Arial"/>
                <w:sz w:val="12"/>
                <w:szCs w:val="12"/>
                <w:b w:val="1"/>
                <w:bCs w:val="1"/>
                <w:color w:val="auto"/>
                <w:w w:val="95"/>
              </w:rPr>
              <w:t>As Reported</w:t>
            </w:r>
          </w:p>
        </w:tc>
        <w:tc>
          <w:tcPr>
            <w:tcW w:w="180" w:type="dxa"/>
            <w:vAlign w:val="bottom"/>
          </w:tcPr>
          <w:p>
            <w:pPr>
              <w:spacing w:after="0"/>
              <w:rPr>
                <w:sz w:val="19"/>
                <w:szCs w:val="19"/>
                <w:color w:val="auto"/>
              </w:rPr>
            </w:pP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Line Item Details:</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Real estate</w:t>
            </w:r>
          </w:p>
        </w:tc>
        <w:tc>
          <w:tcPr>
            <w:tcW w:w="160" w:type="dxa"/>
            <w:vAlign w:val="bottom"/>
          </w:tcPr>
          <w:p>
            <w:pPr>
              <w:spacing w:after="0"/>
              <w:rPr>
                <w:sz w:val="16"/>
                <w:szCs w:val="16"/>
                <w:color w:val="auto"/>
              </w:rPr>
            </w:pPr>
          </w:p>
        </w:tc>
        <w:tc>
          <w:tcPr>
            <w:tcW w:w="1120" w:type="dxa"/>
            <w:vAlign w:val="bottom"/>
            <w:tcBorders>
              <w:right w:val="single" w:sz="8" w:color="9BDA44"/>
            </w:tcBorders>
          </w:tcPr>
          <w:p>
            <w:pPr>
              <w:spacing w:after="0"/>
              <w:rPr>
                <w:sz w:val="16"/>
                <w:szCs w:val="16"/>
                <w:color w:val="auto"/>
              </w:rPr>
            </w:pPr>
          </w:p>
        </w:tc>
        <w:tc>
          <w:tcPr>
            <w:tcW w:w="1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Land</w:t>
            </w:r>
          </w:p>
        </w:tc>
        <w:tc>
          <w:tcPr>
            <w:tcW w:w="3400" w:type="dxa"/>
            <w:vAlign w:val="bottom"/>
            <w:tcBorders>
              <w:right w:val="single" w:sz="8" w:color="9BDA44"/>
            </w:tcBorders>
            <w:gridSpan w:val="2"/>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667,847</w:t>
            </w:r>
          </w:p>
        </w:tc>
        <w:tc>
          <w:tcPr>
            <w:tcW w:w="1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Buildings and improvements</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2,581,553</w:t>
            </w:r>
          </w:p>
        </w:tc>
        <w:tc>
          <w:tcPr>
            <w:tcW w:w="1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Construction in progress</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21,060</w:t>
            </w:r>
          </w:p>
        </w:tc>
        <w:tc>
          <w:tcPr>
            <w:tcW w:w="1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Properties under capital lease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9BDA44"/>
            </w:tcBorders>
          </w:tcPr>
          <w:p>
            <w:pPr>
              <w:jc w:val="right"/>
              <w:ind w:right="82"/>
              <w:spacing w:after="0"/>
              <w:rPr>
                <w:sz w:val="20"/>
                <w:szCs w:val="20"/>
                <w:color w:val="auto"/>
              </w:rPr>
            </w:pPr>
            <w:r>
              <w:rPr>
                <w:rFonts w:ascii="Arial" w:cs="Arial" w:eastAsia="Arial" w:hAnsi="Arial"/>
                <w:sz w:val="12"/>
                <w:szCs w:val="12"/>
                <w:color w:val="auto"/>
              </w:rPr>
              <w:t>76,965</w:t>
            </w: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The components of Real estate under development, at cost are as follows:</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20" w:type="dxa"/>
            <w:vAlign w:val="bottom"/>
            <w:tcBorders>
              <w:right w:val="single" w:sz="8" w:color="9BDA44"/>
            </w:tcBorders>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3,347,425</w:t>
            </w:r>
          </w:p>
        </w:tc>
        <w:tc>
          <w:tcPr>
            <w:tcW w:w="1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9BDA44"/>
            </w:tcBorders>
          </w:tcPr>
          <w:p>
            <w:pPr>
              <w:jc w:val="right"/>
              <w:ind w:right="42"/>
              <w:spacing w:after="0"/>
              <w:rPr>
                <w:sz w:val="20"/>
                <w:szCs w:val="20"/>
                <w:color w:val="auto"/>
              </w:rPr>
            </w:pPr>
            <w:r>
              <w:rPr>
                <w:rFonts w:ascii="Arial" w:cs="Arial" w:eastAsia="Arial" w:hAnsi="Arial"/>
                <w:sz w:val="12"/>
                <w:szCs w:val="12"/>
                <w:color w:val="auto"/>
              </w:rPr>
              <w:t>(359,048)</w:t>
            </w:r>
          </w:p>
        </w:tc>
        <w:tc>
          <w:tcPr>
            <w:tcW w:w="1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Operating real estate, net</w:t>
            </w:r>
          </w:p>
        </w:tc>
        <w:tc>
          <w:tcPr>
            <w:tcW w:w="160" w:type="dxa"/>
            <w:vAlign w:val="bottom"/>
          </w:tcPr>
          <w:p>
            <w:pPr>
              <w:spacing w:after="0"/>
              <w:rPr>
                <w:sz w:val="16"/>
                <w:szCs w:val="16"/>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2,988,377</w:t>
            </w:r>
          </w:p>
        </w:tc>
        <w:tc>
          <w:tcPr>
            <w:tcW w:w="180" w:type="dxa"/>
            <w:vAlign w:val="bottom"/>
          </w:tcPr>
          <w:p>
            <w:pPr>
              <w:spacing w:after="0"/>
              <w:rPr>
                <w:sz w:val="16"/>
                <w:szCs w:val="16"/>
                <w:color w:val="auto"/>
              </w:rPr>
            </w:pPr>
          </w:p>
        </w:tc>
        <w:tc>
          <w:tcPr>
            <w:tcW w:w="4060" w:type="dxa"/>
            <w:vAlign w:val="bottom"/>
          </w:tcPr>
          <w:p>
            <w:pPr>
              <w:ind w:left="40"/>
              <w:spacing w:after="0"/>
              <w:rPr>
                <w:sz w:val="20"/>
                <w:szCs w:val="20"/>
                <w:color w:val="auto"/>
              </w:rPr>
            </w:pPr>
            <w:r>
              <w:rPr>
                <w:rFonts w:ascii="Arial" w:cs="Arial" w:eastAsia="Arial" w:hAnsi="Arial"/>
                <w:sz w:val="12"/>
                <w:szCs w:val="12"/>
                <w:color w:val="auto"/>
              </w:rPr>
              <w:t>Fund II</w:t>
            </w:r>
          </w:p>
        </w:tc>
        <w:tc>
          <w:tcPr>
            <w:tcW w:w="240" w:type="dxa"/>
            <w:vAlign w:val="bottom"/>
          </w:tcPr>
          <w:p>
            <w:pPr>
              <w:jc w:val="right"/>
              <w:ind w:right="10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4,733</w:t>
            </w:r>
          </w:p>
        </w:tc>
        <w:tc>
          <w:tcPr>
            <w:tcW w:w="0" w:type="dxa"/>
            <w:vAlign w:val="bottom"/>
          </w:tcPr>
          <w:p>
            <w:pPr>
              <w:spacing w:after="0"/>
              <w:rPr>
                <w:sz w:val="1"/>
                <w:szCs w:val="1"/>
                <w:color w:val="auto"/>
              </w:rPr>
            </w:pPr>
          </w:p>
        </w:tc>
      </w:tr>
      <w:tr>
        <w:trPr>
          <w:trHeight w:val="223"/>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Real estate under development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9BDA44"/>
            </w:tcBorders>
          </w:tcPr>
          <w:p>
            <w:pPr>
              <w:jc w:val="right"/>
              <w:ind w:right="82"/>
              <w:spacing w:after="0"/>
              <w:rPr>
                <w:sz w:val="20"/>
                <w:szCs w:val="20"/>
                <w:color w:val="auto"/>
              </w:rPr>
            </w:pPr>
            <w:r>
              <w:rPr>
                <w:rFonts w:ascii="Arial" w:cs="Arial" w:eastAsia="Arial" w:hAnsi="Arial"/>
                <w:sz w:val="12"/>
                <w:szCs w:val="12"/>
                <w:color w:val="auto"/>
              </w:rPr>
              <w:t>182,380</w:t>
            </w:r>
          </w:p>
        </w:tc>
        <w:tc>
          <w:tcPr>
            <w:tcW w:w="18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2"/>
                <w:szCs w:val="12"/>
                <w:color w:val="auto"/>
              </w:rPr>
              <w:t>Fund III</w:t>
            </w:r>
          </w:p>
        </w:tc>
        <w:tc>
          <w:tcPr>
            <w:tcW w:w="2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70,370</w:t>
            </w:r>
          </w:p>
        </w:tc>
        <w:tc>
          <w:tcPr>
            <w:tcW w:w="0" w:type="dxa"/>
            <w:vAlign w:val="bottom"/>
          </w:tcPr>
          <w:p>
            <w:pPr>
              <w:spacing w:after="0"/>
              <w:rPr>
                <w:sz w:val="1"/>
                <w:szCs w:val="1"/>
                <w:color w:val="auto"/>
              </w:rPr>
            </w:pPr>
          </w:p>
        </w:tc>
      </w:tr>
      <w:tr>
        <w:trPr>
          <w:trHeight w:val="194"/>
        </w:trPr>
        <w:tc>
          <w:tcPr>
            <w:tcW w:w="3980" w:type="dxa"/>
            <w:vAlign w:val="bottom"/>
            <w:tcBorders>
              <w:right w:val="single" w:sz="8" w:color="9BDA44"/>
            </w:tcBorders>
            <w:gridSpan w:val="3"/>
          </w:tcPr>
          <w:p>
            <w:pPr>
              <w:ind w:left="60"/>
              <w:spacing w:after="0"/>
              <w:rPr>
                <w:sz w:val="20"/>
                <w:szCs w:val="20"/>
                <w:color w:val="auto"/>
              </w:rPr>
            </w:pPr>
            <w:r>
              <w:rPr>
                <w:rFonts w:ascii="Arial" w:cs="Arial" w:eastAsia="Arial" w:hAnsi="Arial"/>
                <w:sz w:val="12"/>
                <w:szCs w:val="12"/>
                <w:color w:val="auto"/>
              </w:rPr>
              <w:t>Net investments in real estate</w:t>
            </w:r>
          </w:p>
        </w:tc>
        <w:tc>
          <w:tcPr>
            <w:tcW w:w="160" w:type="dxa"/>
            <w:vAlign w:val="bottom"/>
          </w:tcPr>
          <w:p>
            <w:pPr>
              <w:spacing w:after="0"/>
              <w:rPr>
                <w:sz w:val="16"/>
                <w:szCs w:val="16"/>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3,170,757</w:t>
            </w:r>
          </w:p>
        </w:tc>
        <w:tc>
          <w:tcPr>
            <w:tcW w:w="180" w:type="dxa"/>
            <w:vAlign w:val="bottom"/>
          </w:tcPr>
          <w:p>
            <w:pPr>
              <w:spacing w:after="0"/>
              <w:rPr>
                <w:sz w:val="16"/>
                <w:szCs w:val="16"/>
                <w:color w:val="auto"/>
              </w:rPr>
            </w:pPr>
          </w:p>
        </w:tc>
        <w:tc>
          <w:tcPr>
            <w:tcW w:w="4060" w:type="dxa"/>
            <w:vAlign w:val="bottom"/>
          </w:tcPr>
          <w:p>
            <w:pPr>
              <w:ind w:left="40"/>
              <w:spacing w:after="0"/>
              <w:rPr>
                <w:sz w:val="20"/>
                <w:szCs w:val="20"/>
                <w:color w:val="auto"/>
              </w:rPr>
            </w:pPr>
            <w:r>
              <w:rPr>
                <w:rFonts w:ascii="Arial" w:cs="Arial" w:eastAsia="Arial" w:hAnsi="Arial"/>
                <w:sz w:val="12"/>
                <w:szCs w:val="12"/>
                <w:color w:val="auto"/>
              </w:rPr>
              <w:t>Fund IV</w:t>
            </w:r>
          </w:p>
        </w:tc>
        <w:tc>
          <w:tcPr>
            <w:tcW w:w="24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83,221</w:t>
            </w: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Notes receivable, net</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108,959</w:t>
            </w:r>
          </w:p>
        </w:tc>
        <w:tc>
          <w:tcPr>
            <w:tcW w:w="18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2"/>
                <w:szCs w:val="12"/>
                <w:color w:val="auto"/>
              </w:rPr>
              <w:t>Core</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24,056</w:t>
            </w:r>
          </w:p>
        </w:tc>
        <w:tc>
          <w:tcPr>
            <w:tcW w:w="0" w:type="dxa"/>
            <w:vAlign w:val="bottom"/>
          </w:tcPr>
          <w:p>
            <w:pPr>
              <w:spacing w:after="0"/>
              <w:rPr>
                <w:sz w:val="1"/>
                <w:szCs w:val="1"/>
                <w:color w:val="auto"/>
              </w:rPr>
            </w:pPr>
          </w:p>
        </w:tc>
      </w:tr>
      <w:tr>
        <w:trPr>
          <w:trHeight w:val="20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Investments in and advances to unconsolidated affiliates</w:t>
            </w:r>
          </w:p>
        </w:tc>
        <w:tc>
          <w:tcPr>
            <w:tcW w:w="160" w:type="dxa"/>
            <w:vAlign w:val="bottom"/>
          </w:tcPr>
          <w:p>
            <w:pPr>
              <w:spacing w:after="0"/>
              <w:rPr>
                <w:sz w:val="18"/>
                <w:szCs w:val="18"/>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311,540</w:t>
            </w:r>
          </w:p>
        </w:tc>
        <w:tc>
          <w:tcPr>
            <w:tcW w:w="1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Other assets, net</w:t>
            </w:r>
          </w:p>
        </w:tc>
        <w:tc>
          <w:tcPr>
            <w:tcW w:w="160" w:type="dxa"/>
            <w:vAlign w:val="bottom"/>
          </w:tcPr>
          <w:p>
            <w:pPr>
              <w:spacing w:after="0"/>
              <w:rPr>
                <w:sz w:val="18"/>
                <w:szCs w:val="18"/>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216,514</w:t>
            </w:r>
          </w:p>
        </w:tc>
        <w:tc>
          <w:tcPr>
            <w:tcW w:w="18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2"/>
                <w:szCs w:val="12"/>
                <w:color w:val="auto"/>
              </w:rPr>
              <w:t>Total</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182,380</w:t>
            </w:r>
          </w:p>
        </w:tc>
        <w:tc>
          <w:tcPr>
            <w:tcW w:w="0" w:type="dxa"/>
            <w:vAlign w:val="bottom"/>
          </w:tcPr>
          <w:p>
            <w:pPr>
              <w:spacing w:after="0"/>
              <w:rPr>
                <w:sz w:val="1"/>
                <w:szCs w:val="1"/>
                <w:color w:val="auto"/>
              </w:rPr>
            </w:pPr>
          </w:p>
        </w:tc>
      </w:tr>
      <w:tr>
        <w:trPr>
          <w:trHeight w:val="20"/>
        </w:trPr>
        <w:tc>
          <w:tcPr>
            <w:tcW w:w="3980" w:type="dxa"/>
            <w:vAlign w:val="bottom"/>
            <w:tcBorders>
              <w:right w:val="single" w:sz="8" w:color="9BDA44"/>
            </w:tcBorders>
            <w:gridSpan w:val="3"/>
            <w:vMerge w:val="restart"/>
          </w:tcPr>
          <w:p>
            <w:pPr>
              <w:spacing w:after="0"/>
              <w:rPr>
                <w:sz w:val="20"/>
                <w:szCs w:val="20"/>
                <w:color w:val="auto"/>
              </w:rPr>
            </w:pPr>
            <w:r>
              <w:rPr>
                <w:rFonts w:ascii="Arial" w:cs="Arial" w:eastAsia="Arial" w:hAnsi="Arial"/>
                <w:sz w:val="12"/>
                <w:szCs w:val="12"/>
                <w:color w:val="auto"/>
              </w:rPr>
              <w:t>Cash and cash equivalents</w:t>
            </w:r>
          </w:p>
        </w:tc>
        <w:tc>
          <w:tcPr>
            <w:tcW w:w="160" w:type="dxa"/>
            <w:vAlign w:val="bottom"/>
          </w:tcPr>
          <w:p>
            <w:pPr>
              <w:spacing w:after="0" w:line="20" w:lineRule="exact"/>
              <w:rPr>
                <w:sz w:val="1"/>
                <w:szCs w:val="1"/>
                <w:color w:val="auto"/>
              </w:rPr>
            </w:pPr>
          </w:p>
        </w:tc>
        <w:tc>
          <w:tcPr>
            <w:tcW w:w="1120" w:type="dxa"/>
            <w:vAlign w:val="bottom"/>
            <w:tcBorders>
              <w:right w:val="single" w:sz="8" w:color="9BDA44"/>
            </w:tcBorders>
            <w:vMerge w:val="restart"/>
          </w:tcPr>
          <w:p>
            <w:pPr>
              <w:jc w:val="right"/>
              <w:ind w:right="82"/>
              <w:spacing w:after="0"/>
              <w:rPr>
                <w:sz w:val="20"/>
                <w:szCs w:val="20"/>
                <w:color w:val="auto"/>
              </w:rPr>
            </w:pPr>
            <w:r>
              <w:rPr>
                <w:rFonts w:ascii="Arial" w:cs="Arial" w:eastAsia="Arial" w:hAnsi="Arial"/>
                <w:sz w:val="12"/>
                <w:szCs w:val="12"/>
                <w:color w:val="auto"/>
              </w:rPr>
              <w:t>39,344</w:t>
            </w:r>
          </w:p>
        </w:tc>
        <w:tc>
          <w:tcPr>
            <w:tcW w:w="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80" w:type="dxa"/>
            <w:vAlign w:val="bottom"/>
            <w:tcBorders>
              <w:right w:val="single" w:sz="8" w:color="9BDA44"/>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9BDA44"/>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Straight-line rents receivable, net</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37,043</w:t>
            </w:r>
          </w:p>
        </w:tc>
        <w:tc>
          <w:tcPr>
            <w:tcW w:w="1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Rents receivable, net</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16,940</w:t>
            </w:r>
          </w:p>
        </w:tc>
        <w:tc>
          <w:tcPr>
            <w:tcW w:w="1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Restricted cash</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12,517</w:t>
            </w: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Summary of other assets, net:</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Assets of properties held for sale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9BDA44"/>
            </w:tcBorders>
          </w:tcPr>
          <w:p>
            <w:pPr>
              <w:jc w:val="right"/>
              <w:ind w:right="82"/>
              <w:spacing w:after="0"/>
              <w:rPr>
                <w:sz w:val="20"/>
                <w:szCs w:val="20"/>
                <w:color w:val="auto"/>
              </w:rPr>
            </w:pPr>
            <w:r>
              <w:rPr>
                <w:rFonts w:ascii="Arial" w:cs="Arial" w:eastAsia="Arial" w:hAnsi="Arial"/>
                <w:sz w:val="12"/>
                <w:szCs w:val="12"/>
                <w:color w:val="auto"/>
              </w:rPr>
              <w:t>25,362</w:t>
            </w:r>
          </w:p>
        </w:tc>
        <w:tc>
          <w:tcPr>
            <w:tcW w:w="1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20" w:type="dxa"/>
            <w:vAlign w:val="bottom"/>
            <w:tcBorders>
              <w:right w:val="single" w:sz="8" w:color="9BDA44"/>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right w:val="single" w:sz="8" w:color="9BDA44"/>
            </w:tcBorders>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Lease intangibles, net</w:t>
            </w:r>
          </w:p>
        </w:tc>
        <w:tc>
          <w:tcPr>
            <w:tcW w:w="240" w:type="dxa"/>
            <w:vAlign w:val="bottom"/>
          </w:tcPr>
          <w:p>
            <w:pPr>
              <w:jc w:val="right"/>
              <w:ind w:right="10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125,050</w:t>
            </w: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20" w:type="dxa"/>
            <w:vAlign w:val="bottom"/>
            <w:tcBorders>
              <w:right w:val="single" w:sz="8" w:color="9BDA44"/>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right w:val="single" w:sz="8" w:color="9BDA44"/>
            </w:tcBorders>
          </w:tcPr>
          <w:p>
            <w:pPr>
              <w:spacing w:after="0"/>
              <w:rPr>
                <w:sz w:val="19"/>
                <w:szCs w:val="19"/>
                <w:color w:val="auto"/>
              </w:rPr>
            </w:pP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Deferred charges, net</w:t>
            </w:r>
          </w:p>
        </w:tc>
        <w:tc>
          <w:tcPr>
            <w:tcW w:w="2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27,730</w:t>
            </w:r>
          </w:p>
        </w:tc>
        <w:tc>
          <w:tcPr>
            <w:tcW w:w="0" w:type="dxa"/>
            <w:vAlign w:val="bottom"/>
          </w:tcPr>
          <w:p>
            <w:pPr>
              <w:spacing w:after="0"/>
              <w:rPr>
                <w:sz w:val="1"/>
                <w:szCs w:val="1"/>
                <w:color w:val="auto"/>
              </w:rPr>
            </w:pPr>
          </w:p>
        </w:tc>
      </w:tr>
      <w:tr>
        <w:trPr>
          <w:trHeight w:val="217"/>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b w:val="1"/>
                <w:bCs w:val="1"/>
                <w:color w:val="auto"/>
              </w:rPr>
              <w:t>Total Assets</w:t>
            </w: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right w:val="single" w:sz="8" w:color="9BDA44"/>
            </w:tcBorders>
          </w:tcPr>
          <w:p>
            <w:pPr>
              <w:jc w:val="right"/>
              <w:ind w:right="82"/>
              <w:spacing w:after="0"/>
              <w:rPr>
                <w:sz w:val="20"/>
                <w:szCs w:val="20"/>
                <w:color w:val="auto"/>
              </w:rPr>
            </w:pPr>
            <w:r>
              <w:rPr>
                <w:rFonts w:ascii="Arial" w:cs="Arial" w:eastAsia="Arial" w:hAnsi="Arial"/>
                <w:sz w:val="12"/>
                <w:szCs w:val="12"/>
                <w:color w:val="auto"/>
              </w:rPr>
              <w:t>3,938,976</w:t>
            </w:r>
          </w:p>
        </w:tc>
        <w:tc>
          <w:tcPr>
            <w:tcW w:w="18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Prepaid expenses</w:t>
            </w:r>
          </w:p>
        </w:tc>
        <w:tc>
          <w:tcPr>
            <w:tcW w:w="240" w:type="dxa"/>
            <w:vAlign w:val="bottom"/>
          </w:tcPr>
          <w:p>
            <w:pPr>
              <w:spacing w:after="0"/>
              <w:rPr>
                <w:sz w:val="18"/>
                <w:szCs w:val="18"/>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17,927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60" w:type="dxa"/>
            <w:vAlign w:val="bottom"/>
            <w:vMerge w:val="restart"/>
          </w:tcPr>
          <w:p>
            <w:pPr>
              <w:ind w:left="20"/>
              <w:spacing w:after="0"/>
              <w:rPr>
                <w:sz w:val="20"/>
                <w:szCs w:val="20"/>
                <w:color w:val="auto"/>
              </w:rPr>
            </w:pPr>
            <w:r>
              <w:rPr>
                <w:rFonts w:ascii="Arial" w:cs="Arial" w:eastAsia="Arial" w:hAnsi="Arial"/>
                <w:sz w:val="12"/>
                <w:szCs w:val="12"/>
                <w:color w:val="auto"/>
              </w:rPr>
              <w:t>Other receivables</w:t>
            </w:r>
          </w:p>
        </w:tc>
        <w:tc>
          <w:tcPr>
            <w:tcW w:w="240" w:type="dxa"/>
            <w:vAlign w:val="bottom"/>
          </w:tcPr>
          <w:p>
            <w:pPr>
              <w:spacing w:after="0" w:line="20" w:lineRule="exact"/>
              <w:rPr>
                <w:sz w:val="1"/>
                <w:szCs w:val="1"/>
                <w:color w:val="auto"/>
              </w:rPr>
            </w:pPr>
          </w:p>
        </w:tc>
        <w:tc>
          <w:tcPr>
            <w:tcW w:w="680" w:type="dxa"/>
            <w:vAlign w:val="bottom"/>
            <w:vMerge w:val="restart"/>
          </w:tcPr>
          <w:p>
            <w:pPr>
              <w:jc w:val="right"/>
              <w:ind w:right="42"/>
              <w:spacing w:after="0"/>
              <w:rPr>
                <w:sz w:val="20"/>
                <w:szCs w:val="20"/>
                <w:color w:val="auto"/>
              </w:rPr>
            </w:pPr>
            <w:r>
              <w:rPr>
                <w:rFonts w:ascii="Arial" w:cs="Arial" w:eastAsia="Arial" w:hAnsi="Arial"/>
                <w:sz w:val="12"/>
                <w:szCs w:val="12"/>
                <w:color w:val="auto"/>
              </w:rPr>
              <w:t>5,719</w:t>
            </w:r>
          </w:p>
        </w:tc>
        <w:tc>
          <w:tcPr>
            <w:tcW w:w="0" w:type="dxa"/>
            <w:vAlign w:val="bottom"/>
          </w:tcPr>
          <w:p>
            <w:pPr>
              <w:spacing w:after="0" w:line="20" w:lineRule="exact"/>
              <w:rPr>
                <w:sz w:val="1"/>
                <w:szCs w:val="1"/>
                <w:color w:val="auto"/>
              </w:rPr>
            </w:pPr>
          </w:p>
        </w:tc>
      </w:tr>
      <w:tr>
        <w:trPr>
          <w:trHeight w:val="182"/>
        </w:trPr>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20" w:type="dxa"/>
            <w:vAlign w:val="bottom"/>
            <w:tcBorders>
              <w:right w:val="single" w:sz="8" w:color="9BDA44"/>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9BDA44"/>
            </w:tcBorders>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160" w:type="dxa"/>
            <w:vAlign w:val="bottom"/>
          </w:tcPr>
          <w:p>
            <w:pPr>
              <w:spacing w:after="0"/>
              <w:rPr>
                <w:sz w:val="19"/>
                <w:szCs w:val="19"/>
                <w:color w:val="auto"/>
              </w:rPr>
            </w:pPr>
          </w:p>
        </w:tc>
        <w:tc>
          <w:tcPr>
            <w:tcW w:w="1120" w:type="dxa"/>
            <w:vAlign w:val="bottom"/>
            <w:tcBorders>
              <w:right w:val="single" w:sz="8" w:color="9BDA44"/>
            </w:tcBorders>
          </w:tcPr>
          <w:p>
            <w:pPr>
              <w:spacing w:after="0"/>
              <w:rPr>
                <w:sz w:val="19"/>
                <w:szCs w:val="19"/>
                <w:color w:val="auto"/>
              </w:rPr>
            </w:pP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Accrued interest receivable</w:t>
            </w:r>
          </w:p>
        </w:tc>
        <w:tc>
          <w:tcPr>
            <w:tcW w:w="2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12,450</w:t>
            </w: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20" w:type="dxa"/>
            <w:vAlign w:val="bottom"/>
            <w:tcBorders>
              <w:right w:val="single" w:sz="8" w:color="9BDA44"/>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right w:val="single" w:sz="8" w:color="9BDA44"/>
            </w:tcBorders>
          </w:tcPr>
          <w:p>
            <w:pPr>
              <w:spacing w:after="0"/>
              <w:rPr>
                <w:sz w:val="19"/>
                <w:szCs w:val="19"/>
                <w:color w:val="auto"/>
              </w:rPr>
            </w:pP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Deposits</w:t>
            </w:r>
          </w:p>
        </w:tc>
        <w:tc>
          <w:tcPr>
            <w:tcW w:w="2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4,549</w:t>
            </w: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Mortgage and other notes payable, net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911,527</w:t>
            </w: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Due from seller</w:t>
            </w:r>
          </w:p>
        </w:tc>
        <w:tc>
          <w:tcPr>
            <w:tcW w:w="2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4,300</w:t>
            </w: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Unsecured notes payable, net</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529,756</w:t>
            </w: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Deferred tax assets</w:t>
            </w:r>
          </w:p>
        </w:tc>
        <w:tc>
          <w:tcPr>
            <w:tcW w:w="2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2,141</w:t>
            </w: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Unsecured line of credit</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14,000</w:t>
            </w: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Derivative financial instruments</w:t>
            </w:r>
          </w:p>
        </w:tc>
        <w:tc>
          <w:tcPr>
            <w:tcW w:w="2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9,958</w:t>
            </w: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Accounts payable and other liabilities</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209,090</w:t>
            </w: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Due from related parties</w:t>
            </w:r>
          </w:p>
        </w:tc>
        <w:tc>
          <w:tcPr>
            <w:tcW w:w="2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2,397</w:t>
            </w: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Capital lease obligation</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70,732</w:t>
            </w: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Corporate assets</w:t>
            </w:r>
          </w:p>
        </w:tc>
        <w:tc>
          <w:tcPr>
            <w:tcW w:w="2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2,287</w:t>
            </w: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Dividends and distributions payable</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23,978</w:t>
            </w: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Income taxes receivable</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2,006</w:t>
            </w:r>
          </w:p>
        </w:tc>
        <w:tc>
          <w:tcPr>
            <w:tcW w:w="0" w:type="dxa"/>
            <w:vAlign w:val="bottom"/>
          </w:tcPr>
          <w:p>
            <w:pPr>
              <w:spacing w:after="0"/>
              <w:rPr>
                <w:sz w:val="1"/>
                <w:szCs w:val="1"/>
                <w:color w:val="auto"/>
              </w:rPr>
            </w:pPr>
          </w:p>
        </w:tc>
      </w:tr>
      <w:tr>
        <w:trPr>
          <w:trHeight w:val="146"/>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Distributions in excess of income from, and investments in,</w:t>
            </w:r>
          </w:p>
        </w:tc>
        <w:tc>
          <w:tcPr>
            <w:tcW w:w="160" w:type="dxa"/>
            <w:vAlign w:val="bottom"/>
          </w:tcPr>
          <w:p>
            <w:pPr>
              <w:spacing w:after="0"/>
              <w:rPr>
                <w:sz w:val="12"/>
                <w:szCs w:val="12"/>
                <w:color w:val="auto"/>
              </w:rPr>
            </w:pPr>
          </w:p>
        </w:tc>
        <w:tc>
          <w:tcPr>
            <w:tcW w:w="1120" w:type="dxa"/>
            <w:vAlign w:val="bottom"/>
            <w:tcBorders>
              <w:right w:val="single" w:sz="8" w:color="9BDA44"/>
            </w:tcBorders>
          </w:tcPr>
          <w:p>
            <w:pPr>
              <w:spacing w:after="0"/>
              <w:rPr>
                <w:sz w:val="12"/>
                <w:szCs w:val="12"/>
                <w:color w:val="auto"/>
              </w:rPr>
            </w:pPr>
          </w:p>
        </w:tc>
        <w:tc>
          <w:tcPr>
            <w:tcW w:w="1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40" w:type="dxa"/>
            <w:vAlign w:val="bottom"/>
            <w:vMerge w:val="restart"/>
          </w:tcPr>
          <w:p>
            <w:pPr>
              <w:jc w:val="right"/>
              <w:ind w:right="102"/>
              <w:spacing w:after="0"/>
              <w:rPr>
                <w:sz w:val="20"/>
                <w:szCs w:val="20"/>
                <w:color w:val="auto"/>
              </w:rPr>
            </w:pPr>
            <w:r>
              <w:rPr>
                <w:rFonts w:ascii="Arial" w:cs="Arial" w:eastAsia="Arial" w:hAnsi="Arial"/>
                <w:sz w:val="12"/>
                <w:szCs w:val="12"/>
                <w:color w:val="auto"/>
                <w:w w:val="89"/>
              </w:rPr>
              <w:t>$</w:t>
            </w:r>
          </w:p>
        </w:tc>
        <w:tc>
          <w:tcPr>
            <w:tcW w:w="680" w:type="dxa"/>
            <w:vAlign w:val="bottom"/>
            <w:vMerge w:val="restart"/>
          </w:tcPr>
          <w:p>
            <w:pPr>
              <w:jc w:val="right"/>
              <w:ind w:right="42"/>
              <w:spacing w:after="0"/>
              <w:rPr>
                <w:sz w:val="20"/>
                <w:szCs w:val="20"/>
                <w:color w:val="auto"/>
              </w:rPr>
            </w:pPr>
            <w:r>
              <w:rPr>
                <w:rFonts w:ascii="Arial" w:cs="Arial" w:eastAsia="Arial" w:hAnsi="Arial"/>
                <w:sz w:val="12"/>
                <w:szCs w:val="12"/>
                <w:color w:val="auto"/>
              </w:rPr>
              <w:t>216,514</w:t>
            </w:r>
          </w:p>
        </w:tc>
        <w:tc>
          <w:tcPr>
            <w:tcW w:w="0" w:type="dxa"/>
            <w:vAlign w:val="bottom"/>
          </w:tcPr>
          <w:p>
            <w:pPr>
              <w:spacing w:after="0"/>
              <w:rPr>
                <w:sz w:val="1"/>
                <w:szCs w:val="1"/>
                <w:color w:val="auto"/>
              </w:rPr>
            </w:pPr>
          </w:p>
        </w:tc>
      </w:tr>
      <w:tr>
        <w:trPr>
          <w:trHeight w:val="178"/>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unconsolidated affiliates</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9BDA44"/>
            </w:tcBorders>
          </w:tcPr>
          <w:p>
            <w:pPr>
              <w:jc w:val="right"/>
              <w:ind w:right="82"/>
              <w:spacing w:after="0"/>
              <w:rPr>
                <w:sz w:val="20"/>
                <w:szCs w:val="20"/>
                <w:color w:val="auto"/>
              </w:rPr>
            </w:pPr>
            <w:r>
              <w:rPr>
                <w:rFonts w:ascii="Arial" w:cs="Arial" w:eastAsia="Arial" w:hAnsi="Arial"/>
                <w:sz w:val="12"/>
                <w:szCs w:val="12"/>
                <w:color w:val="auto"/>
              </w:rPr>
              <w:t>15,226</w:t>
            </w:r>
          </w:p>
        </w:tc>
        <w:tc>
          <w:tcPr>
            <w:tcW w:w="180" w:type="dxa"/>
            <w:vAlign w:val="bottom"/>
          </w:tcPr>
          <w:p>
            <w:pPr>
              <w:spacing w:after="0"/>
              <w:rPr>
                <w:sz w:val="15"/>
                <w:szCs w:val="15"/>
                <w:color w:val="auto"/>
              </w:rPr>
            </w:pPr>
          </w:p>
        </w:tc>
        <w:tc>
          <w:tcPr>
            <w:tcW w:w="4060" w:type="dxa"/>
            <w:vAlign w:val="bottom"/>
          </w:tcPr>
          <w:p>
            <w:pPr>
              <w:ind w:left="40"/>
              <w:spacing w:after="0"/>
              <w:rPr>
                <w:sz w:val="20"/>
                <w:szCs w:val="20"/>
                <w:color w:val="auto"/>
              </w:rPr>
            </w:pPr>
            <w:r>
              <w:rPr>
                <w:rFonts w:ascii="Arial" w:cs="Arial" w:eastAsia="Arial" w:hAnsi="Arial"/>
                <w:sz w:val="12"/>
                <w:szCs w:val="12"/>
                <w:color w:val="auto"/>
              </w:rPr>
              <w:t>Total</w:t>
            </w:r>
          </w:p>
        </w:tc>
        <w:tc>
          <w:tcPr>
            <w:tcW w:w="2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3980" w:type="dxa"/>
            <w:vAlign w:val="bottom"/>
            <w:tcBorders>
              <w:right w:val="single" w:sz="8" w:color="9BDA44"/>
            </w:tcBorders>
            <w:gridSpan w:val="3"/>
          </w:tcPr>
          <w:p>
            <w:pPr>
              <w:ind w:left="60"/>
              <w:spacing w:after="0"/>
              <w:rPr>
                <w:sz w:val="20"/>
                <w:szCs w:val="20"/>
                <w:color w:val="auto"/>
              </w:rPr>
            </w:pPr>
            <w:r>
              <w:rPr>
                <w:rFonts w:ascii="Arial" w:cs="Arial" w:eastAsia="Arial" w:hAnsi="Arial"/>
                <w:sz w:val="12"/>
                <w:szCs w:val="12"/>
                <w:color w:val="auto"/>
              </w:rPr>
              <w:t>Total Liabilities</w:t>
            </w:r>
          </w:p>
        </w:tc>
        <w:tc>
          <w:tcPr>
            <w:tcW w:w="160" w:type="dxa"/>
            <w:vAlign w:val="bottom"/>
          </w:tcPr>
          <w:p>
            <w:pPr>
              <w:spacing w:after="0"/>
              <w:rPr>
                <w:sz w:val="24"/>
                <w:szCs w:val="24"/>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1,774,309</w:t>
            </w:r>
          </w:p>
        </w:tc>
        <w:tc>
          <w:tcPr>
            <w:tcW w:w="1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95"/>
              </w:rPr>
              <w:t>Shareholders' equity</w:t>
            </w:r>
          </w:p>
        </w:tc>
        <w:tc>
          <w:tcPr>
            <w:tcW w:w="2920" w:type="dxa"/>
            <w:vAlign w:val="bottom"/>
            <w:tcBorders>
              <w:right w:val="single" w:sz="8" w:color="9BDA44"/>
            </w:tcBorders>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right w:val="single" w:sz="8" w:color="9BDA44"/>
            </w:tcBorders>
          </w:tcPr>
          <w:p>
            <w:pPr>
              <w:spacing w:after="0"/>
              <w:rPr>
                <w:sz w:val="17"/>
                <w:szCs w:val="17"/>
                <w:color w:val="auto"/>
              </w:rPr>
            </w:pPr>
          </w:p>
        </w:tc>
        <w:tc>
          <w:tcPr>
            <w:tcW w:w="180" w:type="dxa"/>
            <w:vAlign w:val="bottom"/>
          </w:tcPr>
          <w:p>
            <w:pPr>
              <w:spacing w:after="0"/>
              <w:rPr>
                <w:sz w:val="17"/>
                <w:szCs w:val="17"/>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Summary of accounts payable and other liabilities:</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Common shares</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82</w:t>
            </w:r>
          </w:p>
        </w:tc>
        <w:tc>
          <w:tcPr>
            <w:tcW w:w="1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Additional paid-in capital</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1,564,067</w:t>
            </w: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Lease intangibles, net</w:t>
            </w:r>
          </w:p>
        </w:tc>
        <w:tc>
          <w:tcPr>
            <w:tcW w:w="240" w:type="dxa"/>
            <w:vAlign w:val="bottom"/>
          </w:tcPr>
          <w:p>
            <w:pPr>
              <w:jc w:val="right"/>
              <w:ind w:right="10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104,273</w:t>
            </w:r>
          </w:p>
        </w:tc>
        <w:tc>
          <w:tcPr>
            <w:tcW w:w="0" w:type="dxa"/>
            <w:vAlign w:val="bottom"/>
          </w:tcPr>
          <w:p>
            <w:pPr>
              <w:spacing w:after="0"/>
              <w:rPr>
                <w:sz w:val="1"/>
                <w:szCs w:val="1"/>
                <w:color w:val="auto"/>
              </w:rPr>
            </w:pPr>
          </w:p>
        </w:tc>
      </w:tr>
      <w:tr>
        <w:trPr>
          <w:trHeight w:val="219"/>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Accumulated other comprehensive income</w:t>
            </w:r>
          </w:p>
        </w:tc>
        <w:tc>
          <w:tcPr>
            <w:tcW w:w="160" w:type="dxa"/>
            <w:vAlign w:val="bottom"/>
          </w:tcPr>
          <w:p>
            <w:pPr>
              <w:spacing w:after="0"/>
              <w:rPr>
                <w:sz w:val="19"/>
                <w:szCs w:val="19"/>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7,376</w:t>
            </w: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Accounts payable and accrued expenses</w:t>
            </w:r>
          </w:p>
        </w:tc>
        <w:tc>
          <w:tcPr>
            <w:tcW w:w="2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59,771</w:t>
            </w:r>
          </w:p>
        </w:tc>
        <w:tc>
          <w:tcPr>
            <w:tcW w:w="0" w:type="dxa"/>
            <w:vAlign w:val="bottom"/>
          </w:tcPr>
          <w:p>
            <w:pPr>
              <w:spacing w:after="0"/>
              <w:rPr>
                <w:sz w:val="1"/>
                <w:szCs w:val="1"/>
                <w:color w:val="auto"/>
              </w:rPr>
            </w:pPr>
          </w:p>
        </w:tc>
      </w:tr>
      <w:tr>
        <w:trPr>
          <w:trHeight w:val="223"/>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Distributions in excess of accumulated earnings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9BDA44"/>
            </w:tcBorders>
          </w:tcPr>
          <w:p>
            <w:pPr>
              <w:jc w:val="right"/>
              <w:ind w:right="42"/>
              <w:spacing w:after="0"/>
              <w:rPr>
                <w:sz w:val="20"/>
                <w:szCs w:val="20"/>
                <w:color w:val="auto"/>
              </w:rPr>
            </w:pPr>
            <w:r>
              <w:rPr>
                <w:rFonts w:ascii="Arial" w:cs="Arial" w:eastAsia="Arial" w:hAnsi="Arial"/>
                <w:sz w:val="12"/>
                <w:szCs w:val="12"/>
                <w:color w:val="auto"/>
              </w:rPr>
              <w:t>(46,856)</w:t>
            </w: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Deferred income</w:t>
            </w:r>
          </w:p>
        </w:tc>
        <w:tc>
          <w:tcPr>
            <w:tcW w:w="2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31,260</w:t>
            </w:r>
          </w:p>
        </w:tc>
        <w:tc>
          <w:tcPr>
            <w:tcW w:w="0" w:type="dxa"/>
            <w:vAlign w:val="bottom"/>
          </w:tcPr>
          <w:p>
            <w:pPr>
              <w:spacing w:after="0"/>
              <w:rPr>
                <w:sz w:val="1"/>
                <w:szCs w:val="1"/>
                <w:color w:val="auto"/>
              </w:rPr>
            </w:pPr>
          </w:p>
        </w:tc>
      </w:tr>
      <w:tr>
        <w:trPr>
          <w:trHeight w:val="194"/>
        </w:trPr>
        <w:tc>
          <w:tcPr>
            <w:tcW w:w="3980" w:type="dxa"/>
            <w:vAlign w:val="bottom"/>
            <w:tcBorders>
              <w:right w:val="single" w:sz="8" w:color="9BDA44"/>
            </w:tcBorders>
            <w:gridSpan w:val="3"/>
          </w:tcPr>
          <w:p>
            <w:pPr>
              <w:ind w:left="60"/>
              <w:spacing w:after="0"/>
              <w:rPr>
                <w:sz w:val="20"/>
                <w:szCs w:val="20"/>
                <w:color w:val="auto"/>
              </w:rPr>
            </w:pPr>
            <w:r>
              <w:rPr>
                <w:rFonts w:ascii="Arial" w:cs="Arial" w:eastAsia="Arial" w:hAnsi="Arial"/>
                <w:sz w:val="12"/>
                <w:szCs w:val="12"/>
                <w:color w:val="auto"/>
              </w:rPr>
              <w:t>Total Acadia shareholders' equity</w:t>
            </w:r>
          </w:p>
        </w:tc>
        <w:tc>
          <w:tcPr>
            <w:tcW w:w="160" w:type="dxa"/>
            <w:vAlign w:val="bottom"/>
          </w:tcPr>
          <w:p>
            <w:pPr>
              <w:spacing w:after="0"/>
              <w:rPr>
                <w:sz w:val="16"/>
                <w:szCs w:val="16"/>
                <w:color w:val="auto"/>
              </w:rPr>
            </w:pPr>
          </w:p>
        </w:tc>
        <w:tc>
          <w:tcPr>
            <w:tcW w:w="1120" w:type="dxa"/>
            <w:vAlign w:val="bottom"/>
            <w:tcBorders>
              <w:right w:val="single" w:sz="8" w:color="9BDA44"/>
            </w:tcBorders>
          </w:tcPr>
          <w:p>
            <w:pPr>
              <w:jc w:val="right"/>
              <w:ind w:right="82"/>
              <w:spacing w:after="0"/>
              <w:rPr>
                <w:sz w:val="20"/>
                <w:szCs w:val="20"/>
                <w:color w:val="auto"/>
              </w:rPr>
            </w:pPr>
            <w:r>
              <w:rPr>
                <w:rFonts w:ascii="Arial" w:cs="Arial" w:eastAsia="Arial" w:hAnsi="Arial"/>
                <w:sz w:val="12"/>
                <w:szCs w:val="12"/>
                <w:color w:val="auto"/>
              </w:rPr>
              <w:t>1,524,669</w:t>
            </w:r>
          </w:p>
        </w:tc>
        <w:tc>
          <w:tcPr>
            <w:tcW w:w="180" w:type="dxa"/>
            <w:vAlign w:val="bottom"/>
          </w:tcPr>
          <w:p>
            <w:pPr>
              <w:spacing w:after="0"/>
              <w:rPr>
                <w:sz w:val="16"/>
                <w:szCs w:val="16"/>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Tenant security deposits, escrow and other</w:t>
            </w:r>
          </w:p>
        </w:tc>
        <w:tc>
          <w:tcPr>
            <w:tcW w:w="24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10,412</w:t>
            </w:r>
          </w:p>
        </w:tc>
        <w:tc>
          <w:tcPr>
            <w:tcW w:w="0" w:type="dxa"/>
            <w:vAlign w:val="bottom"/>
          </w:tcPr>
          <w:p>
            <w:pPr>
              <w:spacing w:after="0"/>
              <w:rPr>
                <w:sz w:val="1"/>
                <w:szCs w:val="1"/>
                <w:color w:val="auto"/>
              </w:rPr>
            </w:pPr>
          </w:p>
        </w:tc>
      </w:tr>
      <w:tr>
        <w:trPr>
          <w:trHeight w:val="223"/>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Noncontrolling interests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9BDA44"/>
            </w:tcBorders>
          </w:tcPr>
          <w:p>
            <w:pPr>
              <w:jc w:val="right"/>
              <w:ind w:right="82"/>
              <w:spacing w:after="0"/>
              <w:rPr>
                <w:sz w:val="20"/>
                <w:szCs w:val="20"/>
                <w:color w:val="auto"/>
              </w:rPr>
            </w:pPr>
            <w:r>
              <w:rPr>
                <w:rFonts w:ascii="Arial" w:cs="Arial" w:eastAsia="Arial" w:hAnsi="Arial"/>
                <w:sz w:val="12"/>
                <w:szCs w:val="12"/>
                <w:color w:val="auto"/>
              </w:rPr>
              <w:t>639,998</w:t>
            </w:r>
          </w:p>
        </w:tc>
        <w:tc>
          <w:tcPr>
            <w:tcW w:w="1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Derivative financial instruments</w:t>
            </w:r>
          </w:p>
        </w:tc>
        <w:tc>
          <w:tcPr>
            <w:tcW w:w="2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1,238</w:t>
            </w:r>
          </w:p>
        </w:tc>
        <w:tc>
          <w:tcPr>
            <w:tcW w:w="0" w:type="dxa"/>
            <w:vAlign w:val="bottom"/>
          </w:tcPr>
          <w:p>
            <w:pPr>
              <w:spacing w:after="0"/>
              <w:rPr>
                <w:sz w:val="1"/>
                <w:szCs w:val="1"/>
                <w:color w:val="auto"/>
              </w:rPr>
            </w:pPr>
          </w:p>
        </w:tc>
      </w:tr>
      <w:tr>
        <w:trPr>
          <w:trHeight w:val="194"/>
        </w:trPr>
        <w:tc>
          <w:tcPr>
            <w:tcW w:w="3980" w:type="dxa"/>
            <w:vAlign w:val="bottom"/>
            <w:tcBorders>
              <w:right w:val="single" w:sz="8" w:color="9BDA44"/>
            </w:tcBorders>
            <w:gridSpan w:val="3"/>
          </w:tcPr>
          <w:p>
            <w:pPr>
              <w:ind w:left="60"/>
              <w:spacing w:after="0"/>
              <w:rPr>
                <w:sz w:val="20"/>
                <w:szCs w:val="20"/>
                <w:color w:val="auto"/>
              </w:rPr>
            </w:pPr>
            <w:r>
              <w:rPr>
                <w:rFonts w:ascii="Arial" w:cs="Arial" w:eastAsia="Arial" w:hAnsi="Arial"/>
                <w:sz w:val="12"/>
                <w:szCs w:val="12"/>
                <w:color w:val="auto"/>
              </w:rPr>
              <w:t>Total Shareholders' Equity</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9BDA44"/>
            </w:tcBorders>
          </w:tcPr>
          <w:p>
            <w:pPr>
              <w:jc w:val="right"/>
              <w:ind w:right="82"/>
              <w:spacing w:after="0"/>
              <w:rPr>
                <w:sz w:val="20"/>
                <w:szCs w:val="20"/>
                <w:color w:val="auto"/>
              </w:rPr>
            </w:pPr>
            <w:r>
              <w:rPr>
                <w:rFonts w:ascii="Arial" w:cs="Arial" w:eastAsia="Arial" w:hAnsi="Arial"/>
                <w:sz w:val="12"/>
                <w:szCs w:val="12"/>
                <w:color w:val="auto"/>
              </w:rPr>
              <w:t>2,164,667</w:t>
            </w:r>
          </w:p>
        </w:tc>
        <w:tc>
          <w:tcPr>
            <w:tcW w:w="180" w:type="dxa"/>
            <w:vAlign w:val="bottom"/>
          </w:tcPr>
          <w:p>
            <w:pPr>
              <w:spacing w:after="0"/>
              <w:rPr>
                <w:sz w:val="16"/>
                <w:szCs w:val="16"/>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Income taxes payable</w:t>
            </w:r>
          </w:p>
        </w:tc>
        <w:tc>
          <w:tcPr>
            <w:tcW w:w="24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575</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20" w:type="dxa"/>
            <w:vAlign w:val="bottom"/>
            <w:tcBorders>
              <w:right w:val="single" w:sz="8" w:color="9BDA44"/>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right w:val="single" w:sz="8" w:color="9BDA44"/>
            </w:tcBorders>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Other</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1,561</w:t>
            </w:r>
          </w:p>
        </w:tc>
        <w:tc>
          <w:tcPr>
            <w:tcW w:w="0" w:type="dxa"/>
            <w:vAlign w:val="bottom"/>
          </w:tcPr>
          <w:p>
            <w:pPr>
              <w:spacing w:after="0"/>
              <w:rPr>
                <w:sz w:val="1"/>
                <w:szCs w:val="1"/>
                <w:color w:val="auto"/>
              </w:rPr>
            </w:pPr>
          </w:p>
        </w:tc>
      </w:tr>
      <w:tr>
        <w:trPr>
          <w:trHeight w:val="197"/>
        </w:trPr>
        <w:tc>
          <w:tcPr>
            <w:tcW w:w="3980" w:type="dxa"/>
            <w:vAlign w:val="bottom"/>
            <w:tcBorders>
              <w:right w:val="single" w:sz="8" w:color="9BDA44"/>
            </w:tcBorders>
            <w:gridSpan w:val="3"/>
          </w:tcPr>
          <w:p>
            <w:pPr>
              <w:spacing w:after="0"/>
              <w:rPr>
                <w:sz w:val="20"/>
                <w:szCs w:val="20"/>
                <w:color w:val="auto"/>
              </w:rPr>
            </w:pPr>
            <w:r>
              <w:rPr>
                <w:rFonts w:ascii="Arial" w:cs="Arial" w:eastAsia="Arial" w:hAnsi="Arial"/>
                <w:sz w:val="12"/>
                <w:szCs w:val="12"/>
                <w:b w:val="1"/>
                <w:bCs w:val="1"/>
                <w:color w:val="auto"/>
              </w:rPr>
              <w:t>Total Liabilities and Shareholders' Equity</w:t>
            </w: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right w:val="single" w:sz="8" w:color="9BDA44"/>
            </w:tcBorders>
          </w:tcPr>
          <w:p>
            <w:pPr>
              <w:jc w:val="right"/>
              <w:ind w:right="82"/>
              <w:spacing w:after="0"/>
              <w:rPr>
                <w:sz w:val="20"/>
                <w:szCs w:val="20"/>
                <w:color w:val="auto"/>
              </w:rPr>
            </w:pPr>
            <w:r>
              <w:rPr>
                <w:rFonts w:ascii="Arial" w:cs="Arial" w:eastAsia="Arial" w:hAnsi="Arial"/>
                <w:sz w:val="12"/>
                <w:szCs w:val="12"/>
                <w:color w:val="auto"/>
              </w:rPr>
              <w:t>3,938,976</w:t>
            </w:r>
          </w:p>
        </w:tc>
        <w:tc>
          <w:tcPr>
            <w:tcW w:w="180" w:type="dxa"/>
            <w:vAlign w:val="bottom"/>
          </w:tcPr>
          <w:p>
            <w:pPr>
              <w:spacing w:after="0"/>
              <w:rPr>
                <w:sz w:val="17"/>
                <w:szCs w:val="17"/>
                <w:color w:val="auto"/>
              </w:rPr>
            </w:pPr>
          </w:p>
        </w:tc>
        <w:tc>
          <w:tcPr>
            <w:tcW w:w="4060" w:type="dxa"/>
            <w:vAlign w:val="bottom"/>
          </w:tcPr>
          <w:p>
            <w:pPr>
              <w:ind w:left="40"/>
              <w:spacing w:after="0"/>
              <w:rPr>
                <w:sz w:val="20"/>
                <w:szCs w:val="20"/>
                <w:color w:val="auto"/>
              </w:rPr>
            </w:pPr>
            <w:r>
              <w:rPr>
                <w:rFonts w:ascii="Arial" w:cs="Arial" w:eastAsia="Arial" w:hAnsi="Arial"/>
                <w:sz w:val="12"/>
                <w:szCs w:val="12"/>
                <w:color w:val="auto"/>
              </w:rPr>
              <w:t>Total</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209,090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20" w:type="dxa"/>
            <w:vAlign w:val="bottom"/>
            <w:tcBorders>
              <w:right w:val="single" w:sz="8" w:color="9BDA44"/>
            </w:tcBorders>
          </w:tcPr>
          <w:p>
            <w:pPr>
              <w:spacing w:after="0"/>
              <w:rPr>
                <w:sz w:val="13"/>
                <w:szCs w:val="13"/>
                <w:color w:val="auto"/>
              </w:rPr>
            </w:pPr>
          </w:p>
        </w:tc>
        <w:tc>
          <w:tcPr>
            <w:tcW w:w="160" w:type="dxa"/>
            <w:vAlign w:val="bottom"/>
            <w:tcBorders>
              <w:bottom w:val="single" w:sz="8" w:color="9BDA44"/>
            </w:tcBorders>
          </w:tcPr>
          <w:p>
            <w:pPr>
              <w:spacing w:after="0"/>
              <w:rPr>
                <w:sz w:val="13"/>
                <w:szCs w:val="13"/>
                <w:color w:val="auto"/>
              </w:rPr>
            </w:pPr>
          </w:p>
        </w:tc>
        <w:tc>
          <w:tcPr>
            <w:tcW w:w="1120" w:type="dxa"/>
            <w:vAlign w:val="bottom"/>
            <w:tcBorders>
              <w:bottom w:val="single" w:sz="8" w:color="9BDA44"/>
              <w:right w:val="single" w:sz="8" w:color="9BDA44"/>
            </w:tcBorders>
          </w:tcPr>
          <w:p>
            <w:pPr>
              <w:spacing w:after="0"/>
              <w:rPr>
                <w:sz w:val="13"/>
                <w:szCs w:val="13"/>
                <w:color w:val="auto"/>
              </w:rPr>
            </w:pPr>
          </w:p>
        </w:tc>
        <w:tc>
          <w:tcPr>
            <w:tcW w:w="1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6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00" w:type="dxa"/>
            <w:vAlign w:val="bottom"/>
          </w:tcPr>
          <w:p>
            <w:pPr>
              <w:jc w:val="right"/>
              <w:spacing w:after="0"/>
              <w:rPr>
                <w:sz w:val="20"/>
                <w:szCs w:val="20"/>
                <w:color w:val="auto"/>
              </w:rPr>
            </w:pPr>
            <w:r>
              <w:rPr>
                <w:rFonts w:ascii="Arial" w:cs="Arial" w:eastAsia="Arial" w:hAnsi="Arial"/>
                <w:sz w:val="12"/>
                <w:szCs w:val="12"/>
                <w:color w:val="auto"/>
              </w:rPr>
              <w:t>8</w:t>
            </w:r>
          </w:p>
        </w:tc>
      </w:tr>
    </w:tbl>
    <w:p>
      <w:pPr>
        <w:sectPr>
          <w:pgSz w:w="11900" w:h="16838" w:orient="portrait"/>
          <w:cols w:equalWidth="0" w:num="1">
            <w:col w:w="10800"/>
          </w:cols>
          <w:pgMar w:left="380" w:top="617" w:right="71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 xml:space="preserve">Pro-Rata Balance Sheet Adjustments </w:t>
      </w:r>
      <w:r>
        <w:rPr>
          <w:rFonts w:ascii="Arial" w:cs="Arial" w:eastAsia="Arial" w:hAnsi="Arial"/>
          <w:sz w:val="23"/>
          <w:szCs w:val="23"/>
          <w:b w:val="1"/>
          <w:bCs w:val="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727265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780" w:type="dxa"/>
            <w:vAlign w:val="bottom"/>
            <w:tcBorders>
              <w:right w:val="single" w:sz="8" w:color="9BDA44"/>
            </w:tcBorders>
          </w:tcPr>
          <w:p>
            <w:pPr>
              <w:spacing w:after="0"/>
              <w:rPr>
                <w:sz w:val="13"/>
                <w:szCs w:val="13"/>
                <w:color w:val="auto"/>
              </w:rPr>
            </w:pPr>
          </w:p>
        </w:tc>
        <w:tc>
          <w:tcPr>
            <w:tcW w:w="100" w:type="dxa"/>
            <w:vAlign w:val="bottom"/>
            <w:tcBorders>
              <w:top w:val="single" w:sz="8" w:color="9BDA44"/>
            </w:tcBorders>
          </w:tcPr>
          <w:p>
            <w:pPr>
              <w:spacing w:after="0"/>
              <w:rPr>
                <w:sz w:val="13"/>
                <w:szCs w:val="13"/>
                <w:color w:val="auto"/>
              </w:rPr>
            </w:pPr>
          </w:p>
        </w:tc>
        <w:tc>
          <w:tcPr>
            <w:tcW w:w="120" w:type="dxa"/>
            <w:vAlign w:val="bottom"/>
            <w:tcBorders>
              <w:top w:val="single" w:sz="8" w:color="9BDA44"/>
            </w:tcBorders>
          </w:tcPr>
          <w:p>
            <w:pPr>
              <w:spacing w:after="0"/>
              <w:rPr>
                <w:sz w:val="13"/>
                <w:szCs w:val="13"/>
                <w:color w:val="auto"/>
              </w:rPr>
            </w:pPr>
          </w:p>
        </w:tc>
        <w:tc>
          <w:tcPr>
            <w:tcW w:w="1140" w:type="dxa"/>
            <w:vAlign w:val="bottom"/>
            <w:tcBorders>
              <w:top w:val="single" w:sz="8" w:color="9BDA44"/>
            </w:tcBorders>
            <w:gridSpan w:val="2"/>
          </w:tcPr>
          <w:p>
            <w:pPr>
              <w:jc w:val="center"/>
              <w:ind w:right="220"/>
              <w:spacing w:after="0"/>
              <w:rPr>
                <w:sz w:val="20"/>
                <w:szCs w:val="20"/>
                <w:color w:val="auto"/>
              </w:rPr>
            </w:pPr>
            <w:r>
              <w:rPr>
                <w:rFonts w:ascii="Arial" w:cs="Arial" w:eastAsia="Arial" w:hAnsi="Arial"/>
                <w:sz w:val="12"/>
                <w:szCs w:val="12"/>
                <w:b w:val="1"/>
                <w:bCs w:val="1"/>
                <w:color w:val="auto"/>
                <w:w w:val="98"/>
              </w:rPr>
              <w:t>Noncontrolling</w:t>
            </w:r>
          </w:p>
        </w:tc>
        <w:tc>
          <w:tcPr>
            <w:tcW w:w="140" w:type="dxa"/>
            <w:vAlign w:val="bottom"/>
            <w:tcBorders>
              <w:top w:val="single" w:sz="8" w:color="9BDA44"/>
            </w:tcBorders>
          </w:tcPr>
          <w:p>
            <w:pPr>
              <w:spacing w:after="0"/>
              <w:rPr>
                <w:sz w:val="13"/>
                <w:szCs w:val="13"/>
                <w:color w:val="auto"/>
              </w:rPr>
            </w:pPr>
          </w:p>
        </w:tc>
        <w:tc>
          <w:tcPr>
            <w:tcW w:w="1000" w:type="dxa"/>
            <w:vAlign w:val="bottom"/>
            <w:tcBorders>
              <w:top w:val="single" w:sz="8" w:color="9BDA44"/>
            </w:tcBorders>
          </w:tcPr>
          <w:p>
            <w:pPr>
              <w:spacing w:after="0"/>
              <w:rPr>
                <w:sz w:val="13"/>
                <w:szCs w:val="13"/>
                <w:color w:val="auto"/>
              </w:rPr>
            </w:pPr>
          </w:p>
        </w:tc>
        <w:tc>
          <w:tcPr>
            <w:tcW w:w="120" w:type="dxa"/>
            <w:vAlign w:val="bottom"/>
            <w:tcBorders>
              <w:top w:val="single" w:sz="8" w:color="9BDA44"/>
              <w:right w:val="single" w:sz="8" w:color="9BDA44"/>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780" w:type="dxa"/>
            <w:vAlign w:val="bottom"/>
            <w:tcBorders>
              <w:right w:val="single" w:sz="8" w:color="9BDA44"/>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97"/>
              </w:rPr>
              <w:t>Interest in</w:t>
            </w:r>
          </w:p>
        </w:tc>
        <w:tc>
          <w:tcPr>
            <w:tcW w:w="1260" w:type="dxa"/>
            <w:vAlign w:val="bottom"/>
            <w:tcBorders>
              <w:right w:val="single" w:sz="8" w:color="9BDA44"/>
            </w:tcBorders>
            <w:gridSpan w:val="3"/>
          </w:tcPr>
          <w:p>
            <w:pPr>
              <w:ind w:left="40"/>
              <w:spacing w:after="0" w:line="132" w:lineRule="exact"/>
              <w:rPr>
                <w:sz w:val="20"/>
                <w:szCs w:val="20"/>
                <w:color w:val="auto"/>
              </w:rPr>
            </w:pPr>
            <w:r>
              <w:rPr>
                <w:rFonts w:ascii="Arial" w:cs="Arial" w:eastAsia="Arial" w:hAnsi="Arial"/>
                <w:sz w:val="12"/>
                <w:szCs w:val="12"/>
                <w:b w:val="1"/>
                <w:bCs w:val="1"/>
                <w:color w:val="auto"/>
              </w:rPr>
              <w:t>Company’s Interest</w:t>
            </w:r>
          </w:p>
        </w:tc>
        <w:tc>
          <w:tcPr>
            <w:tcW w:w="0" w:type="dxa"/>
            <w:vAlign w:val="bottom"/>
          </w:tcPr>
          <w:p>
            <w:pPr>
              <w:spacing w:after="0"/>
              <w:rPr>
                <w:sz w:val="1"/>
                <w:szCs w:val="1"/>
                <w:color w:val="auto"/>
              </w:rPr>
            </w:pPr>
          </w:p>
        </w:tc>
      </w:tr>
      <w:tr>
        <w:trPr>
          <w:trHeight w:val="131"/>
        </w:trPr>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780" w:type="dxa"/>
            <w:vAlign w:val="bottom"/>
            <w:tcBorders>
              <w:right w:val="single" w:sz="8" w:color="9BDA44"/>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7"/>
              </w:rPr>
              <w:t>Consolidated</w:t>
            </w:r>
          </w:p>
        </w:tc>
        <w:tc>
          <w:tcPr>
            <w:tcW w:w="1260" w:type="dxa"/>
            <w:vAlign w:val="bottom"/>
            <w:tcBorders>
              <w:right w:val="single" w:sz="8" w:color="9BDA44"/>
            </w:tcBorders>
            <w:gridSpan w:val="3"/>
          </w:tcPr>
          <w:p>
            <w:pPr>
              <w:jc w:val="center"/>
              <w:ind w:right="120"/>
              <w:spacing w:after="0" w:line="132" w:lineRule="exact"/>
              <w:rPr>
                <w:sz w:val="20"/>
                <w:szCs w:val="20"/>
                <w:color w:val="auto"/>
              </w:rPr>
            </w:pPr>
            <w:r>
              <w:rPr>
                <w:rFonts w:ascii="Arial" w:cs="Arial" w:eastAsia="Arial" w:hAnsi="Arial"/>
                <w:sz w:val="12"/>
                <w:szCs w:val="12"/>
                <w:b w:val="1"/>
                <w:bCs w:val="1"/>
                <w:color w:val="auto"/>
                <w:w w:val="98"/>
              </w:rPr>
              <w:t>in Unconsolidated</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780" w:type="dxa"/>
            <w:vAlign w:val="bottom"/>
            <w:tcBorders>
              <w:right w:val="single" w:sz="8" w:color="9BDA44"/>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 xml:space="preserve">Subsidiaries </w:t>
            </w:r>
            <w:r>
              <w:rPr>
                <w:rFonts w:ascii="Arial" w:cs="Arial" w:eastAsia="Arial" w:hAnsi="Arial"/>
                <w:sz w:val="14"/>
                <w:szCs w:val="14"/>
                <w:b w:val="1"/>
                <w:bCs w:val="1"/>
                <w:color w:val="auto"/>
                <w:w w:val="95"/>
                <w:vertAlign w:val="superscript"/>
              </w:rPr>
              <w:t>4</w:t>
            </w:r>
          </w:p>
        </w:tc>
        <w:tc>
          <w:tcPr>
            <w:tcW w:w="140" w:type="dxa"/>
            <w:vAlign w:val="bottom"/>
          </w:tcPr>
          <w:p>
            <w:pPr>
              <w:spacing w:after="0"/>
              <w:rPr>
                <w:sz w:val="14"/>
                <w:szCs w:val="14"/>
                <w:color w:val="auto"/>
              </w:rPr>
            </w:pPr>
          </w:p>
        </w:tc>
        <w:tc>
          <w:tcPr>
            <w:tcW w:w="1120" w:type="dxa"/>
            <w:vAlign w:val="bottom"/>
            <w:tcBorders>
              <w:right w:val="single" w:sz="8" w:color="9BDA44"/>
            </w:tcBorders>
            <w:gridSpan w:val="2"/>
          </w:tcPr>
          <w:p>
            <w:pPr>
              <w:jc w:val="center"/>
              <w:ind w:right="260"/>
              <w:spacing w:after="0"/>
              <w:rPr>
                <w:sz w:val="20"/>
                <w:szCs w:val="20"/>
                <w:color w:val="auto"/>
              </w:rPr>
            </w:pPr>
            <w:r>
              <w:rPr>
                <w:rFonts w:ascii="Arial" w:cs="Arial" w:eastAsia="Arial" w:hAnsi="Arial"/>
                <w:sz w:val="12"/>
                <w:szCs w:val="12"/>
                <w:b w:val="1"/>
                <w:bCs w:val="1"/>
                <w:color w:val="auto"/>
                <w:w w:val="97"/>
              </w:rPr>
              <w:t xml:space="preserve">Subsidiaries </w:t>
            </w:r>
            <w:r>
              <w:rPr>
                <w:rFonts w:ascii="Arial" w:cs="Arial" w:eastAsia="Arial" w:hAnsi="Arial"/>
                <w:sz w:val="14"/>
                <w:szCs w:val="14"/>
                <w:b w:val="1"/>
                <w:bCs w:val="1"/>
                <w:color w:val="auto"/>
                <w:w w:val="97"/>
                <w:vertAlign w:val="superscript"/>
              </w:rPr>
              <w:t>5</w:t>
            </w:r>
          </w:p>
        </w:tc>
        <w:tc>
          <w:tcPr>
            <w:tcW w:w="0" w:type="dxa"/>
            <w:vAlign w:val="bottom"/>
          </w:tcPr>
          <w:p>
            <w:pPr>
              <w:spacing w:after="0"/>
              <w:rPr>
                <w:sz w:val="1"/>
                <w:szCs w:val="1"/>
                <w:color w:val="auto"/>
              </w:rPr>
            </w:pPr>
          </w:p>
        </w:tc>
      </w:tr>
      <w:tr>
        <w:trPr>
          <w:trHeight w:val="200"/>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b w:val="1"/>
                <w:bCs w:val="1"/>
                <w:color w:val="auto"/>
              </w:rPr>
              <w:t>ASSETS</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right w:val="single" w:sz="8" w:color="9BDA44"/>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5"/>
              </w:rPr>
              <w:t>Real estate</w:t>
            </w:r>
          </w:p>
        </w:tc>
        <w:tc>
          <w:tcPr>
            <w:tcW w:w="8240" w:type="dxa"/>
            <w:vAlign w:val="bottom"/>
            <w:tcBorders>
              <w:right w:val="single" w:sz="8" w:color="9BDA44"/>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Borders>
              <w:right w:val="single" w:sz="8" w:color="9BDA44"/>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Land</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(157,895)</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85,950</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Buildings and improvements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(836,395)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355,253</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Construction in progress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(12,177)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241</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Properties under capital lease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780" w:type="dxa"/>
            <w:vAlign w:val="bottom"/>
            <w:tcBorders>
              <w:right w:val="single" w:sz="8" w:color="9BDA44"/>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(1,006,467)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441,444</w:t>
            </w:r>
          </w:p>
        </w:tc>
        <w:tc>
          <w:tcPr>
            <w:tcW w:w="120" w:type="dxa"/>
            <w:vAlign w:val="bottom"/>
            <w:tcBorders>
              <w:right w:val="single" w:sz="8" w:color="9BDA44"/>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Less: accumulated depreciation</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43,651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(58,003)</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Operating real estate, net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(962,816)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383,441</w:t>
            </w:r>
          </w:p>
        </w:tc>
        <w:tc>
          <w:tcPr>
            <w:tcW w:w="120" w:type="dxa"/>
            <w:vAlign w:val="bottom"/>
            <w:tcBorders>
              <w:right w:val="single" w:sz="8" w:color="9BDA44"/>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Real estate under development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(118,843)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5,309</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840" w:type="dxa"/>
            <w:vAlign w:val="bottom"/>
            <w:tcBorders>
              <w:right w:val="single" w:sz="8" w:color="9BDA44"/>
            </w:tcBorders>
            <w:gridSpan w:val="3"/>
          </w:tcPr>
          <w:p>
            <w:pPr>
              <w:ind w:left="80"/>
              <w:spacing w:after="0"/>
              <w:rPr>
                <w:sz w:val="20"/>
                <w:szCs w:val="20"/>
                <w:color w:val="auto"/>
              </w:rPr>
            </w:pPr>
            <w:r>
              <w:rPr>
                <w:rFonts w:ascii="Arial" w:cs="Arial" w:eastAsia="Arial" w:hAnsi="Arial"/>
                <w:sz w:val="12"/>
                <w:szCs w:val="12"/>
                <w:color w:val="auto"/>
              </w:rPr>
              <w:t>Net investments in real estate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(1,081,659)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388,750</w:t>
            </w:r>
          </w:p>
        </w:tc>
        <w:tc>
          <w:tcPr>
            <w:tcW w:w="120" w:type="dxa"/>
            <w:vAlign w:val="bottom"/>
            <w:tcBorders>
              <w:right w:val="single" w:sz="8" w:color="9BDA44"/>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Notes receivable, net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(39,272)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Investments in and advances to unconsolidated affiliates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(56,218)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(253,799)</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Other assets, net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(41,003)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30,535</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Cash and cash equivalents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(25,280)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6,816</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Straight-line rents receivable, net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(10,434)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5,123</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Rents receivable, net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(2,668)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2,352</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Restricted cash</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(9,432)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939</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Assets of properties held for sale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(18,034)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8840" w:type="dxa"/>
            <w:vAlign w:val="bottom"/>
            <w:tcBorders>
              <w:right w:val="single" w:sz="8" w:color="9BDA44"/>
            </w:tcBorders>
            <w:gridSpan w:val="3"/>
            <w:vMerge w:val="restart"/>
          </w:tcPr>
          <w:p>
            <w:pPr>
              <w:spacing w:after="0"/>
              <w:rPr>
                <w:sz w:val="20"/>
                <w:szCs w:val="20"/>
                <w:color w:val="auto"/>
              </w:rPr>
            </w:pPr>
            <w:r>
              <w:rPr>
                <w:rFonts w:ascii="Arial" w:cs="Arial" w:eastAsia="Arial" w:hAnsi="Arial"/>
                <w:sz w:val="12"/>
                <w:szCs w:val="12"/>
                <w:b w:val="1"/>
                <w:bCs w:val="1"/>
                <w:color w:val="auto"/>
              </w:rPr>
              <w:t>Total Assets</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right w:val="single" w:sz="8" w:color="9BDA44"/>
            </w:tcBorders>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8840" w:type="dxa"/>
            <w:vAlign w:val="bottom"/>
            <w:tcBorders>
              <w:right w:val="single" w:sz="8" w:color="9BDA44"/>
            </w:tcBorders>
            <w:gridSpan w:val="3"/>
            <w:vMerge w:val="continue"/>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(1,284,000)</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180,716</w:t>
            </w:r>
          </w:p>
        </w:tc>
        <w:tc>
          <w:tcPr>
            <w:tcW w:w="12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40" w:type="dxa"/>
            <w:vAlign w:val="bottom"/>
            <w:tcBorders>
              <w:right w:val="single" w:sz="8" w:color="9BDA44"/>
            </w:tcBorders>
            <w:gridSpan w:val="3"/>
            <w:vMerge w:val="restart"/>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9BDA4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40" w:type="dxa"/>
            <w:vAlign w:val="bottom"/>
            <w:tcBorders>
              <w:right w:val="single" w:sz="8" w:color="9BDA44"/>
            </w:tcBorders>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Mortgage and other notes payable, net</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(564,655)</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162,342</w:t>
            </w:r>
          </w:p>
        </w:tc>
        <w:tc>
          <w:tcPr>
            <w:tcW w:w="12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Unsecured notes payable, net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(140,334)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Unsecured line of credit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Accounts payable and other liabilities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(71,674)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33,600</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Capital lease obligation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Dividends and distributions payable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Distributions in excess of income from, and investments in, unconsolidated affiliates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(15,226)</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8840" w:type="dxa"/>
            <w:vAlign w:val="bottom"/>
            <w:tcBorders>
              <w:right w:val="single" w:sz="8" w:color="9BDA44"/>
            </w:tcBorders>
            <w:gridSpan w:val="3"/>
          </w:tcPr>
          <w:p>
            <w:pPr>
              <w:ind w:left="80"/>
              <w:spacing w:after="0"/>
              <w:rPr>
                <w:sz w:val="20"/>
                <w:szCs w:val="20"/>
                <w:color w:val="auto"/>
              </w:rPr>
            </w:pPr>
            <w:r>
              <w:rPr>
                <w:rFonts w:ascii="Arial" w:cs="Arial" w:eastAsia="Arial" w:hAnsi="Arial"/>
                <w:sz w:val="12"/>
                <w:szCs w:val="12"/>
                <w:color w:val="auto"/>
              </w:rPr>
              <w:t>Total Liabilities</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(776,663)</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180,716</w:t>
            </w:r>
          </w:p>
        </w:tc>
        <w:tc>
          <w:tcPr>
            <w:tcW w:w="12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Shareholders' equity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Borders>
              <w:right w:val="single" w:sz="8" w:color="9BDA44"/>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Common shares</w:t>
            </w:r>
          </w:p>
        </w:tc>
        <w:tc>
          <w:tcPr>
            <w:tcW w:w="7780" w:type="dxa"/>
            <w:vAlign w:val="bottom"/>
            <w:tcBorders>
              <w:right w:val="single" w:sz="8" w:color="9BDA44"/>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Additional paid-in capital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Accumulated other comprehensive income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Distributions in excess of accumulated earnings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840" w:type="dxa"/>
            <w:vAlign w:val="bottom"/>
            <w:tcBorders>
              <w:right w:val="single" w:sz="8" w:color="9BDA44"/>
            </w:tcBorders>
            <w:gridSpan w:val="3"/>
          </w:tcPr>
          <w:p>
            <w:pPr>
              <w:ind w:left="80"/>
              <w:spacing w:after="0"/>
              <w:rPr>
                <w:sz w:val="20"/>
                <w:szCs w:val="20"/>
                <w:color w:val="auto"/>
              </w:rPr>
            </w:pPr>
            <w:r>
              <w:rPr>
                <w:rFonts w:ascii="Arial" w:cs="Arial" w:eastAsia="Arial" w:hAnsi="Arial"/>
                <w:sz w:val="12"/>
                <w:szCs w:val="12"/>
                <w:color w:val="auto"/>
              </w:rPr>
              <w:t>Total Acadia shareholders' 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1120" w:type="dxa"/>
            <w:vAlign w:val="bottom"/>
            <w:tcBorders>
              <w:right w:val="single" w:sz="8" w:color="9BDA44"/>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color w:val="auto"/>
              </w:rPr>
              <w:t>Noncontrolling interests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(507,337)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840" w:type="dxa"/>
            <w:vAlign w:val="bottom"/>
            <w:tcBorders>
              <w:right w:val="single" w:sz="8" w:color="9BDA44"/>
            </w:tcBorders>
            <w:gridSpan w:val="3"/>
          </w:tcPr>
          <w:p>
            <w:pPr>
              <w:ind w:left="80"/>
              <w:spacing w:after="0"/>
              <w:rPr>
                <w:sz w:val="20"/>
                <w:szCs w:val="20"/>
                <w:color w:val="auto"/>
              </w:rPr>
            </w:pPr>
            <w:r>
              <w:rPr>
                <w:rFonts w:ascii="Arial" w:cs="Arial" w:eastAsia="Arial" w:hAnsi="Arial"/>
                <w:sz w:val="12"/>
                <w:szCs w:val="12"/>
                <w:color w:val="auto"/>
              </w:rPr>
              <w:t>Total Shareholders' Equity</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(507,337)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9BDA44"/>
            </w:tcBorders>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8840" w:type="dxa"/>
            <w:vAlign w:val="bottom"/>
            <w:tcBorders>
              <w:right w:val="single" w:sz="8" w:color="9BDA44"/>
            </w:tcBorders>
            <w:gridSpan w:val="3"/>
          </w:tcPr>
          <w:p>
            <w:pPr>
              <w:spacing w:after="0"/>
              <w:rPr>
                <w:sz w:val="20"/>
                <w:szCs w:val="20"/>
                <w:color w:val="auto"/>
              </w:rPr>
            </w:pPr>
            <w:r>
              <w:rPr>
                <w:rFonts w:ascii="Arial" w:cs="Arial" w:eastAsia="Arial" w:hAnsi="Arial"/>
                <w:sz w:val="12"/>
                <w:szCs w:val="12"/>
                <w:b w:val="1"/>
                <w:bCs w:val="1"/>
                <w:color w:val="auto"/>
              </w:rPr>
              <w:t>Total Liabilities and Shareholders' Equity</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(1,284,000)</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180,716</w:t>
            </w:r>
          </w:p>
        </w:tc>
        <w:tc>
          <w:tcPr>
            <w:tcW w:w="12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780" w:type="dxa"/>
            <w:vAlign w:val="bottom"/>
            <w:tcBorders>
              <w:right w:val="single" w:sz="8" w:color="9BDA44"/>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9BDA4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780" w:type="dxa"/>
            <w:vAlign w:val="bottom"/>
            <w:tcBorders>
              <w:right w:val="single" w:sz="8" w:color="9BDA44"/>
            </w:tcBorders>
          </w:tcPr>
          <w:p>
            <w:pPr>
              <w:spacing w:after="0"/>
              <w:rPr>
                <w:sz w:val="7"/>
                <w:szCs w:val="7"/>
                <w:color w:val="auto"/>
              </w:rPr>
            </w:pPr>
          </w:p>
        </w:tc>
        <w:tc>
          <w:tcPr>
            <w:tcW w:w="100" w:type="dxa"/>
            <w:vAlign w:val="bottom"/>
            <w:tcBorders>
              <w:bottom w:val="single" w:sz="8" w:color="9BDA44"/>
            </w:tcBorders>
          </w:tcPr>
          <w:p>
            <w:pPr>
              <w:spacing w:after="0"/>
              <w:rPr>
                <w:sz w:val="7"/>
                <w:szCs w:val="7"/>
                <w:color w:val="auto"/>
              </w:rPr>
            </w:pPr>
          </w:p>
        </w:tc>
        <w:tc>
          <w:tcPr>
            <w:tcW w:w="120" w:type="dxa"/>
            <w:vAlign w:val="bottom"/>
            <w:tcBorders>
              <w:bottom w:val="single" w:sz="8" w:color="9BDA44"/>
            </w:tcBorders>
          </w:tcPr>
          <w:p>
            <w:pPr>
              <w:spacing w:after="0"/>
              <w:rPr>
                <w:sz w:val="7"/>
                <w:szCs w:val="7"/>
                <w:color w:val="auto"/>
              </w:rPr>
            </w:pPr>
          </w:p>
        </w:tc>
        <w:tc>
          <w:tcPr>
            <w:tcW w:w="1040" w:type="dxa"/>
            <w:vAlign w:val="bottom"/>
            <w:tcBorders>
              <w:bottom w:val="single" w:sz="8" w:color="9BDA44"/>
            </w:tcBorders>
          </w:tcPr>
          <w:p>
            <w:pPr>
              <w:spacing w:after="0"/>
              <w:rPr>
                <w:sz w:val="7"/>
                <w:szCs w:val="7"/>
                <w:color w:val="auto"/>
              </w:rPr>
            </w:pPr>
          </w:p>
        </w:tc>
        <w:tc>
          <w:tcPr>
            <w:tcW w:w="100" w:type="dxa"/>
            <w:vAlign w:val="bottom"/>
            <w:tcBorders>
              <w:bottom w:val="single" w:sz="8" w:color="9BDA44"/>
            </w:tcBorders>
          </w:tcPr>
          <w:p>
            <w:pPr>
              <w:spacing w:after="0"/>
              <w:rPr>
                <w:sz w:val="7"/>
                <w:szCs w:val="7"/>
                <w:color w:val="auto"/>
              </w:rPr>
            </w:pPr>
          </w:p>
        </w:tc>
        <w:tc>
          <w:tcPr>
            <w:tcW w:w="140" w:type="dxa"/>
            <w:vAlign w:val="bottom"/>
            <w:tcBorders>
              <w:bottom w:val="single" w:sz="8" w:color="9BDA44"/>
            </w:tcBorders>
          </w:tcPr>
          <w:p>
            <w:pPr>
              <w:spacing w:after="0"/>
              <w:rPr>
                <w:sz w:val="7"/>
                <w:szCs w:val="7"/>
                <w:color w:val="auto"/>
              </w:rPr>
            </w:pPr>
          </w:p>
        </w:tc>
        <w:tc>
          <w:tcPr>
            <w:tcW w:w="1000" w:type="dxa"/>
            <w:vAlign w:val="bottom"/>
            <w:tcBorders>
              <w:bottom w:val="single" w:sz="8" w:color="9BDA44"/>
            </w:tcBorders>
          </w:tcPr>
          <w:p>
            <w:pPr>
              <w:spacing w:after="0"/>
              <w:rPr>
                <w:sz w:val="7"/>
                <w:szCs w:val="7"/>
                <w:color w:val="auto"/>
              </w:rPr>
            </w:pPr>
          </w:p>
        </w:tc>
        <w:tc>
          <w:tcPr>
            <w:tcW w:w="120" w:type="dxa"/>
            <w:vAlign w:val="bottom"/>
            <w:tcBorders>
              <w:bottom w:val="single" w:sz="8" w:color="9BDA44"/>
              <w:right w:val="single" w:sz="8" w:color="9BDA44"/>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tbl>
      <w:tblPr>
        <w:tblLayout w:type="fixed"/>
        <w:tblInd w:w="140" w:type="dxa"/>
        <w:tblCellMar>
          <w:top w:w="0" w:type="dxa"/>
          <w:left w:w="0" w:type="dxa"/>
          <w:bottom w:w="0" w:type="dxa"/>
          <w:right w:w="0" w:type="dxa"/>
        </w:tblCellMar>
      </w:tblPr>
      <w:tr>
        <w:trPr>
          <w:trHeight w:val="191"/>
        </w:trPr>
        <w:tc>
          <w:tcPr>
            <w:tcW w:w="406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00" w:type="dxa"/>
            <w:vAlign w:val="bottom"/>
          </w:tcPr>
          <w:p>
            <w:pPr>
              <w:jc w:val="right"/>
              <w:spacing w:after="0"/>
              <w:rPr>
                <w:sz w:val="20"/>
                <w:szCs w:val="20"/>
                <w:color w:val="auto"/>
              </w:rPr>
            </w:pPr>
            <w:r>
              <w:rPr>
                <w:rFonts w:ascii="Arial" w:cs="Arial" w:eastAsia="Arial" w:hAnsi="Arial"/>
                <w:sz w:val="12"/>
                <w:szCs w:val="12"/>
                <w:color w:val="auto"/>
              </w:rPr>
              <w:t>9</w:t>
            </w:r>
          </w:p>
        </w:tc>
      </w:tr>
    </w:tbl>
    <w:p>
      <w:pPr>
        <w:sectPr>
          <w:pgSz w:w="11900" w:h="16838" w:orient="portrait"/>
          <w:cols w:equalWidth="0" w:num="1">
            <w:col w:w="11460"/>
          </w:cols>
          <w:pgMar w:left="240" w:top="617" w:right="199" w:bottom="1440" w:gutter="0" w:footer="0" w:header="0"/>
        </w:sectPr>
      </w:pPr>
    </w:p>
    <w:bookmarkStart w:id="21" w:name="page22"/>
    <w:bookmarkEnd w:id="21"/>
    <w:p>
      <w:pPr>
        <w:spacing w:after="0"/>
        <w:rPr>
          <w:sz w:val="20"/>
          <w:szCs w:val="20"/>
          <w:color w:val="auto"/>
        </w:rPr>
      </w:pPr>
      <w:r>
        <w:rPr>
          <w:rFonts w:ascii="Arial" w:cs="Arial" w:eastAsia="Arial" w:hAnsi="Arial"/>
          <w:sz w:val="15"/>
          <w:szCs w:val="15"/>
          <w:color w:val="auto"/>
        </w:rPr>
        <w:t>__________</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Notes to income statements, balance sheet and pro rata adjustments:</w:t>
      </w:r>
    </w:p>
    <w:p>
      <w:pPr>
        <w:spacing w:after="0" w:line="117" w:lineRule="exact"/>
        <w:rPr>
          <w:sz w:val="20"/>
          <w:szCs w:val="20"/>
          <w:color w:val="auto"/>
        </w:rPr>
      </w:pPr>
    </w:p>
    <w:p>
      <w:pPr>
        <w:ind w:left="540" w:hanging="270"/>
        <w:spacing w:after="0"/>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Quarterly results are unaudited, although they reflect all adjustments, which in the opinion of management are necessary for a fair presentation of operating results for the interim periods.</w:t>
      </w:r>
    </w:p>
    <w:p>
      <w:pPr>
        <w:ind w:left="540" w:hanging="270"/>
        <w:spacing w:after="0" w:line="228"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Net of capitalized interest of $1.5 million for the quarterly period.</w:t>
      </w:r>
    </w:p>
    <w:p>
      <w:pPr>
        <w:ind w:left="540" w:hanging="270"/>
        <w:spacing w:after="0" w:line="228"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Consists of development, construction, leasing and legal fees.</w:t>
      </w:r>
    </w:p>
    <w:p>
      <w:pPr>
        <w:ind w:left="540" w:hanging="270"/>
        <w:spacing w:after="0" w:line="228"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Noncontrolling interests represent limited partners’ interests in consolidated partnerships’ activities.</w:t>
      </w:r>
    </w:p>
    <w:p>
      <w:pPr>
        <w:ind w:left="540" w:hanging="270"/>
        <w:spacing w:after="0"/>
        <w:tabs>
          <w:tab w:leader="none" w:pos="540" w:val="left"/>
        </w:tabs>
        <w:numPr>
          <w:ilvl w:val="0"/>
          <w:numId w:val="5"/>
        </w:numPr>
        <w:rPr>
          <w:rFonts w:ascii="Arial" w:cs="Arial" w:eastAsia="Arial" w:hAnsi="Arial"/>
          <w:sz w:val="10"/>
          <w:szCs w:val="10"/>
          <w:color w:val="auto"/>
        </w:rPr>
      </w:pPr>
      <w:r>
        <w:rPr>
          <w:rFonts w:ascii="Arial" w:cs="Arial" w:eastAsia="Arial" w:hAnsi="Arial"/>
          <w:sz w:val="10"/>
          <w:szCs w:val="10"/>
          <w:color w:val="auto"/>
        </w:rPr>
        <w:t>Represents the Company’s share of co-investment partnerships’ activities, of which each are included on a single line presentation in the Company’s consolidated financial statements in accordance with GAAP.</w:t>
      </w:r>
    </w:p>
    <w:p>
      <w:pPr>
        <w:spacing w:after="0" w:line="16" w:lineRule="exact"/>
        <w:rPr>
          <w:rFonts w:ascii="Arial" w:cs="Arial" w:eastAsia="Arial" w:hAnsi="Arial"/>
          <w:sz w:val="10"/>
          <w:szCs w:val="10"/>
          <w:color w:val="auto"/>
        </w:rPr>
      </w:pPr>
    </w:p>
    <w:p>
      <w:pPr>
        <w:ind w:left="540" w:hanging="270"/>
        <w:spacing w:after="0" w:line="228"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Adjustment to noncontrolling interests exclude income allocable to Operating Partnership Units of $0.5 million for the quarter ended March 31, 2018.</w:t>
      </w:r>
    </w:p>
    <w:p>
      <w:pPr>
        <w:ind w:left="540" w:hanging="270"/>
        <w:spacing w:after="0"/>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 currently invests in Funds II, III, IV &amp; V and Mervyns II which are consolidated within the Company's financial statements.</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10</w:t>
            </w:r>
          </w:p>
        </w:tc>
      </w:tr>
    </w:tbl>
    <w:p>
      <w:pPr>
        <w:sectPr>
          <w:pgSz w:w="11900" w:h="16838" w:orient="portrait"/>
          <w:cols w:equalWidth="0" w:num="1">
            <w:col w:w="11300"/>
          </w:cols>
          <w:pgMar w:left="220" w:top="632" w:right="379" w:bottom="1440" w:gutter="0" w:footer="0" w:header="0"/>
        </w:sectPr>
      </w:pPr>
    </w:p>
    <w:bookmarkStart w:id="22" w:name="page23"/>
    <w:bookmarkEnd w:id="22"/>
    <w:p>
      <w:pPr>
        <w:ind w:left="340"/>
        <w:spacing w:after="0"/>
        <w:rPr>
          <w:sz w:val="20"/>
          <w:szCs w:val="20"/>
          <w:color w:val="auto"/>
        </w:rPr>
      </w:pPr>
      <w:r>
        <w:rPr>
          <w:rFonts w:ascii="Arial" w:cs="Arial" w:eastAsia="Arial" w:hAnsi="Arial"/>
          <w:sz w:val="20"/>
          <w:szCs w:val="20"/>
          <w:b w:val="1"/>
          <w:bCs w:val="1"/>
          <w:color w:val="auto"/>
        </w:rPr>
        <w:t xml:space="preserve">Funds from Operations ("FFO")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14605</wp:posOffset>
            </wp:positionV>
            <wp:extent cx="688403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4035" cy="6985"/>
                    </a:xfrm>
                    <a:prstGeom prst="rect">
                      <a:avLst/>
                    </a:prstGeom>
                    <a:noFill/>
                  </pic:spPr>
                </pic:pic>
              </a:graphicData>
            </a:graphic>
          </wp:anchor>
        </w:drawing>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thousands)</w:t>
      </w:r>
    </w:p>
    <w:p>
      <w:pPr>
        <w:spacing w:after="0" w:line="92"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2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320" w:type="dxa"/>
            <w:vAlign w:val="bottom"/>
            <w:tcBorders>
              <w:top w:val="single" w:sz="8" w:color="9BDA44"/>
            </w:tcBorders>
            <w:gridSpan w:val="3"/>
          </w:tcPr>
          <w:p>
            <w:pPr>
              <w:ind w:left="100"/>
              <w:spacing w:after="0"/>
              <w:rPr>
                <w:sz w:val="20"/>
                <w:szCs w:val="20"/>
                <w:color w:val="auto"/>
              </w:rPr>
            </w:pPr>
            <w:r>
              <w:rPr>
                <w:rFonts w:ascii="Arial" w:cs="Arial" w:eastAsia="Arial" w:hAnsi="Arial"/>
                <w:sz w:val="15"/>
                <w:szCs w:val="15"/>
                <w:b w:val="1"/>
                <w:bCs w:val="1"/>
                <w:color w:val="auto"/>
              </w:rPr>
              <w:t>Quarter Ended</w:t>
            </w:r>
          </w:p>
        </w:tc>
        <w:tc>
          <w:tcPr>
            <w:tcW w:w="1200" w:type="dxa"/>
            <w:vAlign w:val="bottom"/>
            <w:tcBorders>
              <w:top w:val="single" w:sz="8" w:color="9BDA44"/>
              <w:right w:val="single" w:sz="8" w:color="9BDA44"/>
            </w:tcBorders>
            <w:gridSpan w:val="2"/>
          </w:tcPr>
          <w:p>
            <w:pPr>
              <w:ind w:left="20"/>
              <w:spacing w:after="0"/>
              <w:rPr>
                <w:sz w:val="20"/>
                <w:szCs w:val="20"/>
                <w:color w:val="auto"/>
              </w:rPr>
            </w:pPr>
            <w:r>
              <w:rPr>
                <w:rFonts w:ascii="Arial" w:cs="Arial" w:eastAsia="Arial" w:hAnsi="Arial"/>
                <w:sz w:val="15"/>
                <w:szCs w:val="15"/>
                <w:b w:val="1"/>
                <w:bCs w:val="1"/>
                <w:color w:val="auto"/>
              </w:rPr>
              <w:t>Quarter Ended</w:t>
            </w:r>
          </w:p>
        </w:tc>
        <w:tc>
          <w:tcPr>
            <w:tcW w:w="0" w:type="dxa"/>
            <w:vAlign w:val="bottom"/>
          </w:tcPr>
          <w:p>
            <w:pPr>
              <w:spacing w:after="0"/>
              <w:rPr>
                <w:sz w:val="1"/>
                <w:szCs w:val="1"/>
                <w:color w:val="auto"/>
              </w:rPr>
            </w:pPr>
          </w:p>
        </w:tc>
      </w:tr>
      <w:tr>
        <w:trPr>
          <w:trHeight w:val="231"/>
        </w:trPr>
        <w:tc>
          <w:tcPr>
            <w:tcW w:w="22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6"/>
              </w:rPr>
              <w:t>Funds from operations ("FFO"):</w:t>
            </w:r>
          </w:p>
        </w:tc>
        <w:tc>
          <w:tcPr>
            <w:tcW w:w="6020" w:type="dxa"/>
            <w:vAlign w:val="bottom"/>
            <w:gridSpan w:val="2"/>
          </w:tcPr>
          <w:p>
            <w:pPr>
              <w:spacing w:after="0"/>
              <w:rPr>
                <w:sz w:val="20"/>
                <w:szCs w:val="20"/>
                <w:color w:val="auto"/>
              </w:rPr>
            </w:pPr>
          </w:p>
        </w:tc>
        <w:tc>
          <w:tcPr>
            <w:tcW w:w="122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b w:val="1"/>
                <w:bCs w:val="1"/>
                <w:color w:val="auto"/>
              </w:rPr>
              <w:t>March 31, 2018</w:t>
            </w:r>
          </w:p>
        </w:tc>
        <w:tc>
          <w:tcPr>
            <w:tcW w:w="100" w:type="dxa"/>
            <w:vAlign w:val="bottom"/>
          </w:tcPr>
          <w:p>
            <w:pPr>
              <w:spacing w:after="0"/>
              <w:rPr>
                <w:sz w:val="20"/>
                <w:szCs w:val="20"/>
                <w:color w:val="auto"/>
              </w:rPr>
            </w:pPr>
          </w:p>
        </w:tc>
        <w:tc>
          <w:tcPr>
            <w:tcW w:w="1200" w:type="dxa"/>
            <w:vAlign w:val="bottom"/>
            <w:tcBorders>
              <w:bottom w:val="single" w:sz="8" w:color="auto"/>
              <w:right w:val="single" w:sz="8" w:color="9BDA44"/>
            </w:tcBorders>
            <w:gridSpan w:val="2"/>
          </w:tcPr>
          <w:p>
            <w:pPr>
              <w:jc w:val="right"/>
              <w:ind w:right="27"/>
              <w:spacing w:after="0"/>
              <w:rPr>
                <w:sz w:val="20"/>
                <w:szCs w:val="20"/>
                <w:color w:val="auto"/>
              </w:rPr>
            </w:pPr>
            <w:r>
              <w:rPr>
                <w:rFonts w:ascii="Arial" w:cs="Arial" w:eastAsia="Arial" w:hAnsi="Arial"/>
                <w:sz w:val="15"/>
                <w:szCs w:val="15"/>
                <w:b w:val="1"/>
                <w:bCs w:val="1"/>
                <w:color w:val="auto"/>
              </w:rPr>
              <w:t>March 31, 2017</w:t>
            </w:r>
          </w:p>
        </w:tc>
        <w:tc>
          <w:tcPr>
            <w:tcW w:w="0" w:type="dxa"/>
            <w:vAlign w:val="bottom"/>
          </w:tcPr>
          <w:p>
            <w:pPr>
              <w:spacing w:after="0"/>
              <w:rPr>
                <w:sz w:val="1"/>
                <w:szCs w:val="1"/>
                <w:color w:val="auto"/>
              </w:rPr>
            </w:pPr>
          </w:p>
        </w:tc>
      </w:tr>
      <w:tr>
        <w:trPr>
          <w:trHeight w:val="328"/>
        </w:trPr>
        <w:tc>
          <w:tcPr>
            <w:tcW w:w="8220" w:type="dxa"/>
            <w:vAlign w:val="bottom"/>
            <w:gridSpan w:val="3"/>
          </w:tcPr>
          <w:p>
            <w:pPr>
              <w:spacing w:after="0"/>
              <w:rPr>
                <w:sz w:val="20"/>
                <w:szCs w:val="20"/>
                <w:color w:val="auto"/>
              </w:rPr>
            </w:pPr>
            <w:r>
              <w:rPr>
                <w:rFonts w:ascii="Arial" w:cs="Arial" w:eastAsia="Arial" w:hAnsi="Arial"/>
                <w:sz w:val="15"/>
                <w:szCs w:val="15"/>
                <w:b w:val="1"/>
                <w:bCs w:val="1"/>
                <w:color w:val="auto"/>
              </w:rPr>
              <w:t>Net Income</w:t>
            </w:r>
          </w:p>
        </w:tc>
        <w:tc>
          <w:tcPr>
            <w:tcW w:w="380" w:type="dxa"/>
            <w:vAlign w:val="bottom"/>
          </w:tcPr>
          <w:p>
            <w:pPr>
              <w:jc w:val="right"/>
              <w:ind w:right="207"/>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47"/>
              <w:spacing w:after="0"/>
              <w:rPr>
                <w:sz w:val="20"/>
                <w:szCs w:val="20"/>
                <w:color w:val="auto"/>
              </w:rPr>
            </w:pPr>
            <w:r>
              <w:rPr>
                <w:rFonts w:ascii="Arial" w:cs="Arial" w:eastAsia="Arial" w:hAnsi="Arial"/>
                <w:sz w:val="15"/>
                <w:szCs w:val="15"/>
                <w:b w:val="1"/>
                <w:bCs w:val="1"/>
                <w:color w:val="auto"/>
              </w:rPr>
              <w:t>7,419</w:t>
            </w:r>
          </w:p>
        </w:tc>
        <w:tc>
          <w:tcPr>
            <w:tcW w:w="1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40" w:type="dxa"/>
            <w:vAlign w:val="bottom"/>
            <w:tcBorders>
              <w:right w:val="single" w:sz="8" w:color="9BDA44"/>
            </w:tcBorders>
          </w:tcPr>
          <w:p>
            <w:pPr>
              <w:jc w:val="right"/>
              <w:ind w:right="47"/>
              <w:spacing w:after="0"/>
              <w:rPr>
                <w:sz w:val="20"/>
                <w:szCs w:val="20"/>
                <w:color w:val="auto"/>
              </w:rPr>
            </w:pPr>
            <w:r>
              <w:rPr>
                <w:rFonts w:ascii="Arial" w:cs="Arial" w:eastAsia="Arial" w:hAnsi="Arial"/>
                <w:sz w:val="15"/>
                <w:szCs w:val="15"/>
                <w:b w:val="1"/>
                <w:bCs w:val="1"/>
                <w:color w:val="auto"/>
              </w:rPr>
              <w:t>15,631</w:t>
            </w:r>
          </w:p>
        </w:tc>
        <w:tc>
          <w:tcPr>
            <w:tcW w:w="0" w:type="dxa"/>
            <w:vAlign w:val="bottom"/>
          </w:tcPr>
          <w:p>
            <w:pPr>
              <w:spacing w:after="0"/>
              <w:rPr>
                <w:sz w:val="1"/>
                <w:szCs w:val="1"/>
                <w:color w:val="auto"/>
              </w:rPr>
            </w:pPr>
          </w:p>
        </w:tc>
      </w:tr>
      <w:tr>
        <w:trPr>
          <w:trHeight w:val="219"/>
        </w:trPr>
        <w:tc>
          <w:tcPr>
            <w:tcW w:w="8220" w:type="dxa"/>
            <w:vAlign w:val="bottom"/>
            <w:gridSpan w:val="3"/>
          </w:tcPr>
          <w:p>
            <w:pPr>
              <w:spacing w:after="0"/>
              <w:rPr>
                <w:sz w:val="20"/>
                <w:szCs w:val="20"/>
                <w:color w:val="auto"/>
              </w:rPr>
            </w:pPr>
            <w:r>
              <w:rPr>
                <w:rFonts w:ascii="Arial" w:cs="Arial" w:eastAsia="Arial" w:hAnsi="Arial"/>
                <w:sz w:val="15"/>
                <w:szCs w:val="15"/>
                <w:color w:val="auto"/>
              </w:rPr>
              <w:t>Add back:</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right w:val="single" w:sz="8" w:color="9BDA44"/>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220" w:type="dxa"/>
            <w:vAlign w:val="bottom"/>
            <w:gridSpan w:val="3"/>
          </w:tcPr>
          <w:p>
            <w:pPr>
              <w:spacing w:after="0"/>
              <w:rPr>
                <w:sz w:val="20"/>
                <w:szCs w:val="20"/>
                <w:color w:val="auto"/>
              </w:rPr>
            </w:pPr>
            <w:r>
              <w:rPr>
                <w:rFonts w:ascii="Arial" w:cs="Arial" w:eastAsia="Arial" w:hAnsi="Arial"/>
                <w:sz w:val="15"/>
                <w:szCs w:val="15"/>
                <w:color w:val="auto"/>
              </w:rPr>
              <w:t>Depreciation of real estate and amortization of leasing costs</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right w:val="single" w:sz="8" w:color="9BDA44"/>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220" w:type="dxa"/>
            <w:vAlign w:val="bottom"/>
            <w:gridSpan w:val="3"/>
          </w:tcPr>
          <w:p>
            <w:pPr>
              <w:spacing w:after="0"/>
              <w:rPr>
                <w:sz w:val="20"/>
                <w:szCs w:val="20"/>
                <w:color w:val="auto"/>
              </w:rPr>
            </w:pPr>
            <w:r>
              <w:rPr>
                <w:rFonts w:ascii="Arial" w:cs="Arial" w:eastAsia="Arial" w:hAnsi="Arial"/>
                <w:sz w:val="15"/>
                <w:szCs w:val="15"/>
                <w:color w:val="auto"/>
              </w:rPr>
              <w:t>(net of noncontrolling interest share)</w:t>
            </w:r>
          </w:p>
        </w:tc>
        <w:tc>
          <w:tcPr>
            <w:tcW w:w="380" w:type="dxa"/>
            <w:vAlign w:val="bottom"/>
          </w:tcPr>
          <w:p>
            <w:pPr>
              <w:spacing w:after="0"/>
              <w:rPr>
                <w:sz w:val="15"/>
                <w:szCs w:val="15"/>
                <w:color w:val="auto"/>
              </w:rPr>
            </w:pP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21,085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Borders>
              <w:right w:val="single" w:sz="8" w:color="9BDA44"/>
            </w:tcBorders>
          </w:tcPr>
          <w:p>
            <w:pPr>
              <w:jc w:val="right"/>
              <w:ind w:right="47"/>
              <w:spacing w:after="0"/>
              <w:rPr>
                <w:sz w:val="20"/>
                <w:szCs w:val="20"/>
                <w:color w:val="auto"/>
              </w:rPr>
            </w:pPr>
            <w:r>
              <w:rPr>
                <w:rFonts w:ascii="Arial" w:cs="Arial" w:eastAsia="Arial" w:hAnsi="Arial"/>
                <w:sz w:val="15"/>
                <w:szCs w:val="15"/>
                <w:color w:val="auto"/>
              </w:rPr>
              <w:t>21,533</w:t>
            </w:r>
          </w:p>
        </w:tc>
        <w:tc>
          <w:tcPr>
            <w:tcW w:w="0" w:type="dxa"/>
            <w:vAlign w:val="bottom"/>
          </w:tcPr>
          <w:p>
            <w:pPr>
              <w:spacing w:after="0"/>
              <w:rPr>
                <w:sz w:val="1"/>
                <w:szCs w:val="1"/>
                <w:color w:val="auto"/>
              </w:rPr>
            </w:pPr>
          </w:p>
        </w:tc>
      </w:tr>
      <w:tr>
        <w:trPr>
          <w:trHeight w:val="219"/>
        </w:trPr>
        <w:tc>
          <w:tcPr>
            <w:tcW w:w="8220" w:type="dxa"/>
            <w:vAlign w:val="bottom"/>
            <w:gridSpan w:val="3"/>
          </w:tcPr>
          <w:p>
            <w:pPr>
              <w:spacing w:after="0"/>
              <w:rPr>
                <w:sz w:val="20"/>
                <w:szCs w:val="20"/>
                <w:color w:val="auto"/>
              </w:rPr>
            </w:pPr>
            <w:r>
              <w:rPr>
                <w:rFonts w:ascii="Arial" w:cs="Arial" w:eastAsia="Arial" w:hAnsi="Arial"/>
                <w:sz w:val="15"/>
                <w:szCs w:val="15"/>
                <w:color w:val="auto"/>
              </w:rPr>
              <w:t>Gain on disposition of properties (net of noncontrolling interest share)</w:t>
            </w:r>
          </w:p>
        </w:tc>
        <w:tc>
          <w:tcPr>
            <w:tcW w:w="3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9"/>
                <w:szCs w:val="19"/>
                <w:color w:val="auto"/>
              </w:rPr>
            </w:pPr>
          </w:p>
        </w:tc>
        <w:tc>
          <w:tcPr>
            <w:tcW w:w="840" w:type="dxa"/>
            <w:vAlign w:val="bottom"/>
            <w:tcBorders>
              <w:right w:val="single" w:sz="8" w:color="9BDA44"/>
            </w:tcBorders>
          </w:tcPr>
          <w:p>
            <w:pPr>
              <w:jc w:val="right"/>
              <w:ind w:right="7"/>
              <w:spacing w:after="0"/>
              <w:rPr>
                <w:sz w:val="20"/>
                <w:szCs w:val="20"/>
                <w:color w:val="auto"/>
              </w:rPr>
            </w:pPr>
            <w:r>
              <w:rPr>
                <w:rFonts w:ascii="Arial" w:cs="Arial" w:eastAsia="Arial" w:hAnsi="Arial"/>
                <w:sz w:val="15"/>
                <w:szCs w:val="15"/>
                <w:color w:val="auto"/>
              </w:rPr>
              <w:t>(2,742)</w:t>
            </w:r>
          </w:p>
        </w:tc>
        <w:tc>
          <w:tcPr>
            <w:tcW w:w="0" w:type="dxa"/>
            <w:vAlign w:val="bottom"/>
          </w:tcPr>
          <w:p>
            <w:pPr>
              <w:spacing w:after="0"/>
              <w:rPr>
                <w:sz w:val="1"/>
                <w:szCs w:val="1"/>
                <w:color w:val="auto"/>
              </w:rPr>
            </w:pPr>
          </w:p>
        </w:tc>
      </w:tr>
      <w:tr>
        <w:trPr>
          <w:trHeight w:val="198"/>
        </w:trPr>
        <w:tc>
          <w:tcPr>
            <w:tcW w:w="8220" w:type="dxa"/>
            <w:vAlign w:val="bottom"/>
            <w:gridSpan w:val="3"/>
          </w:tcPr>
          <w:p>
            <w:pPr>
              <w:spacing w:after="0"/>
              <w:rPr>
                <w:sz w:val="20"/>
                <w:szCs w:val="20"/>
                <w:color w:val="auto"/>
              </w:rPr>
            </w:pPr>
            <w:r>
              <w:rPr>
                <w:rFonts w:ascii="Arial" w:cs="Arial" w:eastAsia="Arial" w:hAnsi="Arial"/>
                <w:sz w:val="15"/>
                <w:szCs w:val="15"/>
                <w:color w:val="auto"/>
              </w:rPr>
              <w:t>Income attributable to noncontrolling interests' share in</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right w:val="single" w:sz="8" w:color="9BDA44"/>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220" w:type="dxa"/>
            <w:vAlign w:val="bottom"/>
            <w:gridSpan w:val="3"/>
          </w:tcPr>
          <w:p>
            <w:pPr>
              <w:spacing w:after="0"/>
              <w:rPr>
                <w:sz w:val="20"/>
                <w:szCs w:val="20"/>
                <w:color w:val="auto"/>
              </w:rPr>
            </w:pPr>
            <w:r>
              <w:rPr>
                <w:rFonts w:ascii="Arial" w:cs="Arial" w:eastAsia="Arial" w:hAnsi="Arial"/>
                <w:sz w:val="15"/>
                <w:szCs w:val="15"/>
                <w:color w:val="auto"/>
              </w:rPr>
              <w:t>Operating Partnership</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612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9BDA44"/>
            </w:tcBorders>
          </w:tcPr>
          <w:p>
            <w:pPr>
              <w:jc w:val="right"/>
              <w:ind w:right="47"/>
              <w:spacing w:after="0"/>
              <w:rPr>
                <w:sz w:val="20"/>
                <w:szCs w:val="20"/>
                <w:color w:val="auto"/>
              </w:rPr>
            </w:pPr>
            <w:r>
              <w:rPr>
                <w:rFonts w:ascii="Arial" w:cs="Arial" w:eastAsia="Arial" w:hAnsi="Arial"/>
                <w:sz w:val="15"/>
                <w:szCs w:val="15"/>
                <w:color w:val="auto"/>
              </w:rPr>
              <w:t>1,062</w:t>
            </w:r>
          </w:p>
        </w:tc>
        <w:tc>
          <w:tcPr>
            <w:tcW w:w="0" w:type="dxa"/>
            <w:vAlign w:val="bottom"/>
          </w:tcPr>
          <w:p>
            <w:pPr>
              <w:spacing w:after="0"/>
              <w:rPr>
                <w:sz w:val="1"/>
                <w:szCs w:val="1"/>
                <w:color w:val="auto"/>
              </w:rPr>
            </w:pPr>
          </w:p>
        </w:tc>
      </w:tr>
      <w:tr>
        <w:trPr>
          <w:trHeight w:val="203"/>
        </w:trPr>
        <w:tc>
          <w:tcPr>
            <w:tcW w:w="8220" w:type="dxa"/>
            <w:vAlign w:val="bottom"/>
            <w:gridSpan w:val="3"/>
          </w:tcPr>
          <w:p>
            <w:pPr>
              <w:spacing w:after="0"/>
              <w:rPr>
                <w:sz w:val="20"/>
                <w:szCs w:val="20"/>
                <w:color w:val="auto"/>
              </w:rPr>
            </w:pPr>
            <w:r>
              <w:rPr>
                <w:rFonts w:ascii="Arial" w:cs="Arial" w:eastAsia="Arial" w:hAnsi="Arial"/>
                <w:sz w:val="15"/>
                <w:szCs w:val="15"/>
                <w:b w:val="1"/>
                <w:bCs w:val="1"/>
                <w:color w:val="auto"/>
              </w:rPr>
              <w:t>FFO to Common Shareholders and Common OP Unit holders</w:t>
            </w: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29,116</w:t>
            </w:r>
          </w:p>
        </w:tc>
        <w:tc>
          <w:tcPr>
            <w:tcW w:w="100" w:type="dxa"/>
            <w:vAlign w:val="bottom"/>
          </w:tcPr>
          <w:p>
            <w:pPr>
              <w:spacing w:after="0"/>
              <w:rPr>
                <w:sz w:val="17"/>
                <w:szCs w:val="17"/>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right w:val="single" w:sz="8" w:color="9BDA44"/>
            </w:tcBorders>
          </w:tcPr>
          <w:p>
            <w:pPr>
              <w:jc w:val="right"/>
              <w:ind w:right="47"/>
              <w:spacing w:after="0"/>
              <w:rPr>
                <w:sz w:val="20"/>
                <w:szCs w:val="20"/>
                <w:color w:val="auto"/>
              </w:rPr>
            </w:pPr>
            <w:r>
              <w:rPr>
                <w:rFonts w:ascii="Arial" w:cs="Arial" w:eastAsia="Arial" w:hAnsi="Arial"/>
                <w:sz w:val="15"/>
                <w:szCs w:val="15"/>
                <w:b w:val="1"/>
                <w:bCs w:val="1"/>
                <w:color w:val="auto"/>
              </w:rPr>
              <w:t>35,484</w:t>
            </w:r>
          </w:p>
        </w:tc>
        <w:tc>
          <w:tcPr>
            <w:tcW w:w="0" w:type="dxa"/>
            <w:vAlign w:val="bottom"/>
          </w:tcPr>
          <w:p>
            <w:pPr>
              <w:spacing w:after="0"/>
              <w:rPr>
                <w:sz w:val="1"/>
                <w:szCs w:val="1"/>
                <w:color w:val="auto"/>
              </w:rPr>
            </w:pPr>
          </w:p>
        </w:tc>
      </w:tr>
      <w:tr>
        <w:trPr>
          <w:trHeight w:val="20"/>
        </w:trPr>
        <w:tc>
          <w:tcPr>
            <w:tcW w:w="82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Adjusted Funds from operations ("AFFO"):</w:t>
            </w: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2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6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Diluted FFO</w:t>
            </w:r>
          </w:p>
        </w:tc>
        <w:tc>
          <w:tcPr>
            <w:tcW w:w="5260" w:type="dxa"/>
            <w:vAlign w:val="bottom"/>
          </w:tcPr>
          <w:p>
            <w:pPr>
              <w:spacing w:after="0"/>
              <w:rPr>
                <w:sz w:val="19"/>
                <w:szCs w:val="19"/>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29,116</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9BDA44"/>
            </w:tcBorders>
          </w:tcPr>
          <w:p>
            <w:pPr>
              <w:jc w:val="right"/>
              <w:ind w:right="47"/>
              <w:spacing w:after="0"/>
              <w:rPr>
                <w:sz w:val="20"/>
                <w:szCs w:val="20"/>
                <w:color w:val="auto"/>
              </w:rPr>
            </w:pPr>
            <w:r>
              <w:rPr>
                <w:rFonts w:ascii="Arial" w:cs="Arial" w:eastAsia="Arial" w:hAnsi="Arial"/>
                <w:sz w:val="15"/>
                <w:szCs w:val="15"/>
                <w:color w:val="auto"/>
              </w:rPr>
              <w:t>35,484</w:t>
            </w:r>
          </w:p>
        </w:tc>
        <w:tc>
          <w:tcPr>
            <w:tcW w:w="0" w:type="dxa"/>
            <w:vAlign w:val="bottom"/>
          </w:tcPr>
          <w:p>
            <w:pPr>
              <w:spacing w:after="0"/>
              <w:rPr>
                <w:sz w:val="1"/>
                <w:szCs w:val="1"/>
                <w:color w:val="auto"/>
              </w:rPr>
            </w:pPr>
          </w:p>
        </w:tc>
      </w:tr>
      <w:tr>
        <w:trPr>
          <w:trHeight w:val="219"/>
        </w:trPr>
        <w:tc>
          <w:tcPr>
            <w:tcW w:w="8220" w:type="dxa"/>
            <w:vAlign w:val="bottom"/>
            <w:gridSpan w:val="3"/>
          </w:tcPr>
          <w:p>
            <w:pPr>
              <w:spacing w:after="0"/>
              <w:rPr>
                <w:sz w:val="20"/>
                <w:szCs w:val="20"/>
                <w:color w:val="auto"/>
              </w:rPr>
            </w:pPr>
            <w:r>
              <w:rPr>
                <w:rFonts w:ascii="Arial" w:cs="Arial" w:eastAsia="Arial" w:hAnsi="Arial"/>
                <w:sz w:val="15"/>
                <w:szCs w:val="15"/>
                <w:color w:val="auto"/>
              </w:rPr>
              <w:t>Straight-line rent, net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right w:val="single" w:sz="8" w:color="9BDA44"/>
            </w:tcBorders>
          </w:tcPr>
          <w:p>
            <w:pPr>
              <w:jc w:val="right"/>
              <w:ind w:right="7"/>
              <w:spacing w:after="0"/>
              <w:rPr>
                <w:sz w:val="20"/>
                <w:szCs w:val="20"/>
                <w:color w:val="auto"/>
              </w:rPr>
            </w:pPr>
            <w:r>
              <w:rPr>
                <w:rFonts w:ascii="Arial" w:cs="Arial" w:eastAsia="Arial" w:hAnsi="Arial"/>
                <w:sz w:val="15"/>
                <w:szCs w:val="15"/>
                <w:color w:val="auto"/>
              </w:rPr>
              <w:t>(1,824)</w:t>
            </w:r>
          </w:p>
        </w:tc>
        <w:tc>
          <w:tcPr>
            <w:tcW w:w="0" w:type="dxa"/>
            <w:vAlign w:val="bottom"/>
          </w:tcPr>
          <w:p>
            <w:pPr>
              <w:spacing w:after="0"/>
              <w:rPr>
                <w:sz w:val="1"/>
                <w:szCs w:val="1"/>
                <w:color w:val="auto"/>
              </w:rPr>
            </w:pPr>
          </w:p>
        </w:tc>
      </w:tr>
      <w:tr>
        <w:trPr>
          <w:trHeight w:val="219"/>
        </w:trPr>
        <w:tc>
          <w:tcPr>
            <w:tcW w:w="8220" w:type="dxa"/>
            <w:vAlign w:val="bottom"/>
            <w:gridSpan w:val="3"/>
          </w:tcPr>
          <w:p>
            <w:pPr>
              <w:spacing w:after="0"/>
              <w:rPr>
                <w:sz w:val="20"/>
                <w:szCs w:val="20"/>
                <w:color w:val="auto"/>
              </w:rPr>
            </w:pPr>
            <w:r>
              <w:rPr>
                <w:rFonts w:ascii="Arial" w:cs="Arial" w:eastAsia="Arial" w:hAnsi="Arial"/>
                <w:sz w:val="15"/>
                <w:szCs w:val="15"/>
                <w:color w:val="auto"/>
              </w:rPr>
              <w:t>Above/(below)-market rent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right w:val="single" w:sz="8" w:color="9BDA44"/>
            </w:tcBorders>
          </w:tcPr>
          <w:p>
            <w:pPr>
              <w:jc w:val="right"/>
              <w:ind w:right="7"/>
              <w:spacing w:after="0"/>
              <w:rPr>
                <w:sz w:val="20"/>
                <w:szCs w:val="20"/>
                <w:color w:val="auto"/>
              </w:rPr>
            </w:pPr>
            <w:r>
              <w:rPr>
                <w:rFonts w:ascii="Arial" w:cs="Arial" w:eastAsia="Arial" w:hAnsi="Arial"/>
                <w:sz w:val="15"/>
                <w:szCs w:val="15"/>
                <w:color w:val="auto"/>
              </w:rPr>
              <w:t>(2,197)</w:t>
            </w:r>
          </w:p>
        </w:tc>
        <w:tc>
          <w:tcPr>
            <w:tcW w:w="0" w:type="dxa"/>
            <w:vAlign w:val="bottom"/>
          </w:tcPr>
          <w:p>
            <w:pPr>
              <w:spacing w:after="0"/>
              <w:rPr>
                <w:sz w:val="1"/>
                <w:szCs w:val="1"/>
                <w:color w:val="auto"/>
              </w:rPr>
            </w:pPr>
          </w:p>
        </w:tc>
      </w:tr>
      <w:tr>
        <w:trPr>
          <w:trHeight w:val="219"/>
        </w:trPr>
        <w:tc>
          <w:tcPr>
            <w:tcW w:w="8220" w:type="dxa"/>
            <w:vAlign w:val="bottom"/>
            <w:gridSpan w:val="3"/>
          </w:tcPr>
          <w:p>
            <w:pPr>
              <w:spacing w:after="0"/>
              <w:rPr>
                <w:sz w:val="20"/>
                <w:szCs w:val="20"/>
                <w:color w:val="auto"/>
              </w:rPr>
            </w:pPr>
            <w:r>
              <w:rPr>
                <w:rFonts w:ascii="Arial" w:cs="Arial" w:eastAsia="Arial" w:hAnsi="Arial"/>
                <w:sz w:val="15"/>
                <w:szCs w:val="15"/>
                <w:color w:val="auto"/>
              </w:rPr>
              <w:t>Amortization of finance costs</w:t>
            </w:r>
          </w:p>
        </w:tc>
        <w:tc>
          <w:tcPr>
            <w:tcW w:w="380" w:type="dxa"/>
            <w:vAlign w:val="bottom"/>
          </w:tcPr>
          <w:p>
            <w:pPr>
              <w:spacing w:after="0"/>
              <w:rPr>
                <w:sz w:val="19"/>
                <w:szCs w:val="19"/>
                <w:color w:val="auto"/>
              </w:rPr>
            </w:pP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595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right w:val="single" w:sz="8" w:color="9BDA44"/>
            </w:tcBorders>
          </w:tcPr>
          <w:p>
            <w:pPr>
              <w:jc w:val="right"/>
              <w:ind w:right="47"/>
              <w:spacing w:after="0"/>
              <w:rPr>
                <w:sz w:val="20"/>
                <w:szCs w:val="20"/>
                <w:color w:val="auto"/>
              </w:rPr>
            </w:pPr>
            <w:r>
              <w:rPr>
                <w:rFonts w:ascii="Arial" w:cs="Arial" w:eastAsia="Arial" w:hAnsi="Arial"/>
                <w:sz w:val="15"/>
                <w:szCs w:val="15"/>
                <w:color w:val="auto"/>
              </w:rPr>
              <w:t>574</w:t>
            </w:r>
          </w:p>
        </w:tc>
        <w:tc>
          <w:tcPr>
            <w:tcW w:w="0" w:type="dxa"/>
            <w:vAlign w:val="bottom"/>
          </w:tcPr>
          <w:p>
            <w:pPr>
              <w:spacing w:after="0"/>
              <w:rPr>
                <w:sz w:val="1"/>
                <w:szCs w:val="1"/>
                <w:color w:val="auto"/>
              </w:rPr>
            </w:pPr>
          </w:p>
        </w:tc>
      </w:tr>
      <w:tr>
        <w:trPr>
          <w:trHeight w:val="219"/>
        </w:trPr>
        <w:tc>
          <w:tcPr>
            <w:tcW w:w="8220" w:type="dxa"/>
            <w:vAlign w:val="bottom"/>
            <w:gridSpan w:val="3"/>
          </w:tcPr>
          <w:p>
            <w:pPr>
              <w:spacing w:after="0"/>
              <w:rPr>
                <w:sz w:val="20"/>
                <w:szCs w:val="20"/>
                <w:color w:val="auto"/>
              </w:rPr>
            </w:pPr>
            <w:r>
              <w:rPr>
                <w:rFonts w:ascii="Arial" w:cs="Arial" w:eastAsia="Arial" w:hAnsi="Arial"/>
                <w:sz w:val="15"/>
                <w:szCs w:val="15"/>
                <w:color w:val="auto"/>
              </w:rPr>
              <w:t>Above/below-market interest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right w:val="single" w:sz="8" w:color="9BDA44"/>
            </w:tcBorders>
          </w:tcPr>
          <w:p>
            <w:pPr>
              <w:jc w:val="right"/>
              <w:ind w:right="7"/>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219"/>
        </w:trPr>
        <w:tc>
          <w:tcPr>
            <w:tcW w:w="8220" w:type="dxa"/>
            <w:vAlign w:val="bottom"/>
            <w:gridSpan w:val="3"/>
          </w:tcPr>
          <w:p>
            <w:pPr>
              <w:spacing w:after="0"/>
              <w:rPr>
                <w:sz w:val="20"/>
                <w:szCs w:val="20"/>
                <w:color w:val="auto"/>
              </w:rPr>
            </w:pPr>
            <w:r>
              <w:rPr>
                <w:rFonts w:ascii="Arial" w:cs="Arial" w:eastAsia="Arial" w:hAnsi="Arial"/>
                <w:sz w:val="15"/>
                <w:szCs w:val="15"/>
                <w:color w:val="auto"/>
              </w:rPr>
              <w:t>Non-real estate depreciation</w:t>
            </w:r>
          </w:p>
        </w:tc>
        <w:tc>
          <w:tcPr>
            <w:tcW w:w="380" w:type="dxa"/>
            <w:vAlign w:val="bottom"/>
          </w:tcPr>
          <w:p>
            <w:pPr>
              <w:spacing w:after="0"/>
              <w:rPr>
                <w:sz w:val="19"/>
                <w:szCs w:val="19"/>
                <w:color w:val="auto"/>
              </w:rPr>
            </w:pP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right w:val="single" w:sz="8" w:color="9BDA44"/>
            </w:tcBorders>
          </w:tcPr>
          <w:p>
            <w:pPr>
              <w:jc w:val="right"/>
              <w:ind w:right="47"/>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219"/>
        </w:trPr>
        <w:tc>
          <w:tcPr>
            <w:tcW w:w="8220" w:type="dxa"/>
            <w:vAlign w:val="bottom"/>
            <w:gridSpan w:val="3"/>
          </w:tcPr>
          <w:p>
            <w:pPr>
              <w:spacing w:after="0"/>
              <w:rPr>
                <w:sz w:val="20"/>
                <w:szCs w:val="20"/>
                <w:color w:val="auto"/>
              </w:rPr>
            </w:pPr>
            <w:r>
              <w:rPr>
                <w:rFonts w:ascii="Arial" w:cs="Arial" w:eastAsia="Arial" w:hAnsi="Arial"/>
                <w:sz w:val="15"/>
                <w:szCs w:val="15"/>
                <w:color w:val="auto"/>
              </w:rPr>
              <w:t>Leasing commissions</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right w:val="single" w:sz="8" w:color="9BDA44"/>
            </w:tcBorders>
          </w:tcPr>
          <w:p>
            <w:pPr>
              <w:jc w:val="right"/>
              <w:ind w:right="7"/>
              <w:spacing w:after="0"/>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219"/>
        </w:trPr>
        <w:tc>
          <w:tcPr>
            <w:tcW w:w="8220" w:type="dxa"/>
            <w:vAlign w:val="bottom"/>
            <w:gridSpan w:val="3"/>
          </w:tcPr>
          <w:p>
            <w:pPr>
              <w:spacing w:after="0"/>
              <w:rPr>
                <w:sz w:val="20"/>
                <w:szCs w:val="20"/>
                <w:color w:val="auto"/>
              </w:rPr>
            </w:pPr>
            <w:r>
              <w:rPr>
                <w:rFonts w:ascii="Arial" w:cs="Arial" w:eastAsia="Arial" w:hAnsi="Arial"/>
                <w:sz w:val="15"/>
                <w:szCs w:val="15"/>
                <w:color w:val="auto"/>
              </w:rPr>
              <w:t>Tenant improvements</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right w:val="single" w:sz="8" w:color="9BDA44"/>
            </w:tcBorders>
          </w:tcPr>
          <w:p>
            <w:pPr>
              <w:jc w:val="right"/>
              <w:ind w:right="7"/>
              <w:spacing w:after="0"/>
              <w:rPr>
                <w:sz w:val="20"/>
                <w:szCs w:val="20"/>
                <w:color w:val="auto"/>
              </w:rPr>
            </w:pPr>
            <w:r>
              <w:rPr>
                <w:rFonts w:ascii="Arial" w:cs="Arial" w:eastAsia="Arial" w:hAnsi="Arial"/>
                <w:sz w:val="15"/>
                <w:szCs w:val="15"/>
                <w:color w:val="auto"/>
              </w:rPr>
              <w:t>(1,747)</w:t>
            </w:r>
          </w:p>
        </w:tc>
        <w:tc>
          <w:tcPr>
            <w:tcW w:w="0" w:type="dxa"/>
            <w:vAlign w:val="bottom"/>
          </w:tcPr>
          <w:p>
            <w:pPr>
              <w:spacing w:after="0"/>
              <w:rPr>
                <w:sz w:val="1"/>
                <w:szCs w:val="1"/>
                <w:color w:val="auto"/>
              </w:rPr>
            </w:pPr>
          </w:p>
        </w:tc>
      </w:tr>
      <w:tr>
        <w:trPr>
          <w:trHeight w:val="225"/>
        </w:trPr>
        <w:tc>
          <w:tcPr>
            <w:tcW w:w="8220" w:type="dxa"/>
            <w:vAlign w:val="bottom"/>
            <w:gridSpan w:val="3"/>
          </w:tcPr>
          <w:p>
            <w:pPr>
              <w:spacing w:after="0"/>
              <w:rPr>
                <w:sz w:val="20"/>
                <w:szCs w:val="20"/>
                <w:color w:val="auto"/>
              </w:rPr>
            </w:pPr>
            <w:r>
              <w:rPr>
                <w:rFonts w:ascii="Arial" w:cs="Arial" w:eastAsia="Arial" w:hAnsi="Arial"/>
                <w:sz w:val="15"/>
                <w:szCs w:val="15"/>
                <w:color w:val="auto"/>
              </w:rPr>
              <w:t>Capital expenditures</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9BDA44"/>
            </w:tcBorders>
          </w:tcPr>
          <w:p>
            <w:pPr>
              <w:jc w:val="right"/>
              <w:ind w:right="7"/>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3"/>
        </w:trPr>
        <w:tc>
          <w:tcPr>
            <w:tcW w:w="8220" w:type="dxa"/>
            <w:vAlign w:val="bottom"/>
            <w:gridSpan w:val="3"/>
          </w:tcPr>
          <w:p>
            <w:pPr>
              <w:spacing w:after="0"/>
              <w:rPr>
                <w:sz w:val="20"/>
                <w:szCs w:val="20"/>
                <w:color w:val="auto"/>
              </w:rPr>
            </w:pPr>
            <w:r>
              <w:rPr>
                <w:rFonts w:ascii="Arial" w:cs="Arial" w:eastAsia="Arial" w:hAnsi="Arial"/>
                <w:sz w:val="15"/>
                <w:szCs w:val="15"/>
                <w:b w:val="1"/>
                <w:bCs w:val="1"/>
                <w:color w:val="auto"/>
              </w:rPr>
              <w:t>AFFO to Common Shareholders and Common OP Unit holders</w:t>
            </w: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23,806</w:t>
            </w:r>
          </w:p>
        </w:tc>
        <w:tc>
          <w:tcPr>
            <w:tcW w:w="100" w:type="dxa"/>
            <w:vAlign w:val="bottom"/>
          </w:tcPr>
          <w:p>
            <w:pPr>
              <w:spacing w:after="0"/>
              <w:rPr>
                <w:sz w:val="17"/>
                <w:szCs w:val="17"/>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right w:val="single" w:sz="8" w:color="9BDA44"/>
            </w:tcBorders>
          </w:tcPr>
          <w:p>
            <w:pPr>
              <w:jc w:val="right"/>
              <w:ind w:right="47"/>
              <w:spacing w:after="0"/>
              <w:rPr>
                <w:sz w:val="20"/>
                <w:szCs w:val="20"/>
                <w:color w:val="auto"/>
              </w:rPr>
            </w:pPr>
            <w:r>
              <w:rPr>
                <w:rFonts w:ascii="Arial" w:cs="Arial" w:eastAsia="Arial" w:hAnsi="Arial"/>
                <w:sz w:val="15"/>
                <w:szCs w:val="15"/>
                <w:b w:val="1"/>
                <w:bCs w:val="1"/>
                <w:color w:val="auto"/>
              </w:rPr>
              <w:t>29,801</w:t>
            </w:r>
          </w:p>
        </w:tc>
        <w:tc>
          <w:tcPr>
            <w:tcW w:w="0" w:type="dxa"/>
            <w:vAlign w:val="bottom"/>
          </w:tcPr>
          <w:p>
            <w:pPr>
              <w:spacing w:after="0"/>
              <w:rPr>
                <w:sz w:val="1"/>
                <w:szCs w:val="1"/>
                <w:color w:val="auto"/>
              </w:rPr>
            </w:pPr>
          </w:p>
        </w:tc>
      </w:tr>
      <w:tr>
        <w:trPr>
          <w:trHeight w:val="20"/>
        </w:trPr>
        <w:tc>
          <w:tcPr>
            <w:tcW w:w="82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Total weighted average diluted shares and OP Units</w:t>
            </w: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8220" w:type="dxa"/>
            <w:vAlign w:val="bottom"/>
            <w:gridSpan w:val="3"/>
            <w:vMerge w:val="continue"/>
          </w:tcPr>
          <w:p>
            <w:pPr>
              <w:spacing w:after="0"/>
              <w:rPr>
                <w:sz w:val="24"/>
                <w:szCs w:val="24"/>
                <w:color w:val="auto"/>
              </w:rPr>
            </w:pPr>
          </w:p>
        </w:tc>
        <w:tc>
          <w:tcPr>
            <w:tcW w:w="380" w:type="dxa"/>
            <w:vAlign w:val="bottom"/>
            <w:tcBorders>
              <w:left w:val="single" w:sz="8" w:color="9BDA44"/>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89,067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9BDA44"/>
            </w:tcBorders>
          </w:tcPr>
          <w:p>
            <w:pPr>
              <w:jc w:val="right"/>
              <w:ind w:right="47"/>
              <w:spacing w:after="0"/>
              <w:rPr>
                <w:sz w:val="20"/>
                <w:szCs w:val="20"/>
                <w:color w:val="auto"/>
              </w:rPr>
            </w:pPr>
            <w:r>
              <w:rPr>
                <w:rFonts w:ascii="Arial" w:cs="Arial" w:eastAsia="Arial" w:hAnsi="Arial"/>
                <w:sz w:val="15"/>
                <w:szCs w:val="15"/>
                <w:color w:val="auto"/>
              </w:rPr>
              <w:t>89,024</w:t>
            </w:r>
          </w:p>
        </w:tc>
        <w:tc>
          <w:tcPr>
            <w:tcW w:w="0" w:type="dxa"/>
            <w:vAlign w:val="bottom"/>
          </w:tcPr>
          <w:p>
            <w:pPr>
              <w:spacing w:after="0"/>
              <w:rPr>
                <w:sz w:val="1"/>
                <w:szCs w:val="1"/>
                <w:color w:val="auto"/>
              </w:rPr>
            </w:pPr>
          </w:p>
        </w:tc>
      </w:tr>
      <w:tr>
        <w:trPr>
          <w:trHeight w:val="20"/>
        </w:trPr>
        <w:tc>
          <w:tcPr>
            <w:tcW w:w="82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Diluted FFO per Common share and OP Unit:</w:t>
            </w: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8220" w:type="dxa"/>
            <w:vAlign w:val="bottom"/>
            <w:gridSpan w:val="3"/>
            <w:vMerge w:val="continue"/>
          </w:tcPr>
          <w:p>
            <w:pPr>
              <w:spacing w:after="0"/>
              <w:rPr>
                <w:sz w:val="24"/>
                <w:szCs w:val="24"/>
                <w:color w:val="auto"/>
              </w:rPr>
            </w:pPr>
          </w:p>
        </w:tc>
        <w:tc>
          <w:tcPr>
            <w:tcW w:w="380" w:type="dxa"/>
            <w:vAlign w:val="bottom"/>
            <w:tcBorders>
              <w:left w:val="single" w:sz="8" w:color="9BDA44"/>
            </w:tcBorders>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Borders>
              <w:right w:val="single" w:sz="8" w:color="9BDA44"/>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20" w:type="dxa"/>
            <w:vAlign w:val="bottom"/>
            <w:gridSpan w:val="3"/>
          </w:tcPr>
          <w:p>
            <w:pPr>
              <w:spacing w:after="0"/>
              <w:rPr>
                <w:sz w:val="20"/>
                <w:szCs w:val="20"/>
                <w:color w:val="auto"/>
              </w:rPr>
            </w:pPr>
            <w:r>
              <w:rPr>
                <w:rFonts w:ascii="Arial" w:cs="Arial" w:eastAsia="Arial" w:hAnsi="Arial"/>
                <w:sz w:val="15"/>
                <w:szCs w:val="15"/>
                <w:color w:val="auto"/>
              </w:rPr>
              <w:t>FFO</w:t>
            </w:r>
          </w:p>
        </w:tc>
        <w:tc>
          <w:tcPr>
            <w:tcW w:w="380" w:type="dxa"/>
            <w:vAlign w:val="bottom"/>
            <w:tcBorders>
              <w:left w:val="single" w:sz="8" w:color="9BDA44"/>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0.33</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9BDA44"/>
            </w:tcBorders>
          </w:tcPr>
          <w:p>
            <w:pPr>
              <w:jc w:val="right"/>
              <w:ind w:right="47"/>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0</wp:posOffset>
            </wp:positionV>
            <wp:extent cx="159639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96390" cy="971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p>
    <w:p>
      <w:pPr>
        <w:spacing w:after="0" w:line="148" w:lineRule="exact"/>
        <w:rPr>
          <w:sz w:val="20"/>
          <w:szCs w:val="20"/>
          <w:color w:val="auto"/>
        </w:rPr>
      </w:pPr>
    </w:p>
    <w:p>
      <w:pPr>
        <w:ind w:left="540" w:hanging="270"/>
        <w:spacing w:after="0"/>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color w:val="auto"/>
        </w:rPr>
        <w:t>Quarterly results are unaudited, although they reflect all adjustments, which in the opinion of management are necessary for a fair presentation of operating results for the interim periods.</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11</w:t>
            </w:r>
          </w:p>
        </w:tc>
      </w:tr>
    </w:tbl>
    <w:p>
      <w:pPr>
        <w:sectPr>
          <w:pgSz w:w="11900" w:h="16838" w:orient="portrait"/>
          <w:cols w:equalWidth="0" w:num="1">
            <w:col w:w="11060"/>
          </w:cols>
          <w:pgMar w:left="220" w:top="617" w:right="61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27265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ectPr>
          <w:pgSz w:w="11900" w:h="16838" w:orient="portrait"/>
          <w:cols w:equalWidth="0" w:num="1">
            <w:col w:w="11240"/>
          </w:cols>
          <w:pgMar w:left="240" w:top="617" w:right="419" w:bottom="144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ATTRIBUTABLE TO ACADIA</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Adjustments: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Depreciation and amortization</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Amortization of finance costs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Above/below-market interest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Transaction costs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Provision for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Noncontrolling interest - OP</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4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12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Quarter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67259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2590" cy="6985"/>
                    </a:xfrm>
                    <a:prstGeom prst="rect">
                      <a:avLst/>
                    </a:prstGeom>
                    <a:noFill/>
                  </pic:spPr>
                </pic:pic>
              </a:graphicData>
            </a:graphic>
          </wp:anchor>
        </w:drawing>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Core</w:t>
      </w:r>
    </w:p>
    <w:p>
      <w:pPr>
        <w:spacing w:after="0" w:line="46" w:lineRule="exact"/>
        <w:rPr>
          <w:sz w:val="20"/>
          <w:szCs w:val="20"/>
          <w:color w:val="auto"/>
        </w:rPr>
      </w:pPr>
    </w:p>
    <w:p>
      <w:pPr>
        <w:ind w:left="120"/>
        <w:spacing w:after="0"/>
        <w:tabs>
          <w:tab w:leader="none" w:pos="1100" w:val="left"/>
          <w:tab w:leader="none" w:pos="2060" w:val="left"/>
        </w:tabs>
        <w:rPr>
          <w:sz w:val="20"/>
          <w:szCs w:val="20"/>
          <w:color w:val="auto"/>
        </w:rPr>
      </w:pPr>
      <w:r>
        <w:rPr>
          <w:rFonts w:ascii="Arial" w:cs="Arial" w:eastAsia="Arial" w:hAnsi="Arial"/>
          <w:sz w:val="15"/>
          <w:szCs w:val="15"/>
          <w:b w:val="1"/>
          <w:bCs w:val="1"/>
          <w:color w:val="auto"/>
        </w:rPr>
        <w:t>Portfolio</w:t>
      </w:r>
      <w:r>
        <w:rPr>
          <w:sz w:val="20"/>
          <w:szCs w:val="20"/>
          <w:color w:val="auto"/>
        </w:rPr>
        <w:tab/>
      </w:r>
      <w:r>
        <w:rPr>
          <w:rFonts w:ascii="Arial" w:cs="Arial" w:eastAsia="Arial" w:hAnsi="Arial"/>
          <w:sz w:val="15"/>
          <w:szCs w:val="15"/>
          <w:b w:val="1"/>
          <w:bCs w:val="1"/>
          <w:color w:val="auto"/>
        </w:rPr>
        <w:t>Funds</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679575" cy="1644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9575" cy="1644650"/>
                    </a:xfrm>
                    <a:prstGeom prst="rect">
                      <a:avLst/>
                    </a:prstGeom>
                    <a:noFill/>
                  </pic:spPr>
                </pic:pic>
              </a:graphicData>
            </a:graphic>
          </wp:anchor>
        </w:drawing>
      </w:r>
    </w:p>
    <w:p>
      <w:pPr>
        <w:spacing w:after="0" w:line="168" w:lineRule="exact"/>
        <w:rPr>
          <w:sz w:val="20"/>
          <w:szCs w:val="20"/>
          <w:color w:val="auto"/>
        </w:rPr>
      </w:pPr>
    </w:p>
    <w:p>
      <w:pPr>
        <w:ind w:left="340" w:hanging="310"/>
        <w:spacing w:after="0"/>
        <w:tabs>
          <w:tab w:leader="none" w:pos="34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8,876   $  (1,457)   $   7,419</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0" w:type="dxa"/>
            <w:vAlign w:val="bottom"/>
          </w:tcPr>
          <w:p>
            <w:pPr>
              <w:jc w:val="right"/>
              <w:ind w:right="47"/>
              <w:spacing w:after="0"/>
              <w:rPr>
                <w:sz w:val="20"/>
                <w:szCs w:val="20"/>
                <w:color w:val="auto"/>
              </w:rPr>
            </w:pPr>
            <w:r>
              <w:rPr>
                <w:rFonts w:ascii="Arial" w:cs="Arial" w:eastAsia="Arial" w:hAnsi="Arial"/>
                <w:sz w:val="15"/>
                <w:szCs w:val="15"/>
                <w:color w:val="auto"/>
              </w:rPr>
              <w:t>18,404</w:t>
            </w:r>
          </w:p>
        </w:tc>
        <w:tc>
          <w:tcPr>
            <w:tcW w:w="120" w:type="dxa"/>
            <w:vAlign w:val="bottom"/>
          </w:tcPr>
          <w:p>
            <w:pPr>
              <w:spacing w:after="0"/>
              <w:rPr>
                <w:sz w:val="15"/>
                <w:szCs w:val="15"/>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2,792</w:t>
            </w:r>
          </w:p>
        </w:tc>
        <w:tc>
          <w:tcPr>
            <w:tcW w:w="120" w:type="dxa"/>
            <w:vAlign w:val="bottom"/>
          </w:tcPr>
          <w:p>
            <w:pPr>
              <w:spacing w:after="0"/>
              <w:rPr>
                <w:sz w:val="15"/>
                <w:szCs w:val="15"/>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21,196</w:t>
            </w:r>
          </w:p>
        </w:tc>
      </w:tr>
      <w:tr>
        <w:trPr>
          <w:trHeight w:val="219"/>
        </w:trPr>
        <w:tc>
          <w:tcPr>
            <w:tcW w:w="820" w:type="dxa"/>
            <w:vAlign w:val="bottom"/>
          </w:tcPr>
          <w:p>
            <w:pPr>
              <w:jc w:val="right"/>
              <w:ind w:right="47"/>
              <w:spacing w:after="0"/>
              <w:rPr>
                <w:sz w:val="20"/>
                <w:szCs w:val="20"/>
                <w:color w:val="auto"/>
              </w:rPr>
            </w:pPr>
            <w:r>
              <w:rPr>
                <w:rFonts w:ascii="Arial" w:cs="Arial" w:eastAsia="Arial" w:hAnsi="Arial"/>
                <w:sz w:val="15"/>
                <w:szCs w:val="15"/>
                <w:color w:val="auto"/>
              </w:rPr>
              <w:t>6,321</w:t>
            </w:r>
          </w:p>
        </w:tc>
        <w:tc>
          <w:tcPr>
            <w:tcW w:w="120" w:type="dxa"/>
            <w:vAlign w:val="bottom"/>
          </w:tcPr>
          <w:p>
            <w:pPr>
              <w:spacing w:after="0"/>
              <w:rPr>
                <w:sz w:val="19"/>
                <w:szCs w:val="19"/>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2,031</w:t>
            </w:r>
          </w:p>
        </w:tc>
        <w:tc>
          <w:tcPr>
            <w:tcW w:w="120" w:type="dxa"/>
            <w:vAlign w:val="bottom"/>
          </w:tcPr>
          <w:p>
            <w:pPr>
              <w:spacing w:after="0"/>
              <w:rPr>
                <w:sz w:val="19"/>
                <w:szCs w:val="19"/>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8,352</w:t>
            </w:r>
          </w:p>
        </w:tc>
      </w:tr>
      <w:tr>
        <w:trPr>
          <w:trHeight w:val="219"/>
        </w:trPr>
        <w:tc>
          <w:tcPr>
            <w:tcW w:w="820" w:type="dxa"/>
            <w:vAlign w:val="bottom"/>
          </w:tcPr>
          <w:p>
            <w:pPr>
              <w:jc w:val="right"/>
              <w:ind w:right="47"/>
              <w:spacing w:after="0"/>
              <w:rPr>
                <w:sz w:val="20"/>
                <w:szCs w:val="20"/>
                <w:color w:val="auto"/>
              </w:rPr>
            </w:pPr>
            <w:r>
              <w:rPr>
                <w:rFonts w:ascii="Arial" w:cs="Arial" w:eastAsia="Arial" w:hAnsi="Arial"/>
                <w:sz w:val="15"/>
                <w:szCs w:val="15"/>
                <w:color w:val="auto"/>
              </w:rPr>
              <w:t>320</w:t>
            </w:r>
          </w:p>
        </w:tc>
        <w:tc>
          <w:tcPr>
            <w:tcW w:w="120" w:type="dxa"/>
            <w:vAlign w:val="bottom"/>
          </w:tcPr>
          <w:p>
            <w:pPr>
              <w:spacing w:after="0"/>
              <w:rPr>
                <w:sz w:val="19"/>
                <w:szCs w:val="19"/>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275</w:t>
            </w:r>
          </w:p>
        </w:tc>
        <w:tc>
          <w:tcPr>
            <w:tcW w:w="120" w:type="dxa"/>
            <w:vAlign w:val="bottom"/>
          </w:tcPr>
          <w:p>
            <w:pPr>
              <w:spacing w:after="0"/>
              <w:rPr>
                <w:sz w:val="19"/>
                <w:szCs w:val="19"/>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595</w:t>
            </w:r>
          </w:p>
        </w:tc>
      </w:tr>
      <w:tr>
        <w:trPr>
          <w:trHeight w:val="219"/>
        </w:trPr>
        <w:tc>
          <w:tcPr>
            <w:tcW w:w="820" w:type="dxa"/>
            <w:vAlign w:val="bottom"/>
          </w:tcPr>
          <w:p>
            <w:pPr>
              <w:jc w:val="right"/>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(47)</w:t>
            </w:r>
          </w:p>
        </w:tc>
      </w:tr>
      <w:tr>
        <w:trPr>
          <w:trHeight w:val="219"/>
        </w:trPr>
        <w:tc>
          <w:tcPr>
            <w:tcW w:w="820" w:type="dxa"/>
            <w:vAlign w:val="bottom"/>
          </w:tcPr>
          <w:p>
            <w:pPr>
              <w:jc w:val="right"/>
              <w:ind w:right="47"/>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80</w:t>
            </w:r>
          </w:p>
        </w:tc>
      </w:tr>
      <w:tr>
        <w:trPr>
          <w:trHeight w:val="219"/>
        </w:trPr>
        <w:tc>
          <w:tcPr>
            <w:tcW w:w="820" w:type="dxa"/>
            <w:vAlign w:val="bottom"/>
          </w:tcPr>
          <w:p>
            <w:pPr>
              <w:jc w:val="right"/>
              <w:ind w:right="47"/>
              <w:spacing w:after="0"/>
              <w:rPr>
                <w:sz w:val="20"/>
                <w:szCs w:val="20"/>
                <w:color w:val="auto"/>
              </w:rPr>
            </w:pPr>
            <w:r>
              <w:rPr>
                <w:rFonts w:ascii="Arial" w:cs="Arial" w:eastAsia="Arial" w:hAnsi="Arial"/>
                <w:sz w:val="15"/>
                <w:szCs w:val="15"/>
                <w:color w:val="auto"/>
              </w:rPr>
              <w:t>360</w:t>
            </w:r>
          </w:p>
        </w:tc>
        <w:tc>
          <w:tcPr>
            <w:tcW w:w="120" w:type="dxa"/>
            <w:vAlign w:val="bottom"/>
          </w:tcPr>
          <w:p>
            <w:pPr>
              <w:spacing w:after="0"/>
              <w:rPr>
                <w:sz w:val="19"/>
                <w:szCs w:val="19"/>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9"/>
                <w:szCs w:val="19"/>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369</w:t>
            </w:r>
          </w:p>
        </w:tc>
      </w:tr>
      <w:tr>
        <w:trPr>
          <w:trHeight w:val="225"/>
        </w:trPr>
        <w:tc>
          <w:tcPr>
            <w:tcW w:w="820" w:type="dxa"/>
            <w:vAlign w:val="bottom"/>
          </w:tcPr>
          <w:p>
            <w:pPr>
              <w:jc w:val="right"/>
              <w:ind w:right="47"/>
              <w:spacing w:after="0"/>
              <w:rPr>
                <w:sz w:val="20"/>
                <w:szCs w:val="20"/>
                <w:color w:val="auto"/>
              </w:rPr>
            </w:pPr>
            <w:r>
              <w:rPr>
                <w:rFonts w:ascii="Arial" w:cs="Arial" w:eastAsia="Arial" w:hAnsi="Arial"/>
                <w:sz w:val="15"/>
                <w:szCs w:val="15"/>
                <w:color w:val="auto"/>
              </w:rPr>
              <w:t>477</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477</w:t>
            </w:r>
          </w:p>
        </w:tc>
      </w:tr>
      <w:tr>
        <w:trPr>
          <w:trHeight w:val="330"/>
        </w:trPr>
        <w:tc>
          <w:tcPr>
            <w:tcW w:w="8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  34,791</w:t>
            </w:r>
          </w:p>
        </w:tc>
        <w:tc>
          <w:tcPr>
            <w:tcW w:w="12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   3,650</w:t>
            </w:r>
          </w:p>
        </w:tc>
        <w:tc>
          <w:tcPr>
            <w:tcW w:w="12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  38,441</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0"/>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right w:val="single" w:sz="8" w:color="9BDA44"/>
            </w:tcBorders>
          </w:tcPr>
          <w:p>
            <w:pPr>
              <w:spacing w:after="0"/>
              <w:rPr>
                <w:sz w:val="9"/>
                <w:szCs w:val="9"/>
                <w:color w:val="auto"/>
              </w:rPr>
            </w:pPr>
          </w:p>
        </w:tc>
        <w:tc>
          <w:tcPr>
            <w:tcW w:w="800" w:type="dxa"/>
            <w:vAlign w:val="bottom"/>
            <w:tcBorders>
              <w:bottom w:val="single" w:sz="8" w:color="9BDA44"/>
              <w:right w:val="single" w:sz="8" w:color="9BDA44"/>
            </w:tcBorders>
          </w:tcPr>
          <w:p>
            <w:pPr>
              <w:spacing w:after="0"/>
              <w:rPr>
                <w:sz w:val="9"/>
                <w:szCs w:val="9"/>
                <w:color w:val="auto"/>
              </w:rPr>
            </w:pPr>
          </w:p>
        </w:tc>
      </w:tr>
    </w:tbl>
    <w:p>
      <w:pPr>
        <w:sectPr>
          <w:pgSz w:w="11900" w:h="16838" w:orient="portrait"/>
          <w:cols w:equalWidth="0" w:num="2">
            <w:col w:w="7860" w:space="720"/>
            <w:col w:w="2660"/>
          </w:cols>
          <w:pgMar w:left="240" w:top="617" w:right="41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20"/>
          <w:szCs w:val="20"/>
          <w:b w:val="1"/>
          <w:bCs w:val="1"/>
          <w:color w:val="auto"/>
        </w:rPr>
        <w:t>Core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7265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Same Property Performance </w:t>
      </w:r>
      <w:r>
        <w:rPr>
          <w:rFonts w:ascii="Arial" w:cs="Arial" w:eastAsia="Arial" w:hAnsi="Arial"/>
          <w:sz w:val="17"/>
          <w:szCs w:val="17"/>
          <w:color w:val="auto"/>
          <w:vertAlign w:val="superscript"/>
        </w:rPr>
        <w:t>1</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 thousands)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Quarter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right"/>
              <w:ind w:right="547"/>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22"/>
        </w:trPr>
        <w:tc>
          <w:tcPr>
            <w:tcW w:w="69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5"/>
                <w:szCs w:val="15"/>
                <w:b w:val="1"/>
                <w:bCs w:val="1"/>
                <w:color w:val="auto"/>
              </w:rPr>
              <w:t>March 31, 2018</w:t>
            </w:r>
          </w:p>
        </w:tc>
        <w:tc>
          <w:tcPr>
            <w:tcW w:w="1160" w:type="dxa"/>
            <w:vAlign w:val="bottom"/>
            <w:gridSpan w:val="2"/>
          </w:tcPr>
          <w:p>
            <w:pPr>
              <w:jc w:val="right"/>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w w:val="98"/>
              </w:rPr>
              <w:t>Favorable/(Unfavorable)</w:t>
            </w:r>
          </w:p>
        </w:tc>
        <w:tc>
          <w:tcPr>
            <w:tcW w:w="0" w:type="dxa"/>
            <w:vAlign w:val="bottom"/>
          </w:tcPr>
          <w:p>
            <w:pPr>
              <w:spacing w:after="0"/>
              <w:rPr>
                <w:sz w:val="1"/>
                <w:szCs w:val="1"/>
                <w:color w:val="auto"/>
              </w:rPr>
            </w:pPr>
          </w:p>
        </w:tc>
      </w:tr>
      <w:tr>
        <w:trPr>
          <w:trHeight w:val="337"/>
        </w:trPr>
        <w:tc>
          <w:tcPr>
            <w:tcW w:w="6980" w:type="dxa"/>
            <w:vAlign w:val="bottom"/>
          </w:tcPr>
          <w:p>
            <w:pPr>
              <w:spacing w:after="0"/>
              <w:rPr>
                <w:sz w:val="20"/>
                <w:szCs w:val="20"/>
                <w:color w:val="auto"/>
              </w:rPr>
            </w:pPr>
            <w:r>
              <w:rPr>
                <w:rFonts w:ascii="Arial" w:cs="Arial" w:eastAsia="Arial" w:hAnsi="Arial"/>
                <w:sz w:val="15"/>
                <w:szCs w:val="15"/>
                <w:b w:val="1"/>
                <w:bCs w:val="1"/>
                <w:color w:val="auto"/>
              </w:rPr>
              <w:t>Summary</w:t>
            </w: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980" w:type="dxa"/>
            <w:vAlign w:val="bottom"/>
          </w:tcPr>
          <w:p>
            <w:pPr>
              <w:spacing w:after="0"/>
              <w:rPr>
                <w:sz w:val="20"/>
                <w:szCs w:val="20"/>
                <w:color w:val="auto"/>
              </w:rPr>
            </w:pPr>
            <w:r>
              <w:rPr>
                <w:rFonts w:ascii="Arial" w:cs="Arial" w:eastAsia="Arial" w:hAnsi="Arial"/>
                <w:sz w:val="15"/>
                <w:szCs w:val="15"/>
                <w:color w:val="auto"/>
              </w:rPr>
              <w:t>Minimum rents</w:t>
            </w: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87"/>
              <w:spacing w:after="0"/>
              <w:rPr>
                <w:sz w:val="20"/>
                <w:szCs w:val="20"/>
                <w:color w:val="auto"/>
              </w:rPr>
            </w:pPr>
            <w:r>
              <w:rPr>
                <w:rFonts w:ascii="Arial" w:cs="Arial" w:eastAsia="Arial" w:hAnsi="Arial"/>
                <w:sz w:val="15"/>
                <w:szCs w:val="15"/>
                <w:color w:val="auto"/>
              </w:rPr>
              <w:t>32,674</w:t>
            </w:r>
          </w:p>
        </w:tc>
        <w:tc>
          <w:tcPr>
            <w:tcW w:w="100" w:type="dxa"/>
            <w:vAlign w:val="bottom"/>
          </w:tcPr>
          <w:p>
            <w:pPr>
              <w:spacing w:after="0"/>
              <w:rPr>
                <w:sz w:val="19"/>
                <w:szCs w:val="19"/>
                <w:color w:val="auto"/>
              </w:rPr>
            </w:pPr>
          </w:p>
        </w:tc>
        <w:tc>
          <w:tcPr>
            <w:tcW w:w="52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87"/>
              <w:spacing w:after="0"/>
              <w:rPr>
                <w:sz w:val="20"/>
                <w:szCs w:val="20"/>
                <w:color w:val="auto"/>
              </w:rPr>
            </w:pPr>
            <w:r>
              <w:rPr>
                <w:rFonts w:ascii="Arial" w:cs="Arial" w:eastAsia="Arial" w:hAnsi="Arial"/>
                <w:sz w:val="15"/>
                <w:szCs w:val="15"/>
                <w:color w:val="auto"/>
              </w:rPr>
              <w:t>32,850</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19"/>
        </w:trPr>
        <w:tc>
          <w:tcPr>
            <w:tcW w:w="6980" w:type="dxa"/>
            <w:vAlign w:val="bottom"/>
          </w:tcPr>
          <w:p>
            <w:pPr>
              <w:spacing w:after="0"/>
              <w:rPr>
                <w:sz w:val="20"/>
                <w:szCs w:val="20"/>
                <w:color w:val="auto"/>
              </w:rPr>
            </w:pPr>
            <w:r>
              <w:rPr>
                <w:rFonts w:ascii="Arial" w:cs="Arial" w:eastAsia="Arial" w:hAnsi="Arial"/>
                <w:sz w:val="15"/>
                <w:szCs w:val="15"/>
                <w:color w:val="auto"/>
              </w:rPr>
              <w:t>Expense reimbursements</w:t>
            </w:r>
          </w:p>
        </w:tc>
        <w:tc>
          <w:tcPr>
            <w:tcW w:w="320" w:type="dxa"/>
            <w:vAlign w:val="bottom"/>
          </w:tcPr>
          <w:p>
            <w:pPr>
              <w:spacing w:after="0"/>
              <w:rPr>
                <w:sz w:val="19"/>
                <w:szCs w:val="19"/>
                <w:color w:val="auto"/>
              </w:rPr>
            </w:pPr>
          </w:p>
        </w:tc>
        <w:tc>
          <w:tcPr>
            <w:tcW w:w="820" w:type="dxa"/>
            <w:vAlign w:val="bottom"/>
          </w:tcPr>
          <w:p>
            <w:pPr>
              <w:jc w:val="right"/>
              <w:ind w:right="87"/>
              <w:spacing w:after="0"/>
              <w:rPr>
                <w:sz w:val="20"/>
                <w:szCs w:val="20"/>
                <w:color w:val="auto"/>
              </w:rPr>
            </w:pPr>
            <w:r>
              <w:rPr>
                <w:rFonts w:ascii="Arial" w:cs="Arial" w:eastAsia="Arial" w:hAnsi="Arial"/>
                <w:sz w:val="15"/>
                <w:szCs w:val="15"/>
                <w:color w:val="auto"/>
              </w:rPr>
              <w:t>8,912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ind w:right="87"/>
              <w:spacing w:after="0"/>
              <w:rPr>
                <w:sz w:val="20"/>
                <w:szCs w:val="20"/>
                <w:color w:val="auto"/>
              </w:rPr>
            </w:pPr>
            <w:r>
              <w:rPr>
                <w:rFonts w:ascii="Arial" w:cs="Arial" w:eastAsia="Arial" w:hAnsi="Arial"/>
                <w:sz w:val="15"/>
                <w:szCs w:val="15"/>
                <w:color w:val="auto"/>
              </w:rPr>
              <w:t>9,481</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19"/>
        </w:trPr>
        <w:tc>
          <w:tcPr>
            <w:tcW w:w="6980" w:type="dxa"/>
            <w:vAlign w:val="bottom"/>
          </w:tcPr>
          <w:p>
            <w:pPr>
              <w:spacing w:after="0"/>
              <w:rPr>
                <w:sz w:val="20"/>
                <w:szCs w:val="20"/>
                <w:color w:val="auto"/>
              </w:rPr>
            </w:pPr>
            <w:r>
              <w:rPr>
                <w:rFonts w:ascii="Arial" w:cs="Arial" w:eastAsia="Arial" w:hAnsi="Arial"/>
                <w:sz w:val="15"/>
                <w:szCs w:val="15"/>
                <w:color w:val="auto"/>
              </w:rPr>
              <w:t>Other property income</w:t>
            </w:r>
          </w:p>
        </w:tc>
        <w:tc>
          <w:tcPr>
            <w:tcW w:w="320" w:type="dxa"/>
            <w:vAlign w:val="bottom"/>
          </w:tcPr>
          <w:p>
            <w:pPr>
              <w:spacing w:after="0"/>
              <w:rPr>
                <w:sz w:val="19"/>
                <w:szCs w:val="19"/>
                <w:color w:val="auto"/>
              </w:rPr>
            </w:pPr>
          </w:p>
        </w:tc>
        <w:tc>
          <w:tcPr>
            <w:tcW w:w="820" w:type="dxa"/>
            <w:vAlign w:val="bottom"/>
          </w:tcPr>
          <w:p>
            <w:pPr>
              <w:jc w:val="right"/>
              <w:ind w:right="87"/>
              <w:spacing w:after="0"/>
              <w:rPr>
                <w:sz w:val="20"/>
                <w:szCs w:val="20"/>
                <w:color w:val="auto"/>
              </w:rPr>
            </w:pPr>
            <w:r>
              <w:rPr>
                <w:rFonts w:ascii="Arial" w:cs="Arial" w:eastAsia="Arial" w:hAnsi="Arial"/>
                <w:sz w:val="15"/>
                <w:szCs w:val="15"/>
                <w:color w:val="auto"/>
              </w:rPr>
              <w:t>343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ind w:right="87"/>
              <w:spacing w:after="0"/>
              <w:rPr>
                <w:sz w:val="20"/>
                <w:szCs w:val="20"/>
                <w:color w:val="auto"/>
              </w:rPr>
            </w:pPr>
            <w:r>
              <w:rPr>
                <w:rFonts w:ascii="Arial" w:cs="Arial" w:eastAsia="Arial" w:hAnsi="Arial"/>
                <w:sz w:val="15"/>
                <w:szCs w:val="15"/>
                <w:color w:val="auto"/>
              </w:rPr>
              <w:t>205</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67.3 %</w:t>
            </w:r>
          </w:p>
        </w:tc>
        <w:tc>
          <w:tcPr>
            <w:tcW w:w="0" w:type="dxa"/>
            <w:vAlign w:val="bottom"/>
          </w:tcPr>
          <w:p>
            <w:pPr>
              <w:spacing w:after="0"/>
              <w:rPr>
                <w:sz w:val="1"/>
                <w:szCs w:val="1"/>
                <w:color w:val="auto"/>
              </w:rPr>
            </w:pPr>
          </w:p>
        </w:tc>
      </w:tr>
      <w:tr>
        <w:trPr>
          <w:trHeight w:val="144"/>
        </w:trPr>
        <w:tc>
          <w:tcPr>
            <w:tcW w:w="69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Arial" w:cs="Arial" w:eastAsia="Arial" w:hAnsi="Arial"/>
                <w:sz w:val="15"/>
                <w:szCs w:val="15"/>
                <w:color w:val="auto"/>
              </w:rPr>
              <w:t>Total Revenue</w:t>
            </w:r>
          </w:p>
        </w:tc>
        <w:tc>
          <w:tcPr>
            <w:tcW w:w="320" w:type="dxa"/>
            <w:vAlign w:val="bottom"/>
          </w:tcPr>
          <w:p>
            <w:pPr>
              <w:spacing w:after="0"/>
              <w:rPr>
                <w:sz w:val="16"/>
                <w:szCs w:val="16"/>
                <w:color w:val="auto"/>
              </w:rPr>
            </w:pPr>
          </w:p>
        </w:tc>
        <w:tc>
          <w:tcPr>
            <w:tcW w:w="820" w:type="dxa"/>
            <w:vAlign w:val="bottom"/>
          </w:tcPr>
          <w:p>
            <w:pPr>
              <w:jc w:val="right"/>
              <w:ind w:right="87"/>
              <w:spacing w:after="0"/>
              <w:rPr>
                <w:sz w:val="20"/>
                <w:szCs w:val="20"/>
                <w:color w:val="auto"/>
              </w:rPr>
            </w:pPr>
            <w:r>
              <w:rPr>
                <w:rFonts w:ascii="Arial" w:cs="Arial" w:eastAsia="Arial" w:hAnsi="Arial"/>
                <w:sz w:val="15"/>
                <w:szCs w:val="15"/>
                <w:color w:val="auto"/>
              </w:rPr>
              <w:t>41,929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87"/>
              <w:spacing w:after="0"/>
              <w:rPr>
                <w:sz w:val="20"/>
                <w:szCs w:val="20"/>
                <w:color w:val="auto"/>
              </w:rPr>
            </w:pPr>
            <w:r>
              <w:rPr>
                <w:rFonts w:ascii="Arial" w:cs="Arial" w:eastAsia="Arial" w:hAnsi="Arial"/>
                <w:sz w:val="15"/>
                <w:szCs w:val="15"/>
                <w:color w:val="auto"/>
              </w:rPr>
              <w:t>42,536</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337"/>
        </w:trPr>
        <w:tc>
          <w:tcPr>
            <w:tcW w:w="698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980" w:type="dxa"/>
            <w:vAlign w:val="bottom"/>
          </w:tcPr>
          <w:p>
            <w:pPr>
              <w:spacing w:after="0"/>
              <w:rPr>
                <w:sz w:val="20"/>
                <w:szCs w:val="20"/>
                <w:color w:val="auto"/>
              </w:rPr>
            </w:pPr>
            <w:r>
              <w:rPr>
                <w:rFonts w:ascii="Arial" w:cs="Arial" w:eastAsia="Arial" w:hAnsi="Arial"/>
                <w:sz w:val="15"/>
                <w:szCs w:val="15"/>
                <w:color w:val="auto"/>
              </w:rPr>
              <w:t>Property operating - CAM &amp; Real estate taxes</w:t>
            </w:r>
          </w:p>
        </w:tc>
        <w:tc>
          <w:tcPr>
            <w:tcW w:w="320" w:type="dxa"/>
            <w:vAlign w:val="bottom"/>
          </w:tcPr>
          <w:p>
            <w:pPr>
              <w:spacing w:after="0"/>
              <w:rPr>
                <w:sz w:val="19"/>
                <w:szCs w:val="19"/>
                <w:color w:val="auto"/>
              </w:rPr>
            </w:pPr>
          </w:p>
        </w:tc>
        <w:tc>
          <w:tcPr>
            <w:tcW w:w="820" w:type="dxa"/>
            <w:vAlign w:val="bottom"/>
          </w:tcPr>
          <w:p>
            <w:pPr>
              <w:jc w:val="right"/>
              <w:ind w:right="87"/>
              <w:spacing w:after="0"/>
              <w:rPr>
                <w:sz w:val="20"/>
                <w:szCs w:val="20"/>
                <w:color w:val="auto"/>
              </w:rPr>
            </w:pPr>
            <w:r>
              <w:rPr>
                <w:rFonts w:ascii="Arial" w:cs="Arial" w:eastAsia="Arial" w:hAnsi="Arial"/>
                <w:sz w:val="15"/>
                <w:szCs w:val="15"/>
                <w:color w:val="auto"/>
              </w:rPr>
              <w:t>10,465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ind w:right="87"/>
              <w:spacing w:after="0"/>
              <w:rPr>
                <w:sz w:val="20"/>
                <w:szCs w:val="20"/>
                <w:color w:val="auto"/>
              </w:rPr>
            </w:pPr>
            <w:r>
              <w:rPr>
                <w:rFonts w:ascii="Arial" w:cs="Arial" w:eastAsia="Arial" w:hAnsi="Arial"/>
                <w:sz w:val="15"/>
                <w:szCs w:val="15"/>
                <w:color w:val="auto"/>
              </w:rPr>
              <w:t>10,533</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0.6 %</w:t>
            </w:r>
          </w:p>
        </w:tc>
        <w:tc>
          <w:tcPr>
            <w:tcW w:w="0" w:type="dxa"/>
            <w:vAlign w:val="bottom"/>
          </w:tcPr>
          <w:p>
            <w:pPr>
              <w:spacing w:after="0"/>
              <w:rPr>
                <w:sz w:val="1"/>
                <w:szCs w:val="1"/>
                <w:color w:val="auto"/>
              </w:rPr>
            </w:pPr>
          </w:p>
        </w:tc>
      </w:tr>
      <w:tr>
        <w:trPr>
          <w:trHeight w:val="219"/>
        </w:trPr>
        <w:tc>
          <w:tcPr>
            <w:tcW w:w="6980" w:type="dxa"/>
            <w:vAlign w:val="bottom"/>
          </w:tcPr>
          <w:p>
            <w:pPr>
              <w:spacing w:after="0"/>
              <w:rPr>
                <w:sz w:val="20"/>
                <w:szCs w:val="20"/>
                <w:color w:val="auto"/>
              </w:rPr>
            </w:pPr>
            <w:r>
              <w:rPr>
                <w:rFonts w:ascii="Arial" w:cs="Arial" w:eastAsia="Arial" w:hAnsi="Arial"/>
                <w:sz w:val="15"/>
                <w:szCs w:val="15"/>
                <w:color w:val="auto"/>
              </w:rPr>
              <w:t>Other property operating (Non-CAM)</w:t>
            </w:r>
          </w:p>
        </w:tc>
        <w:tc>
          <w:tcPr>
            <w:tcW w:w="320" w:type="dxa"/>
            <w:vAlign w:val="bottom"/>
          </w:tcPr>
          <w:p>
            <w:pPr>
              <w:spacing w:after="0"/>
              <w:rPr>
                <w:sz w:val="19"/>
                <w:szCs w:val="19"/>
                <w:color w:val="auto"/>
              </w:rPr>
            </w:pPr>
          </w:p>
        </w:tc>
        <w:tc>
          <w:tcPr>
            <w:tcW w:w="820" w:type="dxa"/>
            <w:vAlign w:val="bottom"/>
          </w:tcPr>
          <w:p>
            <w:pPr>
              <w:jc w:val="right"/>
              <w:ind w:right="87"/>
              <w:spacing w:after="0"/>
              <w:rPr>
                <w:sz w:val="20"/>
                <w:szCs w:val="20"/>
                <w:color w:val="auto"/>
              </w:rPr>
            </w:pPr>
            <w:r>
              <w:rPr>
                <w:rFonts w:ascii="Arial" w:cs="Arial" w:eastAsia="Arial" w:hAnsi="Arial"/>
                <w:sz w:val="15"/>
                <w:szCs w:val="15"/>
                <w:color w:val="auto"/>
              </w:rPr>
              <w:t>611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ind w:right="87"/>
              <w:spacing w:after="0"/>
              <w:rPr>
                <w:sz w:val="20"/>
                <w:szCs w:val="20"/>
                <w:color w:val="auto"/>
              </w:rPr>
            </w:pPr>
            <w:r>
              <w:rPr>
                <w:rFonts w:ascii="Arial" w:cs="Arial" w:eastAsia="Arial" w:hAnsi="Arial"/>
                <w:sz w:val="15"/>
                <w:szCs w:val="15"/>
                <w:color w:val="auto"/>
              </w:rPr>
              <w:t>824</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25.8 %</w:t>
            </w:r>
          </w:p>
        </w:tc>
        <w:tc>
          <w:tcPr>
            <w:tcW w:w="0" w:type="dxa"/>
            <w:vAlign w:val="bottom"/>
          </w:tcPr>
          <w:p>
            <w:pPr>
              <w:spacing w:after="0"/>
              <w:rPr>
                <w:sz w:val="1"/>
                <w:szCs w:val="1"/>
                <w:color w:val="auto"/>
              </w:rPr>
            </w:pPr>
          </w:p>
        </w:tc>
      </w:tr>
      <w:tr>
        <w:trPr>
          <w:trHeight w:val="144"/>
        </w:trPr>
        <w:tc>
          <w:tcPr>
            <w:tcW w:w="6980" w:type="dxa"/>
            <w:vAlign w:val="bottom"/>
            <w:vMerge w:val="restart"/>
          </w:tcPr>
          <w:p>
            <w:pPr>
              <w:spacing w:after="0"/>
              <w:rPr>
                <w:sz w:val="20"/>
                <w:szCs w:val="20"/>
                <w:color w:val="auto"/>
              </w:rPr>
            </w:pPr>
            <w:r>
              <w:rPr>
                <w:rFonts w:ascii="Arial" w:cs="Arial" w:eastAsia="Arial" w:hAnsi="Arial"/>
                <w:sz w:val="15"/>
                <w:szCs w:val="15"/>
                <w:b w:val="1"/>
                <w:bCs w:val="1"/>
                <w:color w:val="auto"/>
              </w:rPr>
              <w:t>Total Expenses</w:t>
            </w: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11,076</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11,357</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2.5 %</w:t>
            </w:r>
          </w:p>
        </w:tc>
        <w:tc>
          <w:tcPr>
            <w:tcW w:w="0" w:type="dxa"/>
            <w:vAlign w:val="bottom"/>
          </w:tcPr>
          <w:p>
            <w:pPr>
              <w:spacing w:after="0"/>
              <w:rPr>
                <w:sz w:val="1"/>
                <w:szCs w:val="1"/>
                <w:color w:val="auto"/>
              </w:rPr>
            </w:pPr>
          </w:p>
        </w:tc>
      </w:tr>
      <w:tr>
        <w:trPr>
          <w:trHeight w:val="334"/>
        </w:trPr>
        <w:tc>
          <w:tcPr>
            <w:tcW w:w="6980" w:type="dxa"/>
            <w:vAlign w:val="bottom"/>
          </w:tcPr>
          <w:p>
            <w:pPr>
              <w:spacing w:after="0"/>
              <w:rPr>
                <w:sz w:val="20"/>
                <w:szCs w:val="20"/>
                <w:color w:val="auto"/>
              </w:rPr>
            </w:pPr>
            <w:r>
              <w:rPr>
                <w:rFonts w:ascii="Arial" w:cs="Arial" w:eastAsia="Arial" w:hAnsi="Arial"/>
                <w:sz w:val="15"/>
                <w:szCs w:val="15"/>
                <w:color w:val="auto"/>
              </w:rPr>
              <w:t>Same Property NOI - Core properties</w:t>
            </w: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87"/>
              <w:spacing w:after="0"/>
              <w:rPr>
                <w:sz w:val="20"/>
                <w:szCs w:val="20"/>
                <w:color w:val="auto"/>
              </w:rPr>
            </w:pPr>
            <w:r>
              <w:rPr>
                <w:rFonts w:ascii="Arial" w:cs="Arial" w:eastAsia="Arial" w:hAnsi="Arial"/>
                <w:sz w:val="15"/>
                <w:szCs w:val="15"/>
                <w:color w:val="auto"/>
              </w:rPr>
              <w:t>30,853</w:t>
            </w:r>
          </w:p>
        </w:tc>
        <w:tc>
          <w:tcPr>
            <w:tcW w:w="100" w:type="dxa"/>
            <w:vAlign w:val="bottom"/>
          </w:tcPr>
          <w:p>
            <w:pPr>
              <w:spacing w:after="0"/>
              <w:rPr>
                <w:sz w:val="24"/>
                <w:szCs w:val="24"/>
                <w:color w:val="auto"/>
              </w:rPr>
            </w:pPr>
          </w:p>
        </w:tc>
        <w:tc>
          <w:tcPr>
            <w:tcW w:w="52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87"/>
              <w:spacing w:after="0"/>
              <w:rPr>
                <w:sz w:val="20"/>
                <w:szCs w:val="20"/>
                <w:color w:val="auto"/>
              </w:rPr>
            </w:pPr>
            <w:r>
              <w:rPr>
                <w:rFonts w:ascii="Arial" w:cs="Arial" w:eastAsia="Arial" w:hAnsi="Arial"/>
                <w:sz w:val="15"/>
                <w:szCs w:val="15"/>
                <w:color w:val="auto"/>
              </w:rPr>
              <w:t>31,179</w:t>
            </w:r>
          </w:p>
        </w:tc>
        <w:tc>
          <w:tcPr>
            <w:tcW w:w="1860" w:type="dxa"/>
            <w:vAlign w:val="bottom"/>
            <w:gridSpan w:val="2"/>
          </w:tcPr>
          <w:p>
            <w:pPr>
              <w:jc w:val="right"/>
              <w:spacing w:after="0"/>
              <w:rPr>
                <w:sz w:val="20"/>
                <w:szCs w:val="20"/>
                <w:color w:val="auto"/>
              </w:rPr>
            </w:pPr>
            <w:r>
              <w:rPr>
                <w:rFonts w:ascii="Arial" w:cs="Arial" w:eastAsia="Arial" w:hAnsi="Arial"/>
                <w:sz w:val="15"/>
                <w:szCs w:val="15"/>
                <w:b w:val="1"/>
                <w:bCs w:val="1"/>
                <w:color w:val="auto"/>
              </w:rPr>
              <w:t>(1.0)%</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5"/>
                <w:szCs w:val="15"/>
                <w:b w:val="1"/>
                <w:bCs w:val="1"/>
                <w:color w:val="auto"/>
              </w:rPr>
              <w:t>Reconciliation of Same Property NOI to Core NOI</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980" w:type="dxa"/>
            <w:vAlign w:val="bottom"/>
          </w:tcPr>
          <w:p>
            <w:pPr>
              <w:spacing w:after="0"/>
              <w:rPr>
                <w:sz w:val="20"/>
                <w:szCs w:val="20"/>
                <w:color w:val="auto"/>
              </w:rPr>
            </w:pPr>
            <w:r>
              <w:rPr>
                <w:rFonts w:ascii="Arial" w:cs="Arial" w:eastAsia="Arial" w:hAnsi="Arial"/>
                <w:sz w:val="15"/>
                <w:szCs w:val="15"/>
                <w:color w:val="auto"/>
              </w:rPr>
              <w:t>NOI of Properties excluded from Same Property NOI</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2,231</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1,957</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5"/>
                <w:szCs w:val="15"/>
                <w:color w:val="auto"/>
              </w:rPr>
              <w:t>Core NOI</w:t>
            </w:r>
          </w:p>
        </w:tc>
        <w:tc>
          <w:tcPr>
            <w:tcW w:w="3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33,084</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33,136</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5"/>
                <w:szCs w:val="15"/>
                <w:b w:val="1"/>
                <w:bCs w:val="1"/>
                <w:color w:val="auto"/>
              </w:rPr>
              <w:t>Other same property information</w:t>
            </w: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980" w:type="dxa"/>
            <w:vAlign w:val="bottom"/>
          </w:tcPr>
          <w:p>
            <w:pPr>
              <w:spacing w:after="0"/>
              <w:rPr>
                <w:sz w:val="20"/>
                <w:szCs w:val="20"/>
                <w:color w:val="auto"/>
              </w:rPr>
            </w:pPr>
            <w:r>
              <w:rPr>
                <w:rFonts w:ascii="Arial" w:cs="Arial" w:eastAsia="Arial" w:hAnsi="Arial"/>
                <w:sz w:val="15"/>
                <w:szCs w:val="15"/>
                <w:color w:val="auto"/>
              </w:rPr>
              <w:t>Physical Occupancy</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96.0%</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80" w:type="dxa"/>
            <w:vAlign w:val="bottom"/>
          </w:tcPr>
          <w:p>
            <w:pPr>
              <w:spacing w:after="0"/>
              <w:rPr>
                <w:sz w:val="20"/>
                <w:szCs w:val="20"/>
                <w:color w:val="auto"/>
              </w:rPr>
            </w:pPr>
            <w:r>
              <w:rPr>
                <w:rFonts w:ascii="Arial" w:cs="Arial" w:eastAsia="Arial" w:hAnsi="Arial"/>
                <w:sz w:val="15"/>
                <w:szCs w:val="15"/>
                <w:color w:val="auto"/>
              </w:rPr>
              <w:t>Leased Occupancy</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96.1%</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p>
    <w:p>
      <w:pPr>
        <w:spacing w:after="0" w:line="192" w:lineRule="exact"/>
        <w:rPr>
          <w:sz w:val="20"/>
          <w:szCs w:val="20"/>
          <w:color w:val="auto"/>
        </w:rPr>
      </w:pPr>
    </w:p>
    <w:p>
      <w:pPr>
        <w:ind w:left="540" w:hanging="270"/>
        <w:spacing w:after="0"/>
        <w:tabs>
          <w:tab w:leader="none" w:pos="5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above amounts include the pro-rata activity related to the Company's Core consolidated and unconsolidated investments.</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13</w:t>
            </w:r>
          </w:p>
        </w:tc>
      </w:tr>
    </w:tbl>
    <w:p>
      <w:pPr>
        <w:sectPr>
          <w:pgSz w:w="11900" w:h="16838" w:orient="portrait"/>
          <w:cols w:equalWidth="0" w:num="1">
            <w:col w:w="11260"/>
          </w:cols>
          <w:pgMar w:left="220" w:top="617" w:right="419" w:bottom="1440" w:gutter="0" w:footer="0" w:header="0"/>
        </w:sectPr>
      </w:pPr>
    </w:p>
    <w:bookmarkStart w:id="25" w:name="page26"/>
    <w:bookmarkEnd w:id="25"/>
    <w:p>
      <w:pPr>
        <w:ind w:left="20"/>
        <w:spacing w:after="0"/>
        <w:rPr>
          <w:sz w:val="20"/>
          <w:szCs w:val="20"/>
          <w:color w:val="auto"/>
        </w:rPr>
      </w:pPr>
      <w:r>
        <w:rPr>
          <w:rFonts w:ascii="Arial" w:cs="Arial" w:eastAsia="Arial" w:hAnsi="Arial"/>
          <w:sz w:val="20"/>
          <w:szCs w:val="20"/>
          <w:b w:val="1"/>
          <w:bCs w:val="1"/>
          <w:color w:val="auto"/>
        </w:rPr>
        <w:t>Fee Income by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7265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 thousands)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4200" w:type="dxa"/>
            <w:vAlign w:val="bottom"/>
            <w:tcBorders>
              <w:top w:val="single" w:sz="8" w:color="7ACE05"/>
              <w:left w:val="single" w:sz="8" w:color="7ACE05"/>
            </w:tcBorders>
          </w:tcPr>
          <w:p>
            <w:pPr>
              <w:spacing w:after="0"/>
              <w:rPr>
                <w:sz w:val="19"/>
                <w:szCs w:val="19"/>
                <w:color w:val="auto"/>
              </w:rPr>
            </w:pPr>
          </w:p>
        </w:tc>
        <w:tc>
          <w:tcPr>
            <w:tcW w:w="1880" w:type="dxa"/>
            <w:vAlign w:val="bottom"/>
            <w:tcBorders>
              <w:top w:val="single" w:sz="8" w:color="7ACE05"/>
            </w:tcBorders>
          </w:tcPr>
          <w:p>
            <w:pPr>
              <w:spacing w:after="0"/>
              <w:rPr>
                <w:sz w:val="19"/>
                <w:szCs w:val="19"/>
                <w:color w:val="auto"/>
              </w:rPr>
            </w:pPr>
          </w:p>
        </w:tc>
        <w:tc>
          <w:tcPr>
            <w:tcW w:w="160" w:type="dxa"/>
            <w:vAlign w:val="bottom"/>
            <w:tcBorders>
              <w:top w:val="single" w:sz="8" w:color="7ACE05"/>
            </w:tcBorders>
          </w:tcPr>
          <w:p>
            <w:pPr>
              <w:spacing w:after="0"/>
              <w:rPr>
                <w:sz w:val="19"/>
                <w:szCs w:val="19"/>
                <w:color w:val="auto"/>
              </w:rPr>
            </w:pPr>
          </w:p>
        </w:tc>
        <w:tc>
          <w:tcPr>
            <w:tcW w:w="780" w:type="dxa"/>
            <w:vAlign w:val="bottom"/>
            <w:tcBorders>
              <w:top w:val="single" w:sz="8" w:color="7ACE05"/>
            </w:tcBorders>
            <w:gridSpan w:val="2"/>
          </w:tcPr>
          <w:p>
            <w:pPr>
              <w:ind w:left="40"/>
              <w:spacing w:after="0"/>
              <w:rPr>
                <w:sz w:val="20"/>
                <w:szCs w:val="20"/>
                <w:color w:val="auto"/>
              </w:rPr>
            </w:pPr>
            <w:r>
              <w:rPr>
                <w:rFonts w:ascii="Arial" w:cs="Arial" w:eastAsia="Arial" w:hAnsi="Arial"/>
                <w:sz w:val="15"/>
                <w:szCs w:val="15"/>
                <w:b w:val="1"/>
                <w:bCs w:val="1"/>
                <w:color w:val="auto"/>
              </w:rPr>
              <w:t>Fund II</w:t>
            </w:r>
          </w:p>
        </w:tc>
        <w:tc>
          <w:tcPr>
            <w:tcW w:w="140" w:type="dxa"/>
            <w:vAlign w:val="bottom"/>
            <w:tcBorders>
              <w:top w:val="single" w:sz="8" w:color="7ACE05"/>
            </w:tcBorders>
          </w:tcPr>
          <w:p>
            <w:pPr>
              <w:spacing w:after="0"/>
              <w:rPr>
                <w:sz w:val="19"/>
                <w:szCs w:val="19"/>
                <w:color w:val="auto"/>
              </w:rPr>
            </w:pPr>
          </w:p>
        </w:tc>
        <w:tc>
          <w:tcPr>
            <w:tcW w:w="800" w:type="dxa"/>
            <w:vAlign w:val="bottom"/>
            <w:tcBorders>
              <w:top w:val="single" w:sz="8" w:color="7ACE05"/>
            </w:tcBorders>
            <w:gridSpan w:val="2"/>
          </w:tcPr>
          <w:p>
            <w:pPr>
              <w:ind w:left="40"/>
              <w:spacing w:after="0"/>
              <w:rPr>
                <w:sz w:val="20"/>
                <w:szCs w:val="20"/>
                <w:color w:val="auto"/>
              </w:rPr>
            </w:pPr>
            <w:r>
              <w:rPr>
                <w:rFonts w:ascii="Arial" w:cs="Arial" w:eastAsia="Arial" w:hAnsi="Arial"/>
                <w:sz w:val="15"/>
                <w:szCs w:val="15"/>
                <w:b w:val="1"/>
                <w:bCs w:val="1"/>
                <w:color w:val="auto"/>
              </w:rPr>
              <w:t>Fund III</w:t>
            </w:r>
          </w:p>
        </w:tc>
        <w:tc>
          <w:tcPr>
            <w:tcW w:w="140" w:type="dxa"/>
            <w:vAlign w:val="bottom"/>
            <w:tcBorders>
              <w:top w:val="single" w:sz="8" w:color="7ACE05"/>
            </w:tcBorders>
          </w:tcPr>
          <w:p>
            <w:pPr>
              <w:spacing w:after="0"/>
              <w:rPr>
                <w:sz w:val="19"/>
                <w:szCs w:val="19"/>
                <w:color w:val="auto"/>
              </w:rPr>
            </w:pPr>
          </w:p>
        </w:tc>
        <w:tc>
          <w:tcPr>
            <w:tcW w:w="780" w:type="dxa"/>
            <w:vAlign w:val="bottom"/>
            <w:tcBorders>
              <w:top w:val="single" w:sz="8" w:color="7ACE05"/>
            </w:tcBorders>
            <w:gridSpan w:val="2"/>
          </w:tcPr>
          <w:p>
            <w:pPr>
              <w:ind w:left="20"/>
              <w:spacing w:after="0"/>
              <w:rPr>
                <w:sz w:val="20"/>
                <w:szCs w:val="20"/>
                <w:color w:val="auto"/>
              </w:rPr>
            </w:pPr>
            <w:r>
              <w:rPr>
                <w:rFonts w:ascii="Arial" w:cs="Arial" w:eastAsia="Arial" w:hAnsi="Arial"/>
                <w:sz w:val="15"/>
                <w:szCs w:val="15"/>
                <w:b w:val="1"/>
                <w:bCs w:val="1"/>
                <w:color w:val="auto"/>
              </w:rPr>
              <w:t>Fund IV</w:t>
            </w:r>
          </w:p>
        </w:tc>
        <w:tc>
          <w:tcPr>
            <w:tcW w:w="140" w:type="dxa"/>
            <w:vAlign w:val="bottom"/>
            <w:tcBorders>
              <w:top w:val="single" w:sz="8" w:color="7ACE05"/>
            </w:tcBorders>
          </w:tcPr>
          <w:p>
            <w:pPr>
              <w:spacing w:after="0"/>
              <w:rPr>
                <w:sz w:val="19"/>
                <w:szCs w:val="19"/>
                <w:color w:val="auto"/>
              </w:rPr>
            </w:pPr>
          </w:p>
        </w:tc>
        <w:tc>
          <w:tcPr>
            <w:tcW w:w="760" w:type="dxa"/>
            <w:vAlign w:val="bottom"/>
            <w:tcBorders>
              <w:top w:val="single" w:sz="8" w:color="7ACE05"/>
            </w:tcBorders>
            <w:gridSpan w:val="2"/>
          </w:tcPr>
          <w:p>
            <w:pPr>
              <w:ind w:left="20"/>
              <w:spacing w:after="0"/>
              <w:rPr>
                <w:sz w:val="20"/>
                <w:szCs w:val="20"/>
                <w:color w:val="auto"/>
              </w:rPr>
            </w:pPr>
            <w:r>
              <w:rPr>
                <w:rFonts w:ascii="Arial" w:cs="Arial" w:eastAsia="Arial" w:hAnsi="Arial"/>
                <w:sz w:val="15"/>
                <w:szCs w:val="15"/>
                <w:b w:val="1"/>
                <w:bCs w:val="1"/>
                <w:color w:val="auto"/>
              </w:rPr>
              <w:t>Fund V</w:t>
            </w:r>
          </w:p>
        </w:tc>
        <w:tc>
          <w:tcPr>
            <w:tcW w:w="160" w:type="dxa"/>
            <w:vAlign w:val="bottom"/>
            <w:tcBorders>
              <w:top w:val="single" w:sz="8" w:color="7ACE05"/>
            </w:tcBorders>
          </w:tcPr>
          <w:p>
            <w:pPr>
              <w:spacing w:after="0"/>
              <w:rPr>
                <w:sz w:val="19"/>
                <w:szCs w:val="19"/>
                <w:color w:val="auto"/>
              </w:rPr>
            </w:pPr>
          </w:p>
        </w:tc>
        <w:tc>
          <w:tcPr>
            <w:tcW w:w="740" w:type="dxa"/>
            <w:vAlign w:val="bottom"/>
            <w:tcBorders>
              <w:top w:val="single" w:sz="8" w:color="7ACE05"/>
            </w:tcBorders>
            <w:gridSpan w:val="2"/>
          </w:tcPr>
          <w:p>
            <w:pPr>
              <w:ind w:left="60"/>
              <w:spacing w:after="0"/>
              <w:rPr>
                <w:sz w:val="20"/>
                <w:szCs w:val="20"/>
                <w:color w:val="auto"/>
              </w:rPr>
            </w:pPr>
            <w:r>
              <w:rPr>
                <w:rFonts w:ascii="Arial" w:cs="Arial" w:eastAsia="Arial" w:hAnsi="Arial"/>
                <w:sz w:val="15"/>
                <w:szCs w:val="15"/>
                <w:b w:val="1"/>
                <w:bCs w:val="1"/>
                <w:color w:val="auto"/>
              </w:rPr>
              <w:t>Other</w:t>
            </w:r>
          </w:p>
        </w:tc>
        <w:tc>
          <w:tcPr>
            <w:tcW w:w="160" w:type="dxa"/>
            <w:vAlign w:val="bottom"/>
            <w:tcBorders>
              <w:top w:val="single" w:sz="8" w:color="7ACE05"/>
            </w:tcBorders>
          </w:tcPr>
          <w:p>
            <w:pPr>
              <w:spacing w:after="0"/>
              <w:rPr>
                <w:sz w:val="19"/>
                <w:szCs w:val="19"/>
                <w:color w:val="auto"/>
              </w:rPr>
            </w:pPr>
          </w:p>
        </w:tc>
        <w:tc>
          <w:tcPr>
            <w:tcW w:w="660" w:type="dxa"/>
            <w:vAlign w:val="bottom"/>
            <w:tcBorders>
              <w:top w:val="single" w:sz="8" w:color="7ACE05"/>
              <w:right w:val="single" w:sz="8" w:color="7ACE05"/>
            </w:tcBorders>
          </w:tcPr>
          <w:p>
            <w:pPr>
              <w:jc w:val="right"/>
              <w:ind w:right="167"/>
              <w:spacing w:after="0"/>
              <w:rPr>
                <w:sz w:val="20"/>
                <w:szCs w:val="20"/>
                <w:color w:val="auto"/>
              </w:rPr>
            </w:pPr>
            <w:r>
              <w:rPr>
                <w:rFonts w:ascii="Arial" w:cs="Arial" w:eastAsia="Arial" w:hAnsi="Arial"/>
                <w:sz w:val="15"/>
                <w:szCs w:val="15"/>
                <w:b w:val="1"/>
                <w:bCs w:val="1"/>
                <w:color w:val="auto"/>
              </w:rPr>
              <w:t>Total</w:t>
            </w:r>
          </w:p>
        </w:tc>
      </w:tr>
      <w:tr>
        <w:trPr>
          <w:trHeight w:val="337"/>
        </w:trPr>
        <w:tc>
          <w:tcPr>
            <w:tcW w:w="4200" w:type="dxa"/>
            <w:vAlign w:val="bottom"/>
            <w:tcBorders>
              <w:left w:val="single" w:sz="8" w:color="7ACE05"/>
            </w:tcBorders>
          </w:tcPr>
          <w:p>
            <w:pPr>
              <w:ind w:left="40"/>
              <w:spacing w:after="0"/>
              <w:rPr>
                <w:sz w:val="20"/>
                <w:szCs w:val="20"/>
                <w:color w:val="auto"/>
              </w:rPr>
            </w:pPr>
            <w:r>
              <w:rPr>
                <w:rFonts w:ascii="Arial" w:cs="Arial" w:eastAsia="Arial" w:hAnsi="Arial"/>
                <w:sz w:val="15"/>
                <w:szCs w:val="15"/>
                <w:b w:val="1"/>
                <w:bCs w:val="1"/>
                <w:color w:val="auto"/>
              </w:rPr>
              <w:t>Quarter Ended March 31, 2018</w:t>
            </w:r>
          </w:p>
        </w:tc>
        <w:tc>
          <w:tcPr>
            <w:tcW w:w="18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right w:val="single" w:sz="8" w:color="7ACE05"/>
            </w:tcBorders>
          </w:tcPr>
          <w:p>
            <w:pPr>
              <w:spacing w:after="0"/>
              <w:rPr>
                <w:sz w:val="24"/>
                <w:szCs w:val="24"/>
                <w:color w:val="auto"/>
              </w:rPr>
            </w:pPr>
          </w:p>
        </w:tc>
      </w:tr>
      <w:tr>
        <w:trPr>
          <w:trHeight w:val="219"/>
        </w:trPr>
        <w:tc>
          <w:tcPr>
            <w:tcW w:w="4200" w:type="dxa"/>
            <w:vAlign w:val="bottom"/>
            <w:tcBorders>
              <w:left w:val="single" w:sz="8" w:color="7ACE05"/>
            </w:tcBorders>
          </w:tcPr>
          <w:p>
            <w:pPr>
              <w:ind w:left="40"/>
              <w:spacing w:after="0"/>
              <w:rPr>
                <w:sz w:val="20"/>
                <w:szCs w:val="20"/>
                <w:color w:val="auto"/>
              </w:rPr>
            </w:pPr>
            <w:r>
              <w:rPr>
                <w:rFonts w:ascii="Arial" w:cs="Arial" w:eastAsia="Arial" w:hAnsi="Arial"/>
                <w:sz w:val="15"/>
                <w:szCs w:val="15"/>
                <w:color w:val="auto"/>
              </w:rPr>
              <w:t>Asset and property management fees</w:t>
            </w:r>
          </w:p>
        </w:tc>
        <w:tc>
          <w:tcPr>
            <w:tcW w:w="2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7"/>
              <w:spacing w:after="0"/>
              <w:rPr>
                <w:sz w:val="20"/>
                <w:szCs w:val="20"/>
                <w:color w:val="auto"/>
              </w:rPr>
            </w:pPr>
            <w:r>
              <w:rPr>
                <w:rFonts w:ascii="Arial" w:cs="Arial" w:eastAsia="Arial" w:hAnsi="Arial"/>
                <w:sz w:val="15"/>
                <w:szCs w:val="15"/>
                <w:color w:val="auto"/>
              </w:rPr>
              <w:t>456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7"/>
              <w:spacing w:after="0"/>
              <w:rPr>
                <w:sz w:val="20"/>
                <w:szCs w:val="20"/>
                <w:color w:val="auto"/>
              </w:rPr>
            </w:pPr>
            <w:r>
              <w:rPr>
                <w:rFonts w:ascii="Arial" w:cs="Arial" w:eastAsia="Arial" w:hAnsi="Arial"/>
                <w:sz w:val="15"/>
                <w:szCs w:val="15"/>
                <w:color w:val="auto"/>
              </w:rPr>
              <w:t>687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7"/>
              <w:spacing w:after="0"/>
              <w:rPr>
                <w:sz w:val="20"/>
                <w:szCs w:val="20"/>
                <w:color w:val="auto"/>
              </w:rPr>
            </w:pPr>
            <w:r>
              <w:rPr>
                <w:rFonts w:ascii="Arial" w:cs="Arial" w:eastAsia="Arial" w:hAnsi="Arial"/>
                <w:sz w:val="15"/>
                <w:szCs w:val="15"/>
                <w:color w:val="auto"/>
              </w:rPr>
              <w:t>1,285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7"/>
              <w:spacing w:after="0"/>
              <w:rPr>
                <w:sz w:val="20"/>
                <w:szCs w:val="20"/>
                <w:color w:val="auto"/>
              </w:rPr>
            </w:pPr>
            <w:r>
              <w:rPr>
                <w:rFonts w:ascii="Arial" w:cs="Arial" w:eastAsia="Arial" w:hAnsi="Arial"/>
                <w:sz w:val="15"/>
                <w:szCs w:val="15"/>
                <w:color w:val="auto"/>
              </w:rPr>
              <w:t>1,692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right w:val="single" w:sz="8" w:color="7ACE05"/>
            </w:tcBorders>
          </w:tcPr>
          <w:p>
            <w:pPr>
              <w:jc w:val="right"/>
              <w:ind w:right="67"/>
              <w:spacing w:after="0"/>
              <w:rPr>
                <w:sz w:val="20"/>
                <w:szCs w:val="20"/>
                <w:color w:val="auto"/>
              </w:rPr>
            </w:pPr>
            <w:r>
              <w:rPr>
                <w:rFonts w:ascii="Arial" w:cs="Arial" w:eastAsia="Arial" w:hAnsi="Arial"/>
                <w:sz w:val="15"/>
                <w:szCs w:val="15"/>
                <w:color w:val="auto"/>
              </w:rPr>
              <w:t>4,199</w:t>
            </w:r>
          </w:p>
        </w:tc>
      </w:tr>
      <w:tr>
        <w:trPr>
          <w:trHeight w:val="225"/>
        </w:trPr>
        <w:tc>
          <w:tcPr>
            <w:tcW w:w="4200" w:type="dxa"/>
            <w:vAlign w:val="bottom"/>
            <w:tcBorders>
              <w:left w:val="single" w:sz="8" w:color="7ACE05"/>
            </w:tcBorders>
          </w:tcPr>
          <w:p>
            <w:pPr>
              <w:ind w:left="40"/>
              <w:spacing w:after="0"/>
              <w:rPr>
                <w:sz w:val="20"/>
                <w:szCs w:val="20"/>
                <w:color w:val="auto"/>
              </w:rPr>
            </w:pPr>
            <w:r>
              <w:rPr>
                <w:rFonts w:ascii="Arial" w:cs="Arial" w:eastAsia="Arial" w:hAnsi="Arial"/>
                <w:sz w:val="15"/>
                <w:szCs w:val="15"/>
                <w:color w:val="auto"/>
              </w:rPr>
              <w:t>Transactional fees</w:t>
            </w:r>
          </w:p>
        </w:tc>
        <w:tc>
          <w:tcPr>
            <w:tcW w:w="1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253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200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769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162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79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7ACE05"/>
            </w:tcBorders>
          </w:tcPr>
          <w:p>
            <w:pPr>
              <w:jc w:val="right"/>
              <w:ind w:right="67"/>
              <w:spacing w:after="0"/>
              <w:rPr>
                <w:sz w:val="20"/>
                <w:szCs w:val="20"/>
                <w:color w:val="auto"/>
              </w:rPr>
            </w:pPr>
            <w:r>
              <w:rPr>
                <w:rFonts w:ascii="Arial" w:cs="Arial" w:eastAsia="Arial" w:hAnsi="Arial"/>
                <w:sz w:val="15"/>
                <w:szCs w:val="15"/>
                <w:color w:val="auto"/>
              </w:rPr>
              <w:t>1,463</w:t>
            </w:r>
          </w:p>
        </w:tc>
      </w:tr>
      <w:tr>
        <w:trPr>
          <w:trHeight w:val="204"/>
        </w:trPr>
        <w:tc>
          <w:tcPr>
            <w:tcW w:w="4200" w:type="dxa"/>
            <w:vAlign w:val="bottom"/>
            <w:tcBorders>
              <w:left w:val="single" w:sz="8" w:color="7ACE05"/>
            </w:tcBorders>
          </w:tcPr>
          <w:p>
            <w:pPr>
              <w:ind w:left="40"/>
              <w:spacing w:after="0"/>
              <w:rPr>
                <w:sz w:val="20"/>
                <w:szCs w:val="20"/>
                <w:color w:val="auto"/>
              </w:rPr>
            </w:pPr>
            <w:r>
              <w:rPr>
                <w:rFonts w:ascii="Arial" w:cs="Arial" w:eastAsia="Arial" w:hAnsi="Arial"/>
                <w:sz w:val="15"/>
                <w:szCs w:val="15"/>
                <w:color w:val="auto"/>
              </w:rPr>
              <w:t>Total fees</w:t>
            </w:r>
          </w:p>
        </w:tc>
        <w:tc>
          <w:tcPr>
            <w:tcW w:w="2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7"/>
              <w:spacing w:after="0"/>
              <w:rPr>
                <w:sz w:val="20"/>
                <w:szCs w:val="20"/>
                <w:color w:val="auto"/>
              </w:rPr>
            </w:pPr>
            <w:r>
              <w:rPr>
                <w:rFonts w:ascii="Arial" w:cs="Arial" w:eastAsia="Arial" w:hAnsi="Arial"/>
                <w:sz w:val="15"/>
                <w:szCs w:val="15"/>
                <w:color w:val="auto"/>
              </w:rPr>
              <w:t>709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7"/>
              <w:spacing w:after="0"/>
              <w:rPr>
                <w:sz w:val="20"/>
                <w:szCs w:val="20"/>
                <w:color w:val="auto"/>
              </w:rPr>
            </w:pPr>
            <w:r>
              <w:rPr>
                <w:rFonts w:ascii="Arial" w:cs="Arial" w:eastAsia="Arial" w:hAnsi="Arial"/>
                <w:sz w:val="15"/>
                <w:szCs w:val="15"/>
                <w:color w:val="auto"/>
              </w:rPr>
              <w:t>887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7"/>
              <w:spacing w:after="0"/>
              <w:rPr>
                <w:sz w:val="20"/>
                <w:szCs w:val="20"/>
                <w:color w:val="auto"/>
              </w:rPr>
            </w:pPr>
            <w:r>
              <w:rPr>
                <w:rFonts w:ascii="Arial" w:cs="Arial" w:eastAsia="Arial" w:hAnsi="Arial"/>
                <w:sz w:val="15"/>
                <w:szCs w:val="15"/>
                <w:color w:val="auto"/>
              </w:rPr>
              <w:t>2,054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7"/>
              <w:spacing w:after="0"/>
              <w:rPr>
                <w:sz w:val="20"/>
                <w:szCs w:val="20"/>
                <w:color w:val="auto"/>
              </w:rPr>
            </w:pPr>
            <w:r>
              <w:rPr>
                <w:rFonts w:ascii="Arial" w:cs="Arial" w:eastAsia="Arial" w:hAnsi="Arial"/>
                <w:sz w:val="15"/>
                <w:szCs w:val="15"/>
                <w:color w:val="auto"/>
              </w:rPr>
              <w:t>1,854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158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right w:val="single" w:sz="8" w:color="7ACE05"/>
            </w:tcBorders>
          </w:tcPr>
          <w:p>
            <w:pPr>
              <w:jc w:val="right"/>
              <w:ind w:right="67"/>
              <w:spacing w:after="0"/>
              <w:rPr>
                <w:sz w:val="20"/>
                <w:szCs w:val="20"/>
                <w:color w:val="auto"/>
              </w:rPr>
            </w:pPr>
            <w:r>
              <w:rPr>
                <w:rFonts w:ascii="Arial" w:cs="Arial" w:eastAsia="Arial" w:hAnsi="Arial"/>
                <w:sz w:val="15"/>
                <w:szCs w:val="15"/>
                <w:color w:val="auto"/>
              </w:rPr>
              <w:t>5,662</w:t>
            </w:r>
          </w:p>
        </w:tc>
      </w:tr>
      <w:tr>
        <w:trPr>
          <w:trHeight w:val="20"/>
        </w:trPr>
        <w:tc>
          <w:tcPr>
            <w:tcW w:w="4200" w:type="dxa"/>
            <w:vAlign w:val="bottom"/>
            <w:tcBorders>
              <w:left w:val="single" w:sz="8" w:color="7ACE05"/>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05"/>
        </w:trPr>
        <w:tc>
          <w:tcPr>
            <w:tcW w:w="4200" w:type="dxa"/>
            <w:vAlign w:val="bottom"/>
            <w:tcBorders>
              <w:left w:val="single" w:sz="8" w:color="7ACE05"/>
              <w:bottom w:val="single" w:sz="8" w:color="7ACE05"/>
            </w:tcBorders>
          </w:tcPr>
          <w:p>
            <w:pPr>
              <w:spacing w:after="0"/>
              <w:rPr>
                <w:sz w:val="9"/>
                <w:szCs w:val="9"/>
                <w:color w:val="auto"/>
              </w:rPr>
            </w:pPr>
          </w:p>
        </w:tc>
        <w:tc>
          <w:tcPr>
            <w:tcW w:w="1880" w:type="dxa"/>
            <w:vAlign w:val="bottom"/>
            <w:tcBorders>
              <w:bottom w:val="single" w:sz="8" w:color="7ACE05"/>
            </w:tcBorders>
          </w:tcPr>
          <w:p>
            <w:pPr>
              <w:spacing w:after="0"/>
              <w:rPr>
                <w:sz w:val="9"/>
                <w:szCs w:val="9"/>
                <w:color w:val="auto"/>
              </w:rPr>
            </w:pPr>
          </w:p>
        </w:tc>
        <w:tc>
          <w:tcPr>
            <w:tcW w:w="160" w:type="dxa"/>
            <w:vAlign w:val="bottom"/>
            <w:tcBorders>
              <w:bottom w:val="single" w:sz="8" w:color="7ACE05"/>
            </w:tcBorders>
          </w:tcPr>
          <w:p>
            <w:pPr>
              <w:spacing w:after="0"/>
              <w:rPr>
                <w:sz w:val="9"/>
                <w:szCs w:val="9"/>
                <w:color w:val="auto"/>
              </w:rPr>
            </w:pPr>
          </w:p>
        </w:tc>
        <w:tc>
          <w:tcPr>
            <w:tcW w:w="660" w:type="dxa"/>
            <w:vAlign w:val="bottom"/>
            <w:tcBorders>
              <w:bottom w:val="single" w:sz="8" w:color="7ACE05"/>
            </w:tcBorders>
          </w:tcPr>
          <w:p>
            <w:pPr>
              <w:spacing w:after="0"/>
              <w:rPr>
                <w:sz w:val="9"/>
                <w:szCs w:val="9"/>
                <w:color w:val="auto"/>
              </w:rPr>
            </w:pPr>
          </w:p>
        </w:tc>
        <w:tc>
          <w:tcPr>
            <w:tcW w:w="120" w:type="dxa"/>
            <w:vAlign w:val="bottom"/>
            <w:tcBorders>
              <w:bottom w:val="single" w:sz="8" w:color="7ACE05"/>
            </w:tcBorders>
          </w:tcPr>
          <w:p>
            <w:pPr>
              <w:spacing w:after="0"/>
              <w:rPr>
                <w:sz w:val="9"/>
                <w:szCs w:val="9"/>
                <w:color w:val="auto"/>
              </w:rPr>
            </w:pPr>
          </w:p>
        </w:tc>
        <w:tc>
          <w:tcPr>
            <w:tcW w:w="140" w:type="dxa"/>
            <w:vAlign w:val="bottom"/>
            <w:tcBorders>
              <w:bottom w:val="single" w:sz="8" w:color="7ACE05"/>
            </w:tcBorders>
          </w:tcPr>
          <w:p>
            <w:pPr>
              <w:spacing w:after="0"/>
              <w:rPr>
                <w:sz w:val="9"/>
                <w:szCs w:val="9"/>
                <w:color w:val="auto"/>
              </w:rPr>
            </w:pPr>
          </w:p>
        </w:tc>
        <w:tc>
          <w:tcPr>
            <w:tcW w:w="680" w:type="dxa"/>
            <w:vAlign w:val="bottom"/>
            <w:tcBorders>
              <w:bottom w:val="single" w:sz="8" w:color="7ACE05"/>
            </w:tcBorders>
          </w:tcPr>
          <w:p>
            <w:pPr>
              <w:spacing w:after="0"/>
              <w:rPr>
                <w:sz w:val="9"/>
                <w:szCs w:val="9"/>
                <w:color w:val="auto"/>
              </w:rPr>
            </w:pPr>
          </w:p>
        </w:tc>
        <w:tc>
          <w:tcPr>
            <w:tcW w:w="120" w:type="dxa"/>
            <w:vAlign w:val="bottom"/>
            <w:tcBorders>
              <w:bottom w:val="single" w:sz="8" w:color="7ACE05"/>
            </w:tcBorders>
          </w:tcPr>
          <w:p>
            <w:pPr>
              <w:spacing w:after="0"/>
              <w:rPr>
                <w:sz w:val="9"/>
                <w:szCs w:val="9"/>
                <w:color w:val="auto"/>
              </w:rPr>
            </w:pPr>
          </w:p>
        </w:tc>
        <w:tc>
          <w:tcPr>
            <w:tcW w:w="140" w:type="dxa"/>
            <w:vAlign w:val="bottom"/>
            <w:tcBorders>
              <w:bottom w:val="single" w:sz="8" w:color="7ACE05"/>
            </w:tcBorders>
          </w:tcPr>
          <w:p>
            <w:pPr>
              <w:spacing w:after="0"/>
              <w:rPr>
                <w:sz w:val="9"/>
                <w:szCs w:val="9"/>
                <w:color w:val="auto"/>
              </w:rPr>
            </w:pPr>
          </w:p>
        </w:tc>
        <w:tc>
          <w:tcPr>
            <w:tcW w:w="680" w:type="dxa"/>
            <w:vAlign w:val="bottom"/>
            <w:tcBorders>
              <w:bottom w:val="single" w:sz="8" w:color="7ACE05"/>
            </w:tcBorders>
          </w:tcPr>
          <w:p>
            <w:pPr>
              <w:spacing w:after="0"/>
              <w:rPr>
                <w:sz w:val="9"/>
                <w:szCs w:val="9"/>
                <w:color w:val="auto"/>
              </w:rPr>
            </w:pPr>
          </w:p>
        </w:tc>
        <w:tc>
          <w:tcPr>
            <w:tcW w:w="100" w:type="dxa"/>
            <w:vAlign w:val="bottom"/>
            <w:tcBorders>
              <w:bottom w:val="single" w:sz="8" w:color="7ACE05"/>
            </w:tcBorders>
          </w:tcPr>
          <w:p>
            <w:pPr>
              <w:spacing w:after="0"/>
              <w:rPr>
                <w:sz w:val="9"/>
                <w:szCs w:val="9"/>
                <w:color w:val="auto"/>
              </w:rPr>
            </w:pPr>
          </w:p>
        </w:tc>
        <w:tc>
          <w:tcPr>
            <w:tcW w:w="140" w:type="dxa"/>
            <w:vAlign w:val="bottom"/>
            <w:tcBorders>
              <w:bottom w:val="single" w:sz="8" w:color="7ACE05"/>
            </w:tcBorders>
          </w:tcPr>
          <w:p>
            <w:pPr>
              <w:spacing w:after="0"/>
              <w:rPr>
                <w:sz w:val="9"/>
                <w:szCs w:val="9"/>
                <w:color w:val="auto"/>
              </w:rPr>
            </w:pPr>
          </w:p>
        </w:tc>
        <w:tc>
          <w:tcPr>
            <w:tcW w:w="640" w:type="dxa"/>
            <w:vAlign w:val="bottom"/>
            <w:tcBorders>
              <w:bottom w:val="single" w:sz="8" w:color="7ACE05"/>
            </w:tcBorders>
          </w:tcPr>
          <w:p>
            <w:pPr>
              <w:spacing w:after="0"/>
              <w:rPr>
                <w:sz w:val="9"/>
                <w:szCs w:val="9"/>
                <w:color w:val="auto"/>
              </w:rPr>
            </w:pPr>
          </w:p>
        </w:tc>
        <w:tc>
          <w:tcPr>
            <w:tcW w:w="120" w:type="dxa"/>
            <w:vAlign w:val="bottom"/>
            <w:tcBorders>
              <w:bottom w:val="single" w:sz="8" w:color="7ACE05"/>
            </w:tcBorders>
          </w:tcPr>
          <w:p>
            <w:pPr>
              <w:spacing w:after="0"/>
              <w:rPr>
                <w:sz w:val="9"/>
                <w:szCs w:val="9"/>
                <w:color w:val="auto"/>
              </w:rPr>
            </w:pPr>
          </w:p>
        </w:tc>
        <w:tc>
          <w:tcPr>
            <w:tcW w:w="160" w:type="dxa"/>
            <w:vAlign w:val="bottom"/>
            <w:tcBorders>
              <w:bottom w:val="single" w:sz="8" w:color="7ACE05"/>
            </w:tcBorders>
          </w:tcPr>
          <w:p>
            <w:pPr>
              <w:spacing w:after="0"/>
              <w:rPr>
                <w:sz w:val="9"/>
                <w:szCs w:val="9"/>
                <w:color w:val="auto"/>
              </w:rPr>
            </w:pPr>
          </w:p>
        </w:tc>
        <w:tc>
          <w:tcPr>
            <w:tcW w:w="620" w:type="dxa"/>
            <w:vAlign w:val="bottom"/>
            <w:tcBorders>
              <w:bottom w:val="single" w:sz="8" w:color="7ACE05"/>
            </w:tcBorders>
          </w:tcPr>
          <w:p>
            <w:pPr>
              <w:spacing w:after="0"/>
              <w:rPr>
                <w:sz w:val="9"/>
                <w:szCs w:val="9"/>
                <w:color w:val="auto"/>
              </w:rPr>
            </w:pPr>
          </w:p>
        </w:tc>
        <w:tc>
          <w:tcPr>
            <w:tcW w:w="120" w:type="dxa"/>
            <w:vAlign w:val="bottom"/>
            <w:tcBorders>
              <w:bottom w:val="single" w:sz="8" w:color="7ACE05"/>
            </w:tcBorders>
          </w:tcPr>
          <w:p>
            <w:pPr>
              <w:spacing w:after="0"/>
              <w:rPr>
                <w:sz w:val="9"/>
                <w:szCs w:val="9"/>
                <w:color w:val="auto"/>
              </w:rPr>
            </w:pPr>
          </w:p>
        </w:tc>
        <w:tc>
          <w:tcPr>
            <w:tcW w:w="160" w:type="dxa"/>
            <w:vAlign w:val="bottom"/>
            <w:tcBorders>
              <w:bottom w:val="single" w:sz="8" w:color="7ACE05"/>
            </w:tcBorders>
          </w:tcPr>
          <w:p>
            <w:pPr>
              <w:spacing w:after="0"/>
              <w:rPr>
                <w:sz w:val="9"/>
                <w:szCs w:val="9"/>
                <w:color w:val="auto"/>
              </w:rPr>
            </w:pPr>
          </w:p>
        </w:tc>
        <w:tc>
          <w:tcPr>
            <w:tcW w:w="660" w:type="dxa"/>
            <w:vAlign w:val="bottom"/>
            <w:tcBorders>
              <w:bottom w:val="single" w:sz="8" w:color="7ACE05"/>
              <w:right w:val="single" w:sz="8" w:color="7ACE05"/>
            </w:tcBorders>
          </w:tcPr>
          <w:p>
            <w:pPr>
              <w:spacing w:after="0"/>
              <w:rPr>
                <w:sz w:val="9"/>
                <w:szCs w:val="9"/>
                <w:color w:val="auto"/>
              </w:rPr>
            </w:pPr>
          </w:p>
        </w:tc>
      </w:tr>
      <w:tr>
        <w:trPr>
          <w:trHeight w:val="681"/>
        </w:trPr>
        <w:tc>
          <w:tcPr>
            <w:tcW w:w="4200" w:type="dxa"/>
            <w:vAlign w:val="bottom"/>
          </w:tcPr>
          <w:p>
            <w:pPr>
              <w:ind w:left="160"/>
              <w:spacing w:after="0"/>
              <w:rPr>
                <w:sz w:val="20"/>
                <w:szCs w:val="20"/>
                <w:color w:val="auto"/>
              </w:rPr>
            </w:pPr>
            <w:r>
              <w:rPr>
                <w:rFonts w:ascii="Arial" w:cs="Arial" w:eastAsia="Arial" w:hAnsi="Arial"/>
                <w:sz w:val="15"/>
                <w:szCs w:val="15"/>
                <w:i w:val="1"/>
                <w:iCs w:val="1"/>
                <w:color w:val="auto"/>
              </w:rPr>
              <w:t>Supplemental Report - March 31, 2018</w:t>
            </w:r>
          </w:p>
        </w:tc>
        <w:tc>
          <w:tcPr>
            <w:tcW w:w="1880" w:type="dxa"/>
            <w:vAlign w:val="bottom"/>
          </w:tcPr>
          <w:p>
            <w:pPr>
              <w:jc w:val="right"/>
              <w:ind w:right="152"/>
              <w:spacing w:after="0"/>
              <w:rPr>
                <w:sz w:val="20"/>
                <w:szCs w:val="20"/>
                <w:color w:val="auto"/>
              </w:rPr>
            </w:pPr>
            <w:r>
              <w:rPr>
                <w:rFonts w:ascii="Arial" w:cs="Arial" w:eastAsia="Arial" w:hAnsi="Arial"/>
                <w:sz w:val="12"/>
                <w:szCs w:val="12"/>
                <w:color w:val="auto"/>
              </w:rPr>
              <w:t>14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80"/>
          </w:cols>
          <w:pgMar w:left="220" w:top="617" w:right="199" w:bottom="1440" w:gutter="0" w:footer="0" w:header="0"/>
        </w:sectPr>
      </w:pPr>
    </w:p>
    <w:bookmarkStart w:id="26" w:name="page27"/>
    <w:bookmarkEnd w:id="26"/>
    <w:p>
      <w:pPr>
        <w:ind w:left="80"/>
        <w:spacing w:after="0"/>
        <w:rPr>
          <w:sz w:val="20"/>
          <w:szCs w:val="20"/>
          <w:color w:val="auto"/>
        </w:rPr>
      </w:pPr>
      <w:r>
        <w:rPr>
          <w:rFonts w:ascii="Arial" w:cs="Arial" w:eastAsia="Arial" w:hAnsi="Arial"/>
          <w:sz w:val="20"/>
          <w:szCs w:val="20"/>
          <w:b w:val="1"/>
          <w:bCs w:val="1"/>
          <w:color w:val="auto"/>
        </w:rPr>
        <w:t>Structured Financing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36195</wp:posOffset>
            </wp:positionV>
            <wp:extent cx="700214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6985"/>
                    </a:xfrm>
                    <a:prstGeom prst="rect">
                      <a:avLst/>
                    </a:prstGeom>
                    <a:noFill/>
                  </pic:spPr>
                </pic:pic>
              </a:graphicData>
            </a:graphic>
          </wp:anchor>
        </w:drawing>
      </w:r>
    </w:p>
    <w:p>
      <w:pPr>
        <w:spacing w:after="0" w:line="80" w:lineRule="exact"/>
        <w:rPr>
          <w:sz w:val="20"/>
          <w:szCs w:val="20"/>
          <w:color w:val="auto"/>
        </w:rPr>
      </w:pPr>
    </w:p>
    <w:p>
      <w:pPr>
        <w:ind w:left="80"/>
        <w:spacing w:after="0"/>
        <w:rPr>
          <w:sz w:val="20"/>
          <w:szCs w:val="20"/>
          <w:color w:val="auto"/>
        </w:rPr>
      </w:pPr>
      <w:r>
        <w:rPr>
          <w:rFonts w:ascii="Arial" w:cs="Arial" w:eastAsia="Arial" w:hAnsi="Arial"/>
          <w:sz w:val="15"/>
          <w:szCs w:val="15"/>
          <w:color w:val="auto"/>
        </w:rPr>
        <w:t>(in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334"/>
        </w:trPr>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Borders>
              <w:right w:val="single" w:sz="8" w:color="9BDA44"/>
            </w:tcBorders>
            <w:gridSpan w:val="7"/>
          </w:tcPr>
          <w:p>
            <w:pPr>
              <w:jc w:val="center"/>
              <w:ind w:right="700"/>
              <w:spacing w:after="0"/>
              <w:rPr>
                <w:sz w:val="20"/>
                <w:szCs w:val="20"/>
                <w:color w:val="auto"/>
              </w:rPr>
            </w:pPr>
            <w:r>
              <w:rPr>
                <w:rFonts w:ascii="Arial" w:cs="Arial" w:eastAsia="Arial" w:hAnsi="Arial"/>
                <w:sz w:val="12"/>
                <w:szCs w:val="12"/>
                <w:b w:val="1"/>
                <w:bCs w:val="1"/>
                <w:color w:val="auto"/>
                <w:w w:val="98"/>
              </w:rPr>
              <w:t>December 31, 2017</w:t>
            </w:r>
          </w:p>
        </w:tc>
        <w:tc>
          <w:tcPr>
            <w:tcW w:w="160" w:type="dxa"/>
            <w:vAlign w:val="bottom"/>
            <w:tcBorders>
              <w:top w:val="single" w:sz="8" w:color="9BDA44"/>
            </w:tcBorders>
          </w:tcPr>
          <w:p>
            <w:pPr>
              <w:spacing w:after="0"/>
              <w:rPr>
                <w:sz w:val="24"/>
                <w:szCs w:val="24"/>
                <w:color w:val="auto"/>
              </w:rPr>
            </w:pPr>
          </w:p>
        </w:tc>
        <w:tc>
          <w:tcPr>
            <w:tcW w:w="480" w:type="dxa"/>
            <w:vAlign w:val="bottom"/>
            <w:tcBorders>
              <w:top w:val="single" w:sz="8" w:color="9BDA44"/>
            </w:tcBorders>
          </w:tcPr>
          <w:p>
            <w:pPr>
              <w:spacing w:after="0"/>
              <w:rPr>
                <w:sz w:val="24"/>
                <w:szCs w:val="24"/>
                <w:color w:val="auto"/>
              </w:rPr>
            </w:pPr>
          </w:p>
        </w:tc>
        <w:tc>
          <w:tcPr>
            <w:tcW w:w="100" w:type="dxa"/>
            <w:vAlign w:val="bottom"/>
            <w:tcBorders>
              <w:top w:val="single" w:sz="8" w:color="9BDA44"/>
            </w:tcBorders>
          </w:tcPr>
          <w:p>
            <w:pPr>
              <w:spacing w:after="0"/>
              <w:rPr>
                <w:sz w:val="24"/>
                <w:szCs w:val="24"/>
                <w:color w:val="auto"/>
              </w:rPr>
            </w:pPr>
          </w:p>
        </w:tc>
        <w:tc>
          <w:tcPr>
            <w:tcW w:w="220" w:type="dxa"/>
            <w:vAlign w:val="bottom"/>
            <w:tcBorders>
              <w:top w:val="single" w:sz="8" w:color="9BDA44"/>
            </w:tcBorders>
          </w:tcPr>
          <w:p>
            <w:pPr>
              <w:spacing w:after="0"/>
              <w:rPr>
                <w:sz w:val="24"/>
                <w:szCs w:val="24"/>
                <w:color w:val="auto"/>
              </w:rPr>
            </w:pPr>
          </w:p>
        </w:tc>
        <w:tc>
          <w:tcPr>
            <w:tcW w:w="660" w:type="dxa"/>
            <w:vAlign w:val="bottom"/>
            <w:tcBorders>
              <w:top w:val="single" w:sz="8" w:color="9BDA44"/>
            </w:tcBorders>
          </w:tcPr>
          <w:p>
            <w:pPr>
              <w:spacing w:after="0"/>
              <w:rPr>
                <w:sz w:val="24"/>
                <w:szCs w:val="24"/>
                <w:color w:val="auto"/>
              </w:rPr>
            </w:pPr>
          </w:p>
        </w:tc>
        <w:tc>
          <w:tcPr>
            <w:tcW w:w="960" w:type="dxa"/>
            <w:vAlign w:val="bottom"/>
            <w:tcBorders>
              <w:top w:val="single" w:sz="8" w:color="9BDA44"/>
            </w:tcBorders>
            <w:gridSpan w:val="5"/>
          </w:tcPr>
          <w:p>
            <w:pPr>
              <w:jc w:val="right"/>
              <w:ind w:right="40"/>
              <w:spacing w:after="0"/>
              <w:rPr>
                <w:sz w:val="20"/>
                <w:szCs w:val="20"/>
                <w:color w:val="auto"/>
              </w:rPr>
            </w:pPr>
            <w:r>
              <w:rPr>
                <w:rFonts w:ascii="Arial" w:cs="Arial" w:eastAsia="Arial" w:hAnsi="Arial"/>
                <w:sz w:val="12"/>
                <w:szCs w:val="12"/>
                <w:b w:val="1"/>
                <w:bCs w:val="1"/>
                <w:color w:val="auto"/>
              </w:rPr>
              <w:t>Current Period</w:t>
            </w:r>
          </w:p>
        </w:tc>
        <w:tc>
          <w:tcPr>
            <w:tcW w:w="580" w:type="dxa"/>
            <w:vAlign w:val="bottom"/>
            <w:tcBorders>
              <w:top w:val="single" w:sz="8" w:color="9BDA44"/>
            </w:tcBorders>
          </w:tcPr>
          <w:p>
            <w:pPr>
              <w:spacing w:after="0"/>
              <w:rPr>
                <w:sz w:val="24"/>
                <w:szCs w:val="24"/>
                <w:color w:val="auto"/>
              </w:rPr>
            </w:pPr>
          </w:p>
        </w:tc>
        <w:tc>
          <w:tcPr>
            <w:tcW w:w="100" w:type="dxa"/>
            <w:vAlign w:val="bottom"/>
            <w:tcBorders>
              <w:top w:val="single" w:sz="8" w:color="9BDA44"/>
            </w:tcBorders>
          </w:tcPr>
          <w:p>
            <w:pPr>
              <w:spacing w:after="0"/>
              <w:rPr>
                <w:sz w:val="24"/>
                <w:szCs w:val="24"/>
                <w:color w:val="auto"/>
              </w:rPr>
            </w:pPr>
          </w:p>
        </w:tc>
        <w:tc>
          <w:tcPr>
            <w:tcW w:w="140" w:type="dxa"/>
            <w:vAlign w:val="bottom"/>
            <w:tcBorders>
              <w:top w:val="single" w:sz="8" w:color="9BDA44"/>
            </w:tcBorders>
          </w:tcPr>
          <w:p>
            <w:pPr>
              <w:spacing w:after="0"/>
              <w:rPr>
                <w:sz w:val="24"/>
                <w:szCs w:val="24"/>
                <w:color w:val="auto"/>
              </w:rPr>
            </w:pPr>
          </w:p>
        </w:tc>
        <w:tc>
          <w:tcPr>
            <w:tcW w:w="880" w:type="dxa"/>
            <w:vAlign w:val="bottom"/>
            <w:tcBorders>
              <w:top w:val="single" w:sz="8" w:color="9BDA44"/>
              <w:right w:val="single" w:sz="8" w:color="9BDA44"/>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Stated</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5"/>
              </w:rPr>
              <w:t>Effective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Principal</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5"/>
              </w:rPr>
              <w:t>Accrued</w:t>
            </w:r>
          </w:p>
        </w:tc>
        <w:tc>
          <w:tcPr>
            <w:tcW w:w="660" w:type="dxa"/>
            <w:vAlign w:val="bottom"/>
            <w:tcBorders>
              <w:top w:val="single" w:sz="8" w:color="auto"/>
            </w:tcBorders>
          </w:tcPr>
          <w:p>
            <w:pPr>
              <w:spacing w:after="0"/>
              <w:rPr>
                <w:sz w:val="17"/>
                <w:szCs w:val="17"/>
                <w:color w:val="auto"/>
              </w:rPr>
            </w:pPr>
          </w:p>
        </w:tc>
        <w:tc>
          <w:tcPr>
            <w:tcW w:w="120" w:type="dxa"/>
            <w:vAlign w:val="bottom"/>
            <w:tcBorders>
              <w:right w:val="single" w:sz="8" w:color="9BDA44"/>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rPr>
              <w:t>Repayments /</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96"/>
              </w:rPr>
              <w:t>Current</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9"/>
              </w:rPr>
              <w:t>Accrued</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right w:val="single" w:sz="8" w:color="9BDA44"/>
            </w:tcBorders>
          </w:tcPr>
          <w:p>
            <w:pPr>
              <w:jc w:val="right"/>
              <w:ind w:right="182"/>
              <w:spacing w:after="0"/>
              <w:rPr>
                <w:sz w:val="20"/>
                <w:szCs w:val="20"/>
                <w:color w:val="auto"/>
              </w:rPr>
            </w:pPr>
            <w:r>
              <w:rPr>
                <w:rFonts w:ascii="Arial" w:cs="Arial" w:eastAsia="Arial" w:hAnsi="Arial"/>
                <w:sz w:val="12"/>
                <w:szCs w:val="12"/>
                <w:b w:val="1"/>
                <w:bCs w:val="1"/>
                <w:color w:val="auto"/>
              </w:rPr>
              <w:t>Balance at</w:t>
            </w:r>
          </w:p>
        </w:tc>
        <w:tc>
          <w:tcPr>
            <w:tcW w:w="80" w:type="dxa"/>
            <w:vAlign w:val="bottom"/>
          </w:tcPr>
          <w:p>
            <w:pPr>
              <w:spacing w:after="0"/>
              <w:rPr>
                <w:sz w:val="17"/>
                <w:szCs w:val="17"/>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Interest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Interest</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0" w:type="dxa"/>
            <w:vAlign w:val="bottom"/>
          </w:tcPr>
          <w:p>
            <w:pPr>
              <w:spacing w:after="0"/>
              <w:rPr>
                <w:sz w:val="1"/>
                <w:szCs w:val="1"/>
                <w:color w:val="auto"/>
              </w:rPr>
            </w:pPr>
          </w:p>
        </w:tc>
      </w:tr>
      <w:tr>
        <w:trPr>
          <w:trHeight w:val="228"/>
        </w:trPr>
        <w:tc>
          <w:tcPr>
            <w:tcW w:w="2220" w:type="dxa"/>
            <w:vAlign w:val="bottom"/>
          </w:tcPr>
          <w:p>
            <w:pPr>
              <w:ind w:left="20"/>
              <w:spacing w:after="0"/>
              <w:rPr>
                <w:sz w:val="20"/>
                <w:szCs w:val="20"/>
                <w:color w:val="auto"/>
              </w:rPr>
            </w:pPr>
            <w:r>
              <w:rPr>
                <w:rFonts w:ascii="Arial" w:cs="Arial" w:eastAsia="Arial" w:hAnsi="Arial"/>
                <w:sz w:val="12"/>
                <w:szCs w:val="12"/>
                <w:b w:val="1"/>
                <w:bCs w:val="1"/>
                <w:color w:val="auto"/>
              </w:rPr>
              <w:t>Investment</w:t>
            </w:r>
          </w:p>
        </w:tc>
        <w:tc>
          <w:tcPr>
            <w:tcW w:w="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9"/>
              </w:rPr>
              <w:t>Balance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Interest</w:t>
            </w:r>
          </w:p>
        </w:tc>
        <w:tc>
          <w:tcPr>
            <w:tcW w:w="780" w:type="dxa"/>
            <w:vAlign w:val="bottom"/>
            <w:tcBorders>
              <w:right w:val="single" w:sz="8" w:color="9BDA44"/>
            </w:tcBorders>
            <w:gridSpan w:val="2"/>
          </w:tcPr>
          <w:p>
            <w:pPr>
              <w:ind w:left="180"/>
              <w:spacing w:after="0"/>
              <w:rPr>
                <w:sz w:val="20"/>
                <w:szCs w:val="20"/>
                <w:color w:val="auto"/>
              </w:rPr>
            </w:pPr>
            <w:r>
              <w:rPr>
                <w:rFonts w:ascii="Arial" w:cs="Arial" w:eastAsia="Arial" w:hAnsi="Arial"/>
                <w:sz w:val="12"/>
                <w:szCs w:val="12"/>
                <w:b w:val="1"/>
                <w:bCs w:val="1"/>
                <w:color w:val="auto"/>
              </w:rPr>
              <w:t>Total</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Advances</w:t>
            </w:r>
          </w:p>
        </w:tc>
        <w:tc>
          <w:tcPr>
            <w:tcW w:w="88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Conversions</w:t>
            </w: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 xml:space="preserve">Principal </w:t>
            </w:r>
            <w:r>
              <w:rPr>
                <w:rFonts w:ascii="Arial" w:cs="Arial" w:eastAsia="Arial" w:hAnsi="Arial"/>
                <w:sz w:val="14"/>
                <w:szCs w:val="14"/>
                <w:b w:val="1"/>
                <w:bCs w:val="1"/>
                <w:color w:val="auto"/>
                <w:vertAlign w:val="superscript"/>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Interest</w:t>
            </w:r>
          </w:p>
        </w:tc>
        <w:tc>
          <w:tcPr>
            <w:tcW w:w="1020" w:type="dxa"/>
            <w:vAlign w:val="bottom"/>
            <w:tcBorders>
              <w:right w:val="single" w:sz="8" w:color="9BDA44"/>
            </w:tcBorders>
            <w:gridSpan w:val="2"/>
          </w:tcPr>
          <w:p>
            <w:pPr>
              <w:jc w:val="right"/>
              <w:ind w:right="62"/>
              <w:spacing w:after="0"/>
              <w:rPr>
                <w:sz w:val="20"/>
                <w:szCs w:val="20"/>
                <w:color w:val="auto"/>
              </w:rPr>
            </w:pPr>
            <w:r>
              <w:rPr>
                <w:rFonts w:ascii="Arial" w:cs="Arial" w:eastAsia="Arial" w:hAnsi="Arial"/>
                <w:sz w:val="12"/>
                <w:szCs w:val="12"/>
                <w:b w:val="1"/>
                <w:bCs w:val="1"/>
                <w:color w:val="auto"/>
              </w:rPr>
              <w:t>March 31, 2018</w:t>
            </w:r>
          </w:p>
        </w:tc>
        <w:tc>
          <w:tcPr>
            <w:tcW w:w="80" w:type="dxa"/>
            <w:vAlign w:val="bottom"/>
          </w:tcPr>
          <w:p>
            <w:pPr>
              <w:spacing w:after="0"/>
              <w:rPr>
                <w:sz w:val="19"/>
                <w:szCs w:val="19"/>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Rate</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9"/>
              </w:rPr>
              <w:t>Rate</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7"/>
              </w:rPr>
              <w:t>Dates</w:t>
            </w:r>
          </w:p>
        </w:tc>
        <w:tc>
          <w:tcPr>
            <w:tcW w:w="0" w:type="dxa"/>
            <w:vAlign w:val="bottom"/>
          </w:tcPr>
          <w:p>
            <w:pPr>
              <w:spacing w:after="0"/>
              <w:rPr>
                <w:sz w:val="1"/>
                <w:szCs w:val="1"/>
                <w:color w:val="auto"/>
              </w:rPr>
            </w:pPr>
          </w:p>
        </w:tc>
      </w:tr>
      <w:tr>
        <w:trPr>
          <w:trHeight w:val="410"/>
        </w:trPr>
        <w:tc>
          <w:tcPr>
            <w:tcW w:w="2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right w:val="single" w:sz="8" w:color="9BDA44"/>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9BDA44"/>
            </w:tcBorders>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7"/>
              </w:rPr>
              <w:t>Apr-19 to</w:t>
            </w:r>
          </w:p>
        </w:tc>
        <w:tc>
          <w:tcPr>
            <w:tcW w:w="0" w:type="dxa"/>
            <w:vAlign w:val="bottom"/>
          </w:tcPr>
          <w:p>
            <w:pPr>
              <w:spacing w:after="0"/>
              <w:rPr>
                <w:sz w:val="1"/>
                <w:szCs w:val="1"/>
                <w:color w:val="auto"/>
              </w:rPr>
            </w:pPr>
          </w:p>
        </w:tc>
      </w:tr>
      <w:tr>
        <w:trPr>
          <w:trHeight w:val="139"/>
        </w:trPr>
        <w:tc>
          <w:tcPr>
            <w:tcW w:w="2220" w:type="dxa"/>
            <w:vAlign w:val="bottom"/>
          </w:tcPr>
          <w:p>
            <w:pPr>
              <w:ind w:left="20"/>
              <w:spacing w:after="0"/>
              <w:rPr>
                <w:sz w:val="20"/>
                <w:szCs w:val="20"/>
                <w:color w:val="auto"/>
              </w:rPr>
            </w:pPr>
            <w:r>
              <w:rPr>
                <w:rFonts w:ascii="Arial" w:cs="Arial" w:eastAsia="Arial" w:hAnsi="Arial"/>
                <w:sz w:val="12"/>
                <w:szCs w:val="12"/>
                <w:color w:val="auto"/>
              </w:rPr>
              <w:t>First mortgage notes</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Pr>
          <w:p>
            <w:pPr>
              <w:jc w:val="center"/>
              <w:spacing w:after="0"/>
              <w:rPr>
                <w:sz w:val="20"/>
                <w:szCs w:val="20"/>
                <w:color w:val="auto"/>
              </w:rPr>
            </w:pPr>
            <w:r>
              <w:rPr>
                <w:rFonts w:ascii="Arial" w:cs="Arial" w:eastAsia="Arial" w:hAnsi="Arial"/>
                <w:sz w:val="12"/>
                <w:szCs w:val="12"/>
                <w:color w:val="auto"/>
                <w:w w:val="96"/>
              </w:rPr>
              <w:t>101,695</w:t>
            </w:r>
          </w:p>
        </w:tc>
        <w:tc>
          <w:tcPr>
            <w:tcW w:w="3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4,886</w:t>
            </w:r>
          </w:p>
        </w:tc>
        <w:tc>
          <w:tcPr>
            <w:tcW w:w="120" w:type="dxa"/>
            <w:vAlign w:val="bottom"/>
          </w:tcPr>
          <w:p>
            <w:pPr>
              <w:spacing w:after="0"/>
              <w:rPr>
                <w:sz w:val="12"/>
                <w:szCs w:val="12"/>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w w:val="97"/>
              </w:rPr>
              <w:t>$ 106,581</w:t>
            </w:r>
          </w:p>
        </w:tc>
        <w:tc>
          <w:tcPr>
            <w:tcW w:w="120" w:type="dxa"/>
            <w:vAlign w:val="bottom"/>
            <w:tcBorders>
              <w:right w:val="single" w:sz="8" w:color="9BDA44"/>
            </w:tcBorders>
          </w:tcPr>
          <w:p>
            <w:pPr>
              <w:spacing w:after="0"/>
              <w:rPr>
                <w:sz w:val="12"/>
                <w:szCs w:val="12"/>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ind w:right="62"/>
              <w:spacing w:after="0"/>
              <w:rPr>
                <w:sz w:val="20"/>
                <w:szCs w:val="20"/>
                <w:color w:val="auto"/>
              </w:rPr>
            </w:pPr>
            <w:r>
              <w:rPr>
                <w:rFonts w:ascii="Arial" w:cs="Arial" w:eastAsia="Arial" w:hAnsi="Arial"/>
                <w:sz w:val="12"/>
                <w:szCs w:val="12"/>
                <w:color w:val="auto"/>
              </w:rPr>
              <w:t>2,801</w:t>
            </w:r>
          </w:p>
        </w:tc>
        <w:tc>
          <w:tcPr>
            <w:tcW w:w="100" w:type="dxa"/>
            <w:vAlign w:val="bottom"/>
          </w:tcPr>
          <w:p>
            <w:pPr>
              <w:spacing w:after="0"/>
              <w:rPr>
                <w:sz w:val="12"/>
                <w:szCs w:val="12"/>
                <w:color w:val="auto"/>
              </w:rPr>
            </w:pP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(48,021)</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56,475</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3,214</w:t>
            </w:r>
          </w:p>
        </w:tc>
        <w:tc>
          <w:tcPr>
            <w:tcW w:w="100" w:type="dxa"/>
            <w:vAlign w:val="bottom"/>
          </w:tcPr>
          <w:p>
            <w:pPr>
              <w:spacing w:after="0"/>
              <w:rPr>
                <w:sz w:val="12"/>
                <w:szCs w:val="12"/>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8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59,689</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7.44%</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7.44%</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Apr-20</w:t>
            </w:r>
          </w:p>
        </w:tc>
        <w:tc>
          <w:tcPr>
            <w:tcW w:w="0" w:type="dxa"/>
            <w:vAlign w:val="bottom"/>
          </w:tcPr>
          <w:p>
            <w:pPr>
              <w:spacing w:after="0"/>
              <w:rPr>
                <w:sz w:val="1"/>
                <w:szCs w:val="1"/>
                <w:color w:val="auto"/>
              </w:rPr>
            </w:pPr>
          </w:p>
        </w:tc>
      </w:tr>
      <w:tr>
        <w:trPr>
          <w:trHeight w:val="272"/>
        </w:trPr>
        <w:tc>
          <w:tcPr>
            <w:tcW w:w="22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0" w:type="dxa"/>
            <w:vAlign w:val="bottom"/>
            <w:tcBorders>
              <w:right w:val="single" w:sz="8" w:color="9BDA44"/>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right w:val="single" w:sz="8" w:color="9BDA44"/>
            </w:tcBorders>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220" w:type="dxa"/>
            <w:vAlign w:val="bottom"/>
          </w:tcPr>
          <w:p>
            <w:pPr>
              <w:ind w:left="20"/>
              <w:spacing w:after="0"/>
              <w:rPr>
                <w:sz w:val="20"/>
                <w:szCs w:val="20"/>
                <w:color w:val="auto"/>
              </w:rPr>
            </w:pPr>
            <w:r>
              <w:rPr>
                <w:rFonts w:ascii="Arial" w:cs="Arial" w:eastAsia="Arial" w:hAnsi="Arial"/>
                <w:sz w:val="12"/>
                <w:szCs w:val="12"/>
                <w:b w:val="1"/>
                <w:bCs w:val="1"/>
                <w:color w:val="auto"/>
              </w:rPr>
              <w:t>Total Core notes receivable</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6"/>
              </w:rPr>
              <w:t>101,695</w:t>
            </w:r>
          </w:p>
        </w:tc>
        <w:tc>
          <w:tcPr>
            <w:tcW w:w="30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b w:val="1"/>
                <w:bCs w:val="1"/>
                <w:color w:val="auto"/>
              </w:rPr>
              <w:t>4,886</w:t>
            </w:r>
          </w:p>
        </w:tc>
        <w:tc>
          <w:tcPr>
            <w:tcW w:w="120" w:type="dxa"/>
            <w:vAlign w:val="bottom"/>
          </w:tcPr>
          <w:p>
            <w:pPr>
              <w:spacing w:after="0"/>
              <w:rPr>
                <w:sz w:val="16"/>
                <w:szCs w:val="16"/>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b w:val="1"/>
                <w:bCs w:val="1"/>
                <w:color w:val="auto"/>
                <w:w w:val="97"/>
              </w:rPr>
              <w:t>$ 106,581</w:t>
            </w:r>
          </w:p>
        </w:tc>
        <w:tc>
          <w:tcPr>
            <w:tcW w:w="120" w:type="dxa"/>
            <w:vAlign w:val="bottom"/>
            <w:tcBorders>
              <w:right w:val="single" w:sz="8" w:color="9BDA44"/>
            </w:tcBorders>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480" w:type="dxa"/>
            <w:vAlign w:val="bottom"/>
          </w:tcPr>
          <w:p>
            <w:pPr>
              <w:jc w:val="right"/>
              <w:ind w:right="62"/>
              <w:spacing w:after="0"/>
              <w:rPr>
                <w:sz w:val="20"/>
                <w:szCs w:val="20"/>
                <w:color w:val="auto"/>
              </w:rPr>
            </w:pPr>
            <w:r>
              <w:rPr>
                <w:rFonts w:ascii="Arial" w:cs="Arial" w:eastAsia="Arial" w:hAnsi="Arial"/>
                <w:sz w:val="12"/>
                <w:szCs w:val="12"/>
                <w:b w:val="1"/>
                <w:bCs w:val="1"/>
                <w:color w:val="auto"/>
              </w:rPr>
              <w:t>2,801</w:t>
            </w:r>
          </w:p>
        </w:tc>
        <w:tc>
          <w:tcPr>
            <w:tcW w:w="100" w:type="dxa"/>
            <w:vAlign w:val="bottom"/>
          </w:tcPr>
          <w:p>
            <w:pPr>
              <w:spacing w:after="0"/>
              <w:rPr>
                <w:sz w:val="16"/>
                <w:szCs w:val="16"/>
                <w:color w:val="auto"/>
              </w:rPr>
            </w:pPr>
          </w:p>
        </w:tc>
        <w:tc>
          <w:tcPr>
            <w:tcW w:w="220" w:type="dxa"/>
            <w:vAlign w:val="bottom"/>
          </w:tcPr>
          <w:p>
            <w:pPr>
              <w:jc w:val="right"/>
              <w:ind w:right="82"/>
              <w:spacing w:after="0"/>
              <w:rPr>
                <w:sz w:val="20"/>
                <w:szCs w:val="20"/>
                <w:color w:val="auto"/>
              </w:rPr>
            </w:pPr>
            <w:r>
              <w:rPr>
                <w:rFonts w:ascii="Arial" w:cs="Arial" w:eastAsia="Arial" w:hAnsi="Arial"/>
                <w:sz w:val="12"/>
                <w:szCs w:val="12"/>
                <w:b w:val="1"/>
                <w:bCs w:val="1"/>
                <w:color w:val="auto"/>
                <w:w w:val="89"/>
              </w:rPr>
              <w:t>$</w:t>
            </w:r>
          </w:p>
        </w:tc>
        <w:tc>
          <w:tcPr>
            <w:tcW w:w="660" w:type="dxa"/>
            <w:vAlign w:val="bottom"/>
          </w:tcPr>
          <w:p>
            <w:pPr>
              <w:jc w:val="right"/>
              <w:ind w:right="22"/>
              <w:spacing w:after="0"/>
              <w:rPr>
                <w:sz w:val="20"/>
                <w:szCs w:val="20"/>
                <w:color w:val="auto"/>
              </w:rPr>
            </w:pPr>
            <w:r>
              <w:rPr>
                <w:rFonts w:ascii="Arial" w:cs="Arial" w:eastAsia="Arial" w:hAnsi="Arial"/>
                <w:sz w:val="12"/>
                <w:szCs w:val="12"/>
                <w:b w:val="1"/>
                <w:bCs w:val="1"/>
                <w:color w:val="auto"/>
              </w:rPr>
              <w:t>(48,021)</w:t>
            </w:r>
          </w:p>
        </w:tc>
        <w:tc>
          <w:tcPr>
            <w:tcW w:w="20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b w:val="1"/>
                <w:bCs w:val="1"/>
                <w:color w:val="auto"/>
              </w:rPr>
              <w:t>56,475</w:t>
            </w:r>
          </w:p>
        </w:tc>
        <w:tc>
          <w:tcPr>
            <w:tcW w:w="20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580" w:type="dxa"/>
            <w:vAlign w:val="bottom"/>
          </w:tcPr>
          <w:p>
            <w:pPr>
              <w:jc w:val="right"/>
              <w:ind w:right="62"/>
              <w:spacing w:after="0"/>
              <w:rPr>
                <w:sz w:val="20"/>
                <w:szCs w:val="20"/>
                <w:color w:val="auto"/>
              </w:rPr>
            </w:pPr>
            <w:r>
              <w:rPr>
                <w:rFonts w:ascii="Arial" w:cs="Arial" w:eastAsia="Arial" w:hAnsi="Arial"/>
                <w:sz w:val="12"/>
                <w:szCs w:val="12"/>
                <w:b w:val="1"/>
                <w:bCs w:val="1"/>
                <w:color w:val="auto"/>
              </w:rPr>
              <w:t>3,214</w:t>
            </w:r>
          </w:p>
        </w:tc>
        <w:tc>
          <w:tcPr>
            <w:tcW w:w="1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b w:val="1"/>
                <w:bCs w:val="1"/>
                <w:color w:val="auto"/>
              </w:rPr>
              <w:t>59,689</w:t>
            </w:r>
          </w:p>
        </w:tc>
        <w:tc>
          <w:tcPr>
            <w:tcW w:w="760" w:type="dxa"/>
            <w:vAlign w:val="bottom"/>
            <w:gridSpan w:val="2"/>
          </w:tcPr>
          <w:p>
            <w:pPr>
              <w:jc w:val="right"/>
              <w:spacing w:after="0"/>
              <w:rPr>
                <w:sz w:val="20"/>
                <w:szCs w:val="20"/>
                <w:color w:val="auto"/>
              </w:rPr>
            </w:pPr>
            <w:r>
              <w:rPr>
                <w:rFonts w:ascii="Arial" w:cs="Arial" w:eastAsia="Arial" w:hAnsi="Arial"/>
                <w:sz w:val="12"/>
                <w:szCs w:val="12"/>
                <w:b w:val="1"/>
                <w:bCs w:val="1"/>
                <w:color w:val="auto"/>
              </w:rPr>
              <w:t>7.44%</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7.44%</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ind w:left="20"/>
              <w:spacing w:after="0"/>
              <w:rPr>
                <w:sz w:val="20"/>
                <w:szCs w:val="20"/>
                <w:color w:val="auto"/>
              </w:rPr>
            </w:pPr>
            <w:r>
              <w:rPr>
                <w:rFonts w:ascii="Arial" w:cs="Arial" w:eastAsia="Arial" w:hAnsi="Arial"/>
                <w:sz w:val="12"/>
                <w:szCs w:val="12"/>
                <w:color w:val="auto"/>
              </w:rPr>
              <w:t>__________</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Borders>
              <w:right w:val="single" w:sz="8" w:color="9BDA44"/>
            </w:tcBorders>
          </w:tcPr>
          <w:p>
            <w:pPr>
              <w:spacing w:after="0"/>
              <w:rPr>
                <w:sz w:val="7"/>
                <w:szCs w:val="7"/>
                <w:color w:val="auto"/>
              </w:rPr>
            </w:pPr>
          </w:p>
        </w:tc>
        <w:tc>
          <w:tcPr>
            <w:tcW w:w="160" w:type="dxa"/>
            <w:vAlign w:val="bottom"/>
            <w:tcBorders>
              <w:bottom w:val="single" w:sz="8" w:color="9BDA44"/>
            </w:tcBorders>
          </w:tcPr>
          <w:p>
            <w:pPr>
              <w:spacing w:after="0"/>
              <w:rPr>
                <w:sz w:val="7"/>
                <w:szCs w:val="7"/>
                <w:color w:val="auto"/>
              </w:rPr>
            </w:pPr>
          </w:p>
        </w:tc>
        <w:tc>
          <w:tcPr>
            <w:tcW w:w="480" w:type="dxa"/>
            <w:vAlign w:val="bottom"/>
            <w:tcBorders>
              <w:bottom w:val="single" w:sz="8" w:color="9BDA44"/>
            </w:tcBorders>
          </w:tcPr>
          <w:p>
            <w:pPr>
              <w:spacing w:after="0"/>
              <w:rPr>
                <w:sz w:val="7"/>
                <w:szCs w:val="7"/>
                <w:color w:val="auto"/>
              </w:rPr>
            </w:pPr>
          </w:p>
        </w:tc>
        <w:tc>
          <w:tcPr>
            <w:tcW w:w="100" w:type="dxa"/>
            <w:vAlign w:val="bottom"/>
            <w:tcBorders>
              <w:bottom w:val="single" w:sz="8" w:color="9BDA44"/>
            </w:tcBorders>
          </w:tcPr>
          <w:p>
            <w:pPr>
              <w:spacing w:after="0"/>
              <w:rPr>
                <w:sz w:val="7"/>
                <w:szCs w:val="7"/>
                <w:color w:val="auto"/>
              </w:rPr>
            </w:pPr>
          </w:p>
        </w:tc>
        <w:tc>
          <w:tcPr>
            <w:tcW w:w="220" w:type="dxa"/>
            <w:vAlign w:val="bottom"/>
            <w:tcBorders>
              <w:bottom w:val="single" w:sz="8" w:color="9BDA44"/>
            </w:tcBorders>
          </w:tcPr>
          <w:p>
            <w:pPr>
              <w:spacing w:after="0"/>
              <w:rPr>
                <w:sz w:val="7"/>
                <w:szCs w:val="7"/>
                <w:color w:val="auto"/>
              </w:rPr>
            </w:pPr>
          </w:p>
        </w:tc>
        <w:tc>
          <w:tcPr>
            <w:tcW w:w="660" w:type="dxa"/>
            <w:vAlign w:val="bottom"/>
            <w:tcBorders>
              <w:bottom w:val="single" w:sz="8" w:color="9BDA44"/>
            </w:tcBorders>
          </w:tcPr>
          <w:p>
            <w:pPr>
              <w:spacing w:after="0"/>
              <w:rPr>
                <w:sz w:val="7"/>
                <w:szCs w:val="7"/>
                <w:color w:val="auto"/>
              </w:rPr>
            </w:pPr>
          </w:p>
        </w:tc>
        <w:tc>
          <w:tcPr>
            <w:tcW w:w="100" w:type="dxa"/>
            <w:vAlign w:val="bottom"/>
            <w:tcBorders>
              <w:bottom w:val="single" w:sz="8" w:color="9BDA44"/>
            </w:tcBorders>
          </w:tcPr>
          <w:p>
            <w:pPr>
              <w:spacing w:after="0"/>
              <w:rPr>
                <w:sz w:val="7"/>
                <w:szCs w:val="7"/>
                <w:color w:val="auto"/>
              </w:rPr>
            </w:pPr>
          </w:p>
        </w:tc>
        <w:tc>
          <w:tcPr>
            <w:tcW w:w="100" w:type="dxa"/>
            <w:vAlign w:val="bottom"/>
            <w:tcBorders>
              <w:bottom w:val="single" w:sz="8" w:color="9BDA44"/>
            </w:tcBorders>
          </w:tcPr>
          <w:p>
            <w:pPr>
              <w:spacing w:after="0"/>
              <w:rPr>
                <w:sz w:val="7"/>
                <w:szCs w:val="7"/>
                <w:color w:val="auto"/>
              </w:rPr>
            </w:pPr>
          </w:p>
        </w:tc>
        <w:tc>
          <w:tcPr>
            <w:tcW w:w="560" w:type="dxa"/>
            <w:vAlign w:val="bottom"/>
            <w:tcBorders>
              <w:bottom w:val="single" w:sz="8" w:color="9BDA44"/>
            </w:tcBorders>
          </w:tcPr>
          <w:p>
            <w:pPr>
              <w:spacing w:after="0"/>
              <w:rPr>
                <w:sz w:val="7"/>
                <w:szCs w:val="7"/>
                <w:color w:val="auto"/>
              </w:rPr>
            </w:pPr>
          </w:p>
        </w:tc>
        <w:tc>
          <w:tcPr>
            <w:tcW w:w="120" w:type="dxa"/>
            <w:vAlign w:val="bottom"/>
            <w:tcBorders>
              <w:bottom w:val="single" w:sz="8" w:color="9BDA44"/>
            </w:tcBorders>
          </w:tcPr>
          <w:p>
            <w:pPr>
              <w:spacing w:after="0"/>
              <w:rPr>
                <w:sz w:val="7"/>
                <w:szCs w:val="7"/>
                <w:color w:val="auto"/>
              </w:rPr>
            </w:pPr>
          </w:p>
        </w:tc>
        <w:tc>
          <w:tcPr>
            <w:tcW w:w="80" w:type="dxa"/>
            <w:vAlign w:val="bottom"/>
            <w:tcBorders>
              <w:bottom w:val="single" w:sz="8" w:color="9BDA44"/>
            </w:tcBorders>
          </w:tcPr>
          <w:p>
            <w:pPr>
              <w:spacing w:after="0"/>
              <w:rPr>
                <w:sz w:val="7"/>
                <w:szCs w:val="7"/>
                <w:color w:val="auto"/>
              </w:rPr>
            </w:pPr>
          </w:p>
        </w:tc>
        <w:tc>
          <w:tcPr>
            <w:tcW w:w="580" w:type="dxa"/>
            <w:vAlign w:val="bottom"/>
            <w:tcBorders>
              <w:bottom w:val="single" w:sz="8" w:color="9BDA44"/>
            </w:tcBorders>
          </w:tcPr>
          <w:p>
            <w:pPr>
              <w:spacing w:after="0"/>
              <w:rPr>
                <w:sz w:val="7"/>
                <w:szCs w:val="7"/>
                <w:color w:val="auto"/>
              </w:rPr>
            </w:pPr>
          </w:p>
        </w:tc>
        <w:tc>
          <w:tcPr>
            <w:tcW w:w="100" w:type="dxa"/>
            <w:vAlign w:val="bottom"/>
            <w:tcBorders>
              <w:bottom w:val="single" w:sz="8" w:color="9BDA44"/>
            </w:tcBorders>
          </w:tcPr>
          <w:p>
            <w:pPr>
              <w:spacing w:after="0"/>
              <w:rPr>
                <w:sz w:val="7"/>
                <w:szCs w:val="7"/>
                <w:color w:val="auto"/>
              </w:rPr>
            </w:pPr>
          </w:p>
        </w:tc>
        <w:tc>
          <w:tcPr>
            <w:tcW w:w="140" w:type="dxa"/>
            <w:vAlign w:val="bottom"/>
            <w:tcBorders>
              <w:bottom w:val="single" w:sz="8" w:color="9BDA44"/>
            </w:tcBorders>
          </w:tcPr>
          <w:p>
            <w:pPr>
              <w:spacing w:after="0"/>
              <w:rPr>
                <w:sz w:val="7"/>
                <w:szCs w:val="7"/>
                <w:color w:val="auto"/>
              </w:rPr>
            </w:pPr>
          </w:p>
        </w:tc>
        <w:tc>
          <w:tcPr>
            <w:tcW w:w="880" w:type="dxa"/>
            <w:vAlign w:val="bottom"/>
            <w:tcBorders>
              <w:bottom w:val="single" w:sz="8" w:color="9BDA44"/>
              <w:right w:val="single" w:sz="8" w:color="9BDA44"/>
            </w:tcBorders>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5"/>
        </w:trPr>
        <w:tc>
          <w:tcPr>
            <w:tcW w:w="4560" w:type="dxa"/>
            <w:vAlign w:val="bottom"/>
            <w:gridSpan w:val="10"/>
          </w:tcPr>
          <w:p>
            <w:pPr>
              <w:ind w:left="20"/>
              <w:spacing w:after="0"/>
              <w:rPr>
                <w:sz w:val="20"/>
                <w:szCs w:val="20"/>
                <w:color w:val="auto"/>
              </w:rPr>
            </w:pPr>
            <w:r>
              <w:rPr>
                <w:rFonts w:ascii="Arial" w:cs="Arial" w:eastAsia="Arial" w:hAnsi="Arial"/>
                <w:sz w:val="12"/>
                <w:szCs w:val="12"/>
                <w:color w:val="auto"/>
              </w:rPr>
              <w:t>1. Reconciliation of Notes Receivable to the Consolidated Balance Sheet (Pro Rata):</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2220" w:type="dxa"/>
            <w:vAlign w:val="bottom"/>
          </w:tcPr>
          <w:p>
            <w:pPr>
              <w:ind w:left="120"/>
              <w:spacing w:after="0"/>
              <w:rPr>
                <w:sz w:val="20"/>
                <w:szCs w:val="20"/>
                <w:color w:val="auto"/>
              </w:rPr>
            </w:pPr>
            <w:r>
              <w:rPr>
                <w:rFonts w:ascii="Arial" w:cs="Arial" w:eastAsia="Arial" w:hAnsi="Arial"/>
                <w:sz w:val="12"/>
                <w:szCs w:val="12"/>
                <w:color w:val="auto"/>
              </w:rPr>
              <w:t>Total Notes Receivable per above</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56,475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220" w:type="dxa"/>
            <w:vAlign w:val="bottom"/>
          </w:tcPr>
          <w:p>
            <w:pPr>
              <w:ind w:left="120"/>
              <w:spacing w:after="0"/>
              <w:rPr>
                <w:sz w:val="20"/>
                <w:szCs w:val="20"/>
                <w:color w:val="auto"/>
              </w:rPr>
            </w:pPr>
            <w:r>
              <w:rPr>
                <w:rFonts w:ascii="Arial" w:cs="Arial" w:eastAsia="Arial" w:hAnsi="Arial"/>
                <w:sz w:val="12"/>
                <w:szCs w:val="12"/>
                <w:color w:val="auto"/>
              </w:rPr>
              <w:t>Pro-rata share of Fund loans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13,212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220" w:type="dxa"/>
            <w:vAlign w:val="bottom"/>
          </w:tcPr>
          <w:p>
            <w:pPr>
              <w:ind w:left="120"/>
              <w:spacing w:after="0"/>
              <w:rPr>
                <w:sz w:val="20"/>
                <w:szCs w:val="20"/>
                <w:color w:val="auto"/>
              </w:rPr>
            </w:pPr>
            <w:r>
              <w:rPr>
                <w:rFonts w:ascii="Arial" w:cs="Arial" w:eastAsia="Arial" w:hAnsi="Arial"/>
                <w:sz w:val="12"/>
                <w:szCs w:val="12"/>
                <w:color w:val="auto"/>
              </w:rPr>
              <w:t>Total Pro-rata Notes Receivable</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69,687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15</w:t>
            </w:r>
          </w:p>
        </w:tc>
      </w:tr>
    </w:tbl>
    <w:p>
      <w:pPr>
        <w:sectPr>
          <w:pgSz w:w="11900" w:h="16838" w:orient="portrait"/>
          <w:cols w:equalWidth="0" w:num="1">
            <w:col w:w="11100"/>
          </w:cols>
          <w:pgMar w:left="380" w:top="617" w:right="419" w:bottom="1440" w:gutter="0" w:footer="0" w:header="0"/>
        </w:sectPr>
      </w:pPr>
    </w:p>
    <w:bookmarkStart w:id="27" w:name="page28"/>
    <w:bookmarkEnd w:id="27"/>
    <w:p>
      <w:pPr>
        <w:ind w:left="300"/>
        <w:spacing w:after="0"/>
        <w:rPr>
          <w:sz w:val="20"/>
          <w:szCs w:val="20"/>
          <w:color w:val="auto"/>
        </w:rPr>
      </w:pPr>
      <w:r>
        <w:rPr>
          <w:rFonts w:ascii="Arial" w:cs="Arial" w:eastAsia="Arial" w:hAnsi="Arial"/>
          <w:sz w:val="20"/>
          <w:szCs w:val="20"/>
          <w:b w:val="1"/>
          <w:bCs w:val="1"/>
          <w:color w:val="auto"/>
        </w:rPr>
        <w:t>Transactional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36195</wp:posOffset>
            </wp:positionV>
            <wp:extent cx="671766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17665" cy="6985"/>
                    </a:xfrm>
                    <a:prstGeom prst="rect">
                      <a:avLst/>
                    </a:prstGeom>
                    <a:noFill/>
                  </pic:spPr>
                </pic:pic>
              </a:graphicData>
            </a:graphic>
          </wp:anchor>
        </w:drawing>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thousands)</w:t>
      </w:r>
    </w:p>
    <w:p>
      <w:pPr>
        <w:spacing w:after="0" w:line="123" w:lineRule="exact"/>
        <w:rPr>
          <w:sz w:val="20"/>
          <w:szCs w:val="20"/>
          <w:color w:val="auto"/>
        </w:rPr>
      </w:pPr>
    </w:p>
    <w:tbl>
      <w:tblPr>
        <w:tblLayout w:type="fixed"/>
        <w:tblInd w:w="280" w:type="dxa"/>
        <w:tblCellMar>
          <w:top w:w="0" w:type="dxa"/>
          <w:left w:w="0" w:type="dxa"/>
          <w:bottom w:w="0" w:type="dxa"/>
          <w:right w:w="0" w:type="dxa"/>
        </w:tblCellMar>
      </w:tblPr>
      <w:tr>
        <w:trPr>
          <w:trHeight w:val="175"/>
        </w:trPr>
        <w:tc>
          <w:tcPr>
            <w:tcW w:w="20" w:type="dxa"/>
            <w:vAlign w:val="bottom"/>
            <w:shd w:val="clear" w:color="auto" w:fill="ACACAC"/>
          </w:tcPr>
          <w:p>
            <w:pPr>
              <w:spacing w:after="0"/>
              <w:rPr>
                <w:sz w:val="15"/>
                <w:szCs w:val="15"/>
                <w:color w:val="auto"/>
              </w:rPr>
            </w:pPr>
          </w:p>
        </w:tc>
        <w:tc>
          <w:tcPr>
            <w:tcW w:w="420" w:type="dxa"/>
            <w:vAlign w:val="bottom"/>
            <w:shd w:val="clear" w:color="auto" w:fill="ACACAC"/>
          </w:tcPr>
          <w:p>
            <w:pPr>
              <w:spacing w:after="0"/>
              <w:rPr>
                <w:sz w:val="15"/>
                <w:szCs w:val="15"/>
                <w:color w:val="auto"/>
              </w:rPr>
            </w:pPr>
          </w:p>
        </w:tc>
        <w:tc>
          <w:tcPr>
            <w:tcW w:w="20" w:type="dxa"/>
            <w:vAlign w:val="bottom"/>
            <w:shd w:val="clear" w:color="auto" w:fill="ACACAC"/>
          </w:tcPr>
          <w:p>
            <w:pPr>
              <w:spacing w:after="0"/>
              <w:rPr>
                <w:sz w:val="15"/>
                <w:szCs w:val="15"/>
                <w:color w:val="auto"/>
              </w:rPr>
            </w:pPr>
          </w:p>
        </w:tc>
        <w:tc>
          <w:tcPr>
            <w:tcW w:w="1820" w:type="dxa"/>
            <w:vAlign w:val="bottom"/>
            <w:shd w:val="clear" w:color="auto" w:fill="ACACAC"/>
          </w:tcPr>
          <w:p>
            <w:pPr>
              <w:spacing w:after="0"/>
              <w:rPr>
                <w:sz w:val="15"/>
                <w:szCs w:val="15"/>
                <w:color w:val="auto"/>
              </w:rPr>
            </w:pPr>
          </w:p>
        </w:tc>
        <w:tc>
          <w:tcPr>
            <w:tcW w:w="1400" w:type="dxa"/>
            <w:vAlign w:val="bottom"/>
            <w:shd w:val="clear" w:color="auto" w:fill="ACACAC"/>
          </w:tcPr>
          <w:p>
            <w:pPr>
              <w:spacing w:after="0"/>
              <w:rPr>
                <w:sz w:val="15"/>
                <w:szCs w:val="15"/>
                <w:color w:val="auto"/>
              </w:rPr>
            </w:pPr>
          </w:p>
        </w:tc>
        <w:tc>
          <w:tcPr>
            <w:tcW w:w="3120" w:type="dxa"/>
            <w:vAlign w:val="bottom"/>
            <w:gridSpan w:val="2"/>
            <w:shd w:val="clear" w:color="auto" w:fill="ACACAC"/>
          </w:tcPr>
          <w:p>
            <w:pPr>
              <w:ind w:left="300"/>
              <w:spacing w:after="0"/>
              <w:rPr>
                <w:sz w:val="20"/>
                <w:szCs w:val="20"/>
                <w:color w:val="auto"/>
              </w:rPr>
            </w:pPr>
            <w:r>
              <w:rPr>
                <w:rFonts w:ascii="Arial" w:cs="Arial" w:eastAsia="Arial" w:hAnsi="Arial"/>
                <w:sz w:val="12"/>
                <w:szCs w:val="12"/>
                <w:b w:val="1"/>
                <w:bCs w:val="1"/>
                <w:color w:val="auto"/>
              </w:rPr>
              <w:t>PROPERTY ACQUISTIONS AND DISPOSITIONS</w:t>
            </w:r>
          </w:p>
        </w:tc>
        <w:tc>
          <w:tcPr>
            <w:tcW w:w="120" w:type="dxa"/>
            <w:vAlign w:val="bottom"/>
            <w:shd w:val="clear" w:color="auto" w:fill="ACACAC"/>
          </w:tcPr>
          <w:p>
            <w:pPr>
              <w:spacing w:after="0"/>
              <w:rPr>
                <w:sz w:val="15"/>
                <w:szCs w:val="15"/>
                <w:color w:val="auto"/>
              </w:rPr>
            </w:pPr>
          </w:p>
        </w:tc>
        <w:tc>
          <w:tcPr>
            <w:tcW w:w="840" w:type="dxa"/>
            <w:vAlign w:val="bottom"/>
            <w:shd w:val="clear" w:color="auto" w:fill="ACACAC"/>
          </w:tcPr>
          <w:p>
            <w:pPr>
              <w:spacing w:after="0"/>
              <w:rPr>
                <w:sz w:val="15"/>
                <w:szCs w:val="15"/>
                <w:color w:val="auto"/>
              </w:rPr>
            </w:pPr>
          </w:p>
        </w:tc>
        <w:tc>
          <w:tcPr>
            <w:tcW w:w="96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78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84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02"/>
              <w:spacing w:after="0"/>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Property Name</w:t>
            </w:r>
          </w:p>
        </w:tc>
        <w:tc>
          <w:tcPr>
            <w:tcW w:w="1400" w:type="dxa"/>
            <w:vAlign w:val="bottom"/>
            <w:tcBorders>
              <w:bottom w:val="single" w:sz="8" w:color="auto"/>
            </w:tcBorders>
          </w:tcPr>
          <w:p>
            <w:pPr>
              <w:ind w:left="660"/>
              <w:spacing w:after="0"/>
              <w:rPr>
                <w:sz w:val="20"/>
                <w:szCs w:val="20"/>
                <w:color w:val="auto"/>
              </w:rPr>
            </w:pPr>
            <w:r>
              <w:rPr>
                <w:rFonts w:ascii="Arial" w:cs="Arial" w:eastAsia="Arial" w:hAnsi="Arial"/>
                <w:sz w:val="12"/>
                <w:szCs w:val="12"/>
                <w:b w:val="1"/>
                <w:bCs w:val="1"/>
                <w:color w:val="auto"/>
              </w:rPr>
              <w:t>Location</w:t>
            </w:r>
          </w:p>
        </w:tc>
        <w:tc>
          <w:tcPr>
            <w:tcW w:w="1740" w:type="dxa"/>
            <w:vAlign w:val="bottom"/>
            <w:tcBorders>
              <w:bottom w:val="single" w:sz="8" w:color="auto"/>
            </w:tcBorders>
          </w:tcPr>
          <w:p>
            <w:pPr>
              <w:ind w:left="640"/>
              <w:spacing w:after="0"/>
              <w:rPr>
                <w:sz w:val="20"/>
                <w:szCs w:val="20"/>
                <w:color w:val="auto"/>
              </w:rPr>
            </w:pPr>
            <w:r>
              <w:rPr>
                <w:rFonts w:ascii="Arial" w:cs="Arial" w:eastAsia="Arial" w:hAnsi="Arial"/>
                <w:sz w:val="12"/>
                <w:szCs w:val="12"/>
                <w:b w:val="1"/>
                <w:bCs w:val="1"/>
                <w:color w:val="auto"/>
              </w:rPr>
              <w:t>Key Tenants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Date of Transaction</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Amount</w:t>
            </w:r>
          </w:p>
        </w:tc>
        <w:tc>
          <w:tcPr>
            <w:tcW w:w="108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2"/>
                <w:szCs w:val="12"/>
                <w:b w:val="1"/>
                <w:bCs w:val="1"/>
                <w:color w:val="auto"/>
              </w:rPr>
              <w:t>Ownership %</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99"/>
              </w:rPr>
              <w:t>Fund Share</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94"/>
              </w:rPr>
              <w:t>Acadia Share</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260" w:type="dxa"/>
            <w:vAlign w:val="bottom"/>
            <w:gridSpan w:val="3"/>
          </w:tcPr>
          <w:p>
            <w:pPr>
              <w:spacing w:after="0"/>
              <w:rPr>
                <w:sz w:val="20"/>
                <w:szCs w:val="20"/>
                <w:color w:val="auto"/>
              </w:rPr>
            </w:pPr>
            <w:r>
              <w:rPr>
                <w:rFonts w:ascii="Arial" w:cs="Arial" w:eastAsia="Arial" w:hAnsi="Arial"/>
                <w:sz w:val="12"/>
                <w:szCs w:val="12"/>
                <w:b w:val="1"/>
                <w:bCs w:val="1"/>
                <w:color w:val="auto"/>
              </w:rPr>
              <w:t>ACQUISITION</w:t>
            </w: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5"/>
              </w:rPr>
              <w:t>Fund V:</w:t>
            </w:r>
          </w:p>
        </w:tc>
        <w:tc>
          <w:tcPr>
            <w:tcW w:w="184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Arial" w:cs="Arial" w:eastAsia="Arial" w:hAnsi="Arial"/>
                <w:sz w:val="12"/>
                <w:szCs w:val="12"/>
                <w:color w:val="auto"/>
              </w:rPr>
              <w:t>Trussville</w:t>
            </w:r>
          </w:p>
        </w:tc>
        <w:tc>
          <w:tcPr>
            <w:tcW w:w="1400" w:type="dxa"/>
            <w:vAlign w:val="bottom"/>
          </w:tcPr>
          <w:p>
            <w:pPr>
              <w:ind w:left="180"/>
              <w:spacing w:after="0"/>
              <w:rPr>
                <w:sz w:val="20"/>
                <w:szCs w:val="20"/>
                <w:color w:val="auto"/>
              </w:rPr>
            </w:pPr>
            <w:r>
              <w:rPr>
                <w:rFonts w:ascii="Arial" w:cs="Arial" w:eastAsia="Arial" w:hAnsi="Arial"/>
                <w:sz w:val="12"/>
                <w:szCs w:val="12"/>
                <w:color w:val="auto"/>
              </w:rPr>
              <w:t>Trussville, AL</w:t>
            </w:r>
          </w:p>
        </w:tc>
        <w:tc>
          <w:tcPr>
            <w:tcW w:w="1740" w:type="dxa"/>
            <w:vAlign w:val="bottom"/>
          </w:tcPr>
          <w:p>
            <w:pPr>
              <w:ind w:left="260"/>
              <w:spacing w:after="0"/>
              <w:rPr>
                <w:sz w:val="20"/>
                <w:szCs w:val="20"/>
                <w:color w:val="auto"/>
              </w:rPr>
            </w:pPr>
            <w:r>
              <w:rPr>
                <w:rFonts w:ascii="Arial" w:cs="Arial" w:eastAsia="Arial" w:hAnsi="Arial"/>
                <w:sz w:val="12"/>
                <w:szCs w:val="12"/>
                <w:color w:val="auto"/>
              </w:rPr>
              <w:t>Wal-Mart, Regal Cinemas</w:t>
            </w:r>
          </w:p>
        </w:tc>
        <w:tc>
          <w:tcPr>
            <w:tcW w:w="1380" w:type="dxa"/>
            <w:vAlign w:val="bottom"/>
          </w:tcPr>
          <w:p>
            <w:pPr>
              <w:jc w:val="center"/>
              <w:spacing w:after="0"/>
              <w:rPr>
                <w:sz w:val="20"/>
                <w:szCs w:val="20"/>
                <w:color w:val="auto"/>
              </w:rPr>
            </w:pPr>
            <w:r>
              <w:rPr>
                <w:rFonts w:ascii="Arial" w:cs="Arial" w:eastAsia="Arial" w:hAnsi="Arial"/>
                <w:sz w:val="12"/>
                <w:szCs w:val="12"/>
                <w:color w:val="auto"/>
                <w:w w:val="97"/>
              </w:rPr>
              <w:t>February 21, 2018</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45,200</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100.00% $</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45,200</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9,085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45,200</w:t>
            </w:r>
          </w:p>
        </w:tc>
        <w:tc>
          <w:tcPr>
            <w:tcW w:w="9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45,200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9,085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DISPOSITION</w:t>
            </w: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226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60" w:type="dxa"/>
            <w:vAlign w:val="bottom"/>
            <w:gridSpan w:val="3"/>
          </w:tcPr>
          <w:p>
            <w:pPr>
              <w:spacing w:after="0"/>
              <w:rPr>
                <w:sz w:val="20"/>
                <w:szCs w:val="20"/>
                <w:color w:val="auto"/>
              </w:rPr>
            </w:pPr>
            <w:r>
              <w:rPr>
                <w:rFonts w:ascii="Arial" w:cs="Arial" w:eastAsia="Arial" w:hAnsi="Arial"/>
                <w:sz w:val="12"/>
                <w:szCs w:val="12"/>
                <w:color w:val="auto"/>
              </w:rPr>
              <w:t>Fund IV:</w:t>
            </w:r>
          </w:p>
        </w:tc>
        <w:tc>
          <w:tcPr>
            <w:tcW w:w="1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Arial" w:cs="Arial" w:eastAsia="Arial" w:hAnsi="Arial"/>
                <w:sz w:val="12"/>
                <w:szCs w:val="12"/>
                <w:color w:val="auto"/>
              </w:rPr>
              <w:t>Broughton Street Portfolio (2 properties)</w:t>
            </w:r>
          </w:p>
        </w:tc>
        <w:tc>
          <w:tcPr>
            <w:tcW w:w="1400" w:type="dxa"/>
            <w:vAlign w:val="bottom"/>
          </w:tcPr>
          <w:p>
            <w:pPr>
              <w:ind w:left="180"/>
              <w:spacing w:after="0"/>
              <w:rPr>
                <w:sz w:val="20"/>
                <w:szCs w:val="20"/>
                <w:color w:val="auto"/>
              </w:rPr>
            </w:pPr>
            <w:r>
              <w:rPr>
                <w:rFonts w:ascii="Arial" w:cs="Arial" w:eastAsia="Arial" w:hAnsi="Arial"/>
                <w:sz w:val="12"/>
                <w:szCs w:val="12"/>
                <w:color w:val="auto"/>
              </w:rPr>
              <w:t>Savannah, GA</w:t>
            </w:r>
          </w:p>
        </w:tc>
        <w:tc>
          <w:tcPr>
            <w:tcW w:w="17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w w:val="97"/>
              </w:rPr>
              <w:t>January 18, 2018</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7,950</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50.00% $</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3,975</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919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7,950</w:t>
            </w:r>
          </w:p>
        </w:tc>
        <w:tc>
          <w:tcPr>
            <w:tcW w:w="9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3,975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tbl>
      <w:tblPr>
        <w:tblLayout w:type="fixed"/>
        <w:tblInd w:w="280" w:type="dxa"/>
        <w:tblCellMar>
          <w:top w:w="0" w:type="dxa"/>
          <w:left w:w="0" w:type="dxa"/>
          <w:bottom w:w="0" w:type="dxa"/>
          <w:right w:w="0" w:type="dxa"/>
        </w:tblCellMar>
      </w:tblPr>
      <w:tr>
        <w:trPr>
          <w:trHeight w:val="155"/>
        </w:trPr>
        <w:tc>
          <w:tcPr>
            <w:tcW w:w="20" w:type="dxa"/>
            <w:vAlign w:val="bottom"/>
            <w:tcBorders>
              <w:bottom w:val="single" w:sz="8" w:color="ACACAC"/>
            </w:tcBorders>
            <w:shd w:val="clear" w:color="auto" w:fill="ACACAC"/>
          </w:tcPr>
          <w:p>
            <w:pPr>
              <w:spacing w:after="0"/>
              <w:rPr>
                <w:sz w:val="13"/>
                <w:szCs w:val="13"/>
                <w:color w:val="auto"/>
              </w:rPr>
            </w:pPr>
          </w:p>
        </w:tc>
        <w:tc>
          <w:tcPr>
            <w:tcW w:w="300" w:type="dxa"/>
            <w:vAlign w:val="bottom"/>
            <w:tcBorders>
              <w:bottom w:val="single" w:sz="8" w:color="ACACAC"/>
            </w:tcBorders>
            <w:shd w:val="clear" w:color="auto" w:fill="ACACAC"/>
          </w:tcPr>
          <w:p>
            <w:pPr>
              <w:spacing w:after="0"/>
              <w:rPr>
                <w:sz w:val="13"/>
                <w:szCs w:val="13"/>
                <w:color w:val="auto"/>
              </w:rPr>
            </w:pPr>
          </w:p>
        </w:tc>
        <w:tc>
          <w:tcPr>
            <w:tcW w:w="1760" w:type="dxa"/>
            <w:vAlign w:val="bottom"/>
            <w:tcBorders>
              <w:bottom w:val="single" w:sz="8" w:color="ACACAC"/>
            </w:tcBorders>
            <w:shd w:val="clear" w:color="auto" w:fill="ACACAC"/>
          </w:tcPr>
          <w:p>
            <w:pPr>
              <w:spacing w:after="0"/>
              <w:rPr>
                <w:sz w:val="13"/>
                <w:szCs w:val="13"/>
                <w:color w:val="auto"/>
              </w:rPr>
            </w:pPr>
          </w:p>
        </w:tc>
        <w:tc>
          <w:tcPr>
            <w:tcW w:w="2180" w:type="dxa"/>
            <w:vAlign w:val="bottom"/>
            <w:tcBorders>
              <w:bottom w:val="single" w:sz="8" w:color="ACACAC"/>
            </w:tcBorders>
            <w:shd w:val="clear" w:color="auto" w:fill="ACACAC"/>
          </w:tcPr>
          <w:p>
            <w:pPr>
              <w:spacing w:after="0"/>
              <w:rPr>
                <w:sz w:val="13"/>
                <w:szCs w:val="13"/>
                <w:color w:val="auto"/>
              </w:rPr>
            </w:pPr>
          </w:p>
        </w:tc>
        <w:tc>
          <w:tcPr>
            <w:tcW w:w="254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2"/>
                <w:szCs w:val="12"/>
                <w:b w:val="1"/>
                <w:bCs w:val="1"/>
                <w:color w:val="auto"/>
                <w:highlight w:val="darkGray"/>
              </w:rPr>
              <w:t>STRUCTURED FINANCING ACTIVITY</w:t>
            </w:r>
          </w:p>
        </w:tc>
        <w:tc>
          <w:tcPr>
            <w:tcW w:w="120" w:type="dxa"/>
            <w:vAlign w:val="bottom"/>
            <w:tcBorders>
              <w:bottom w:val="single" w:sz="8" w:color="ACACAC"/>
            </w:tcBorders>
            <w:shd w:val="clear" w:color="auto" w:fill="ACACAC"/>
          </w:tcPr>
          <w:p>
            <w:pPr>
              <w:spacing w:after="0"/>
              <w:rPr>
                <w:sz w:val="13"/>
                <w:szCs w:val="13"/>
                <w:color w:val="auto"/>
              </w:rPr>
            </w:pPr>
          </w:p>
        </w:tc>
        <w:tc>
          <w:tcPr>
            <w:tcW w:w="840" w:type="dxa"/>
            <w:vAlign w:val="bottom"/>
            <w:tcBorders>
              <w:bottom w:val="single" w:sz="8" w:color="ACACAC"/>
            </w:tcBorders>
            <w:shd w:val="clear" w:color="auto" w:fill="ACACAC"/>
          </w:tcPr>
          <w:p>
            <w:pPr>
              <w:spacing w:after="0"/>
              <w:rPr>
                <w:sz w:val="13"/>
                <w:szCs w:val="13"/>
                <w:color w:val="auto"/>
              </w:rPr>
            </w:pPr>
          </w:p>
        </w:tc>
        <w:tc>
          <w:tcPr>
            <w:tcW w:w="960" w:type="dxa"/>
            <w:vAlign w:val="bottom"/>
            <w:tcBorders>
              <w:bottom w:val="single" w:sz="8" w:color="ACACAC"/>
            </w:tcBorders>
            <w:shd w:val="clear" w:color="auto" w:fill="ACACAC"/>
          </w:tcPr>
          <w:p>
            <w:pPr>
              <w:spacing w:after="0"/>
              <w:rPr>
                <w:sz w:val="13"/>
                <w:szCs w:val="13"/>
                <w:color w:val="auto"/>
              </w:rPr>
            </w:pPr>
          </w:p>
        </w:tc>
        <w:tc>
          <w:tcPr>
            <w:tcW w:w="120" w:type="dxa"/>
            <w:vAlign w:val="bottom"/>
            <w:tcBorders>
              <w:bottom w:val="single" w:sz="8" w:color="ACACAC"/>
            </w:tcBorders>
            <w:shd w:val="clear" w:color="auto" w:fill="ACACAC"/>
          </w:tcPr>
          <w:p>
            <w:pPr>
              <w:spacing w:after="0"/>
              <w:rPr>
                <w:sz w:val="13"/>
                <w:szCs w:val="13"/>
                <w:color w:val="auto"/>
              </w:rPr>
            </w:pPr>
          </w:p>
        </w:tc>
        <w:tc>
          <w:tcPr>
            <w:tcW w:w="780" w:type="dxa"/>
            <w:vAlign w:val="bottom"/>
            <w:tcBorders>
              <w:bottom w:val="single" w:sz="8" w:color="ACACAC"/>
            </w:tcBorders>
            <w:shd w:val="clear" w:color="auto" w:fill="ACACAC"/>
          </w:tcPr>
          <w:p>
            <w:pPr>
              <w:spacing w:after="0"/>
              <w:rPr>
                <w:sz w:val="13"/>
                <w:szCs w:val="13"/>
                <w:color w:val="auto"/>
              </w:rPr>
            </w:pPr>
          </w:p>
        </w:tc>
        <w:tc>
          <w:tcPr>
            <w:tcW w:w="120" w:type="dxa"/>
            <w:vAlign w:val="bottom"/>
            <w:tcBorders>
              <w:bottom w:val="single" w:sz="8" w:color="ACACAC"/>
            </w:tcBorders>
            <w:shd w:val="clear" w:color="auto" w:fill="ACACAC"/>
          </w:tcPr>
          <w:p>
            <w:pPr>
              <w:spacing w:after="0"/>
              <w:rPr>
                <w:sz w:val="13"/>
                <w:szCs w:val="13"/>
                <w:color w:val="auto"/>
              </w:rPr>
            </w:pPr>
          </w:p>
        </w:tc>
        <w:tc>
          <w:tcPr>
            <w:tcW w:w="840" w:type="dxa"/>
            <w:vAlign w:val="bottom"/>
            <w:tcBorders>
              <w:bottom w:val="single" w:sz="8" w:color="ACACAC"/>
            </w:tcBorders>
            <w:shd w:val="clear" w:color="auto" w:fill="ACACAC"/>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02"/>
              <w:spacing w:after="0"/>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58"/>
        </w:trPr>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Note Description</w:t>
            </w:r>
          </w:p>
        </w:tc>
        <w:tc>
          <w:tcPr>
            <w:tcW w:w="2180" w:type="dxa"/>
            <w:vAlign w:val="bottom"/>
            <w:tcBorders>
              <w:bottom w:val="single" w:sz="8" w:color="auto"/>
            </w:tcBorders>
          </w:tcPr>
          <w:p>
            <w:pPr>
              <w:ind w:left="640"/>
              <w:spacing w:after="0"/>
              <w:rPr>
                <w:sz w:val="20"/>
                <w:szCs w:val="20"/>
                <w:color w:val="auto"/>
              </w:rPr>
            </w:pPr>
            <w:r>
              <w:rPr>
                <w:rFonts w:ascii="Arial" w:cs="Arial" w:eastAsia="Arial" w:hAnsi="Arial"/>
                <w:sz w:val="12"/>
                <w:szCs w:val="12"/>
                <w:b w:val="1"/>
                <w:bCs w:val="1"/>
                <w:color w:val="auto"/>
              </w:rPr>
              <w:t>Transaction Type</w:t>
            </w:r>
          </w:p>
        </w:tc>
        <w:tc>
          <w:tcPr>
            <w:tcW w:w="2540" w:type="dxa"/>
            <w:vAlign w:val="bottom"/>
            <w:tcBorders>
              <w:bottom w:val="single" w:sz="8" w:color="auto"/>
            </w:tcBorders>
          </w:tcPr>
          <w:p>
            <w:pPr>
              <w:jc w:val="center"/>
              <w:ind w:left="1082"/>
              <w:spacing w:after="0"/>
              <w:rPr>
                <w:sz w:val="20"/>
                <w:szCs w:val="20"/>
                <w:color w:val="auto"/>
              </w:rPr>
            </w:pPr>
            <w:r>
              <w:rPr>
                <w:rFonts w:ascii="Arial" w:cs="Arial" w:eastAsia="Arial" w:hAnsi="Arial"/>
                <w:sz w:val="12"/>
                <w:szCs w:val="12"/>
                <w:b w:val="1"/>
                <w:bCs w:val="1"/>
                <w:color w:val="auto"/>
                <w:w w:val="96"/>
              </w:rPr>
              <w:t>Date of Transaction</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Amount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Ownership %</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Fund Share</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94"/>
              </w:rPr>
              <w:t>Acadia Share</w:t>
            </w:r>
          </w:p>
        </w:tc>
      </w:tr>
      <w:tr>
        <w:trPr>
          <w:trHeight w:val="280"/>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5"/>
              </w:rPr>
              <w:t>Core:</w:t>
            </w:r>
          </w:p>
        </w:tc>
        <w:tc>
          <w:tcPr>
            <w:tcW w:w="1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auto"/>
              </w:rPr>
              <w:t>55-57 Spring Street</w:t>
            </w:r>
          </w:p>
        </w:tc>
        <w:tc>
          <w:tcPr>
            <w:tcW w:w="2180" w:type="dxa"/>
            <w:vAlign w:val="bottom"/>
          </w:tcPr>
          <w:p>
            <w:pPr>
              <w:ind w:left="380"/>
              <w:spacing w:after="0"/>
              <w:rPr>
                <w:sz w:val="20"/>
                <w:szCs w:val="20"/>
                <w:color w:val="auto"/>
              </w:rPr>
            </w:pPr>
            <w:r>
              <w:rPr>
                <w:rFonts w:ascii="Arial" w:cs="Arial" w:eastAsia="Arial" w:hAnsi="Arial"/>
                <w:sz w:val="12"/>
                <w:szCs w:val="12"/>
                <w:color w:val="auto"/>
              </w:rPr>
              <w:t>Redemption</w:t>
            </w:r>
          </w:p>
        </w:tc>
        <w:tc>
          <w:tcPr>
            <w:tcW w:w="2540" w:type="dxa"/>
            <w:vAlign w:val="bottom"/>
          </w:tcPr>
          <w:p>
            <w:pPr>
              <w:jc w:val="center"/>
              <w:ind w:left="1102"/>
              <w:spacing w:after="0"/>
              <w:rPr>
                <w:sz w:val="20"/>
                <w:szCs w:val="20"/>
                <w:color w:val="auto"/>
              </w:rPr>
            </w:pPr>
            <w:r>
              <w:rPr>
                <w:rFonts w:ascii="Arial" w:cs="Arial" w:eastAsia="Arial" w:hAnsi="Arial"/>
                <w:sz w:val="12"/>
                <w:szCs w:val="12"/>
                <w:color w:val="auto"/>
                <w:w w:val="97"/>
              </w:rPr>
              <w:t>January 24, 2018</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(26,000)</w:t>
            </w:r>
          </w:p>
        </w:tc>
        <w:tc>
          <w:tcPr>
            <w:tcW w:w="960" w:type="dxa"/>
            <w:vAlign w:val="bottom"/>
          </w:tcPr>
          <w:p>
            <w:pPr>
              <w:jc w:val="right"/>
              <w:spacing w:after="0"/>
              <w:rPr>
                <w:sz w:val="20"/>
                <w:szCs w:val="20"/>
                <w:color w:val="auto"/>
              </w:rPr>
            </w:pPr>
            <w:r>
              <w:rPr>
                <w:rFonts w:ascii="Arial" w:cs="Arial" w:eastAsia="Arial" w:hAnsi="Arial"/>
                <w:sz w:val="12"/>
                <w:szCs w:val="12"/>
                <w:color w:val="auto"/>
              </w:rPr>
              <w:t>100.00%</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ind w:left="60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(26,000)</w:t>
            </w:r>
          </w:p>
        </w:tc>
      </w:tr>
      <w:tr>
        <w:trPr>
          <w:trHeight w:val="219"/>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auto"/>
              </w:rPr>
              <w:t>135 East 65th</w:t>
            </w:r>
          </w:p>
        </w:tc>
        <w:tc>
          <w:tcPr>
            <w:tcW w:w="2180" w:type="dxa"/>
            <w:vAlign w:val="bottom"/>
          </w:tcPr>
          <w:p>
            <w:pPr>
              <w:ind w:left="380"/>
              <w:spacing w:after="0"/>
              <w:rPr>
                <w:sz w:val="20"/>
                <w:szCs w:val="20"/>
                <w:color w:val="auto"/>
              </w:rPr>
            </w:pPr>
            <w:r>
              <w:rPr>
                <w:rFonts w:ascii="Arial" w:cs="Arial" w:eastAsia="Arial" w:hAnsi="Arial"/>
                <w:sz w:val="12"/>
                <w:szCs w:val="12"/>
                <w:color w:val="auto"/>
              </w:rPr>
              <w:t>Advance</w:t>
            </w:r>
          </w:p>
        </w:tc>
        <w:tc>
          <w:tcPr>
            <w:tcW w:w="2540" w:type="dxa"/>
            <w:vAlign w:val="bottom"/>
          </w:tcPr>
          <w:p>
            <w:pPr>
              <w:jc w:val="center"/>
              <w:ind w:left="1082"/>
              <w:spacing w:after="0"/>
              <w:rPr>
                <w:sz w:val="20"/>
                <w:szCs w:val="20"/>
                <w:color w:val="auto"/>
              </w:rPr>
            </w:pPr>
            <w:r>
              <w:rPr>
                <w:rFonts w:ascii="Arial" w:cs="Arial" w:eastAsia="Arial" w:hAnsi="Arial"/>
                <w:sz w:val="12"/>
                <w:szCs w:val="12"/>
                <w:color w:val="auto"/>
                <w:w w:val="95"/>
              </w:rPr>
              <w:t>March 16, 2018</w:t>
            </w:r>
          </w:p>
        </w:tc>
        <w:tc>
          <w:tcPr>
            <w:tcW w:w="120" w:type="dxa"/>
            <w:vAlign w:val="bottom"/>
          </w:tcPr>
          <w:p>
            <w:pPr>
              <w:spacing w:after="0"/>
              <w:rPr>
                <w:sz w:val="19"/>
                <w:szCs w:val="19"/>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2,801</w:t>
            </w:r>
          </w:p>
        </w:tc>
        <w:tc>
          <w:tcPr>
            <w:tcW w:w="960" w:type="dxa"/>
            <w:vAlign w:val="bottom"/>
          </w:tcPr>
          <w:p>
            <w:pPr>
              <w:jc w:val="right"/>
              <w:spacing w:after="0"/>
              <w:rPr>
                <w:sz w:val="20"/>
                <w:szCs w:val="20"/>
                <w:color w:val="auto"/>
              </w:rPr>
            </w:pPr>
            <w:r>
              <w:rPr>
                <w:rFonts w:ascii="Arial" w:cs="Arial" w:eastAsia="Arial" w:hAnsi="Arial"/>
                <w:sz w:val="12"/>
                <w:szCs w:val="12"/>
                <w:color w:val="auto"/>
              </w:rPr>
              <w:t>100.00%</w:t>
            </w: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2,801</w:t>
            </w:r>
          </w:p>
        </w:tc>
      </w:tr>
      <w:tr>
        <w:trPr>
          <w:trHeight w:val="219"/>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auto"/>
              </w:rPr>
              <w:t>Town Center</w:t>
            </w:r>
          </w:p>
        </w:tc>
        <w:tc>
          <w:tcPr>
            <w:tcW w:w="2180" w:type="dxa"/>
            <w:vAlign w:val="bottom"/>
          </w:tcPr>
          <w:p>
            <w:pPr>
              <w:ind w:left="380"/>
              <w:spacing w:after="0"/>
              <w:rPr>
                <w:sz w:val="20"/>
                <w:szCs w:val="20"/>
                <w:color w:val="auto"/>
              </w:rPr>
            </w:pPr>
            <w:r>
              <w:rPr>
                <w:rFonts w:ascii="Arial" w:cs="Arial" w:eastAsia="Arial" w:hAnsi="Arial"/>
                <w:sz w:val="12"/>
                <w:szCs w:val="12"/>
                <w:color w:val="auto"/>
              </w:rPr>
              <w:t>Conversion</w:t>
            </w:r>
          </w:p>
        </w:tc>
        <w:tc>
          <w:tcPr>
            <w:tcW w:w="2540" w:type="dxa"/>
            <w:vAlign w:val="bottom"/>
          </w:tcPr>
          <w:p>
            <w:pPr>
              <w:jc w:val="center"/>
              <w:ind w:left="1082"/>
              <w:spacing w:after="0"/>
              <w:rPr>
                <w:sz w:val="20"/>
                <w:szCs w:val="20"/>
                <w:color w:val="auto"/>
              </w:rPr>
            </w:pPr>
            <w:r>
              <w:rPr>
                <w:rFonts w:ascii="Arial" w:cs="Arial" w:eastAsia="Arial" w:hAnsi="Arial"/>
                <w:sz w:val="12"/>
                <w:szCs w:val="12"/>
                <w:color w:val="auto"/>
                <w:w w:val="95"/>
              </w:rPr>
              <w:t>March 28, 2018</w:t>
            </w:r>
          </w:p>
        </w:tc>
        <w:tc>
          <w:tcPr>
            <w:tcW w:w="120" w:type="dxa"/>
            <w:vAlign w:val="bottom"/>
          </w:tcPr>
          <w:p>
            <w:pPr>
              <w:spacing w:after="0"/>
              <w:rPr>
                <w:sz w:val="19"/>
                <w:szCs w:val="19"/>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(22,021)</w:t>
            </w:r>
          </w:p>
        </w:tc>
        <w:tc>
          <w:tcPr>
            <w:tcW w:w="960" w:type="dxa"/>
            <w:vAlign w:val="bottom"/>
          </w:tcPr>
          <w:p>
            <w:pPr>
              <w:jc w:val="right"/>
              <w:spacing w:after="0"/>
              <w:rPr>
                <w:sz w:val="20"/>
                <w:szCs w:val="20"/>
                <w:color w:val="auto"/>
              </w:rPr>
            </w:pPr>
            <w:r>
              <w:rPr>
                <w:rFonts w:ascii="Arial" w:cs="Arial" w:eastAsia="Arial" w:hAnsi="Arial"/>
                <w:sz w:val="12"/>
                <w:szCs w:val="12"/>
                <w:color w:val="auto"/>
              </w:rPr>
              <w:t>100.00%</w:t>
            </w: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(22,021)</w:t>
            </w:r>
          </w:p>
        </w:tc>
      </w:tr>
      <w:tr>
        <w:trPr>
          <w:trHeight w:val="108"/>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(45,220)</w:t>
            </w:r>
          </w:p>
        </w:tc>
        <w:tc>
          <w:tcPr>
            <w:tcW w:w="9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(45,220)</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16</w:t>
            </w:r>
          </w:p>
        </w:tc>
      </w:tr>
    </w:tbl>
    <w:p>
      <w:pPr>
        <w:sectPr>
          <w:pgSz w:w="11900" w:h="16838" w:orient="portrait"/>
          <w:cols w:equalWidth="0" w:num="1">
            <w:col w:w="10860"/>
          </w:cols>
          <w:pgMar w:left="380" w:top="617" w:right="659" w:bottom="1440" w:gutter="0" w:footer="0" w:header="0"/>
        </w:sectPr>
      </w:pPr>
    </w:p>
    <w:bookmarkStart w:id="28" w:name="page29"/>
    <w:bookmarkEnd w:id="28"/>
    <w:p>
      <w:pPr>
        <w:ind w:left="20"/>
        <w:spacing w:after="0"/>
        <w:rPr>
          <w:sz w:val="20"/>
          <w:szCs w:val="20"/>
          <w:color w:val="auto"/>
        </w:rPr>
      </w:pPr>
      <w:r>
        <w:rPr>
          <w:rFonts w:ascii="Arial" w:cs="Arial" w:eastAsia="Arial" w:hAnsi="Arial"/>
          <w:sz w:val="20"/>
          <w:szCs w:val="20"/>
          <w:b w:val="1"/>
          <w:bCs w:val="1"/>
          <w:color w:val="auto"/>
        </w:rPr>
        <w:t>2018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7265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The Company reaffirms that its 2018 annual earnings per share will range from $0.37 to $0.48 and 2018 FFO per share will range from $1.33 to $1.45.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17</w:t>
            </w:r>
          </w:p>
        </w:tc>
      </w:tr>
    </w:tbl>
    <w:p>
      <w:pPr>
        <w:sectPr>
          <w:pgSz w:w="11900" w:h="16838" w:orient="portrait"/>
          <w:cols w:equalWidth="0" w:num="1">
            <w:col w:w="10660"/>
          </w:cols>
          <w:pgMar w:left="220" w:top="617" w:right="101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b w:val="1"/>
          <w:bCs w:val="1"/>
          <w:color w:val="auto"/>
        </w:rPr>
        <w:t>Net Asset Valuation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7265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5"/>
          <w:szCs w:val="15"/>
          <w:color w:val="auto"/>
        </w:rPr>
        <w:t>(in thousands)</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2"/>
                <w:szCs w:val="12"/>
                <w:b w:val="1"/>
                <w:bCs w:val="1"/>
                <w:color w:val="auto"/>
                <w:w w:val="92"/>
              </w:rPr>
              <w:t>CORE</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jc w:val="right"/>
              <w:ind w:right="409"/>
              <w:spacing w:after="0"/>
              <w:rPr>
                <w:sz w:val="20"/>
                <w:szCs w:val="20"/>
                <w:color w:val="auto"/>
              </w:rPr>
            </w:pPr>
            <w:r>
              <w:rPr>
                <w:rFonts w:ascii="Arial" w:cs="Arial" w:eastAsia="Arial" w:hAnsi="Arial"/>
                <w:sz w:val="12"/>
                <w:szCs w:val="12"/>
                <w:b w:val="1"/>
                <w:bCs w:val="1"/>
                <w:color w:val="auto"/>
              </w:rPr>
              <w:t>FUND III</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right"/>
              <w:ind w:right="409"/>
              <w:spacing w:after="0"/>
              <w:rPr>
                <w:sz w:val="20"/>
                <w:szCs w:val="20"/>
                <w:color w:val="auto"/>
              </w:rPr>
            </w:pPr>
            <w:r>
              <w:rPr>
                <w:rFonts w:ascii="Arial" w:cs="Arial" w:eastAsia="Arial" w:hAnsi="Arial"/>
                <w:sz w:val="12"/>
                <w:szCs w:val="12"/>
                <w:b w:val="1"/>
                <w:bCs w:val="1"/>
                <w:color w:val="auto"/>
              </w:rPr>
              <w:t>FUND IV</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449"/>
              <w:spacing w:after="0"/>
              <w:rPr>
                <w:sz w:val="20"/>
                <w:szCs w:val="20"/>
                <w:color w:val="auto"/>
              </w:rPr>
            </w:pPr>
            <w:r>
              <w:rPr>
                <w:rFonts w:ascii="Arial" w:cs="Arial" w:eastAsia="Arial" w:hAnsi="Arial"/>
                <w:sz w:val="12"/>
                <w:szCs w:val="12"/>
                <w:b w:val="1"/>
                <w:bCs w:val="1"/>
                <w:color w:val="auto"/>
              </w:rPr>
              <w:t>FUND V</w:t>
            </w: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right"/>
              <w:ind w:right="88"/>
              <w:spacing w:after="0"/>
              <w:rPr>
                <w:sz w:val="20"/>
                <w:szCs w:val="20"/>
                <w:color w:val="auto"/>
              </w:rPr>
            </w:pPr>
            <w:r>
              <w:rPr>
                <w:rFonts w:ascii="Arial" w:cs="Arial" w:eastAsia="Arial" w:hAnsi="Arial"/>
                <w:sz w:val="12"/>
                <w:szCs w:val="12"/>
                <w:b w:val="1"/>
                <w:bCs w:val="1"/>
                <w:color w:val="auto"/>
              </w:rPr>
              <w:t>AKR Pro-rata</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right"/>
              <w:ind w:right="88"/>
              <w:spacing w:after="0"/>
              <w:rPr>
                <w:sz w:val="20"/>
                <w:szCs w:val="20"/>
                <w:color w:val="auto"/>
              </w:rPr>
            </w:pPr>
            <w:r>
              <w:rPr>
                <w:rFonts w:ascii="Arial" w:cs="Arial" w:eastAsia="Arial" w:hAnsi="Arial"/>
                <w:sz w:val="12"/>
                <w:szCs w:val="12"/>
                <w:b w:val="1"/>
                <w:bCs w:val="1"/>
                <w:color w:val="auto"/>
              </w:rPr>
              <w:t>AKR Pro-rata</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right"/>
              <w:ind w:right="68"/>
              <w:spacing w:after="0"/>
              <w:rPr>
                <w:sz w:val="20"/>
                <w:szCs w:val="20"/>
                <w:color w:val="auto"/>
              </w:rPr>
            </w:pPr>
            <w:r>
              <w:rPr>
                <w:rFonts w:ascii="Arial" w:cs="Arial" w:eastAsia="Arial" w:hAnsi="Arial"/>
                <w:sz w:val="12"/>
                <w:szCs w:val="12"/>
                <w:b w:val="1"/>
                <w:bCs w:val="1"/>
                <w:color w:val="auto"/>
              </w:rPr>
              <w:t>AKR Pro-rata</w:t>
            </w:r>
          </w:p>
        </w:tc>
        <w:tc>
          <w:tcPr>
            <w:tcW w:w="0" w:type="dxa"/>
            <w:vAlign w:val="bottom"/>
          </w:tcPr>
          <w:p>
            <w:pPr>
              <w:spacing w:after="0"/>
              <w:rPr>
                <w:sz w:val="1"/>
                <w:szCs w:val="1"/>
                <w:color w:val="auto"/>
              </w:rPr>
            </w:pPr>
          </w:p>
        </w:tc>
      </w:tr>
      <w:tr>
        <w:trPr>
          <w:trHeight w:val="158"/>
        </w:trPr>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2"/>
                <w:szCs w:val="12"/>
                <w:b w:val="1"/>
                <w:bCs w:val="1"/>
                <w:color w:val="auto"/>
              </w:rPr>
              <w:t>Fund Level</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2"/>
                <w:szCs w:val="12"/>
                <w:b w:val="1"/>
                <w:bCs w:val="1"/>
                <w:color w:val="auto"/>
                <w:w w:val="93"/>
              </w:rPr>
              <w:t>share</w:t>
            </w:r>
          </w:p>
        </w:tc>
        <w:tc>
          <w:tcPr>
            <w:tcW w:w="100" w:type="dxa"/>
            <w:vAlign w:val="bottom"/>
          </w:tcPr>
          <w:p>
            <w:pPr>
              <w:spacing w:after="0"/>
              <w:rPr>
                <w:sz w:val="13"/>
                <w:szCs w:val="13"/>
                <w:color w:val="auto"/>
              </w:rPr>
            </w:pPr>
          </w:p>
        </w:tc>
        <w:tc>
          <w:tcPr>
            <w:tcW w:w="118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2"/>
                <w:szCs w:val="12"/>
                <w:b w:val="1"/>
                <w:bCs w:val="1"/>
                <w:color w:val="auto"/>
              </w:rPr>
              <w:t>Fund Level</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2"/>
                <w:szCs w:val="12"/>
                <w:b w:val="1"/>
                <w:bCs w:val="1"/>
                <w:color w:val="auto"/>
                <w:w w:val="99"/>
              </w:rPr>
              <w:t>share</w:t>
            </w:r>
          </w:p>
        </w:tc>
        <w:tc>
          <w:tcPr>
            <w:tcW w:w="100" w:type="dxa"/>
            <w:vAlign w:val="bottom"/>
          </w:tcPr>
          <w:p>
            <w:pPr>
              <w:spacing w:after="0"/>
              <w:rPr>
                <w:sz w:val="13"/>
                <w:szCs w:val="13"/>
                <w:color w:val="auto"/>
              </w:rPr>
            </w:pPr>
          </w:p>
        </w:tc>
        <w:tc>
          <w:tcPr>
            <w:tcW w:w="118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2"/>
                <w:szCs w:val="12"/>
                <w:b w:val="1"/>
                <w:bCs w:val="1"/>
                <w:color w:val="auto"/>
              </w:rPr>
              <w:t>Fund Level</w:t>
            </w:r>
          </w:p>
        </w:tc>
        <w:tc>
          <w:tcPr>
            <w:tcW w:w="120" w:type="dxa"/>
            <w:vAlign w:val="bottom"/>
          </w:tcPr>
          <w:p>
            <w:pPr>
              <w:spacing w:after="0"/>
              <w:rPr>
                <w:sz w:val="13"/>
                <w:szCs w:val="13"/>
                <w:color w:val="auto"/>
              </w:rPr>
            </w:pPr>
          </w:p>
        </w:tc>
        <w:tc>
          <w:tcPr>
            <w:tcW w:w="9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2"/>
                <w:szCs w:val="12"/>
                <w:b w:val="1"/>
                <w:bCs w:val="1"/>
                <w:color w:val="auto"/>
              </w:rPr>
              <w:t>share</w:t>
            </w:r>
          </w:p>
        </w:tc>
        <w:tc>
          <w:tcPr>
            <w:tcW w:w="0" w:type="dxa"/>
            <w:vAlign w:val="bottom"/>
          </w:tcPr>
          <w:p>
            <w:pPr>
              <w:spacing w:after="0"/>
              <w:rPr>
                <w:sz w:val="1"/>
                <w:szCs w:val="1"/>
                <w:color w:val="auto"/>
              </w:rPr>
            </w:pPr>
          </w:p>
        </w:tc>
      </w:tr>
      <w:tr>
        <w:trPr>
          <w:trHeight w:val="103"/>
        </w:trPr>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9"/>
                <w:szCs w:val="9"/>
                <w:b w:val="1"/>
                <w:bCs w:val="1"/>
                <w:color w:val="auto"/>
              </w:rPr>
              <w:t>Annualized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9"/>
              <w:spacing w:after="0"/>
              <w:rPr>
                <w:sz w:val="20"/>
                <w:szCs w:val="20"/>
                <w:color w:val="auto"/>
              </w:rPr>
            </w:pPr>
            <w:r>
              <w:rPr>
                <w:rFonts w:ascii="Arial" w:cs="Arial" w:eastAsia="Arial" w:hAnsi="Arial"/>
                <w:sz w:val="9"/>
                <w:szCs w:val="9"/>
                <w:b w:val="1"/>
                <w:bCs w:val="1"/>
                <w:color w:val="auto"/>
              </w:rPr>
              <w:t>Annualized</w:t>
            </w:r>
          </w:p>
        </w:tc>
        <w:tc>
          <w:tcPr>
            <w:tcW w:w="460" w:type="dxa"/>
            <w:vAlign w:val="bottom"/>
            <w:gridSpan w:val="2"/>
            <w:vMerge w:val="restart"/>
          </w:tcPr>
          <w:p>
            <w:pPr>
              <w:jc w:val="right"/>
              <w:ind w:right="62"/>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restart"/>
          </w:tcPr>
          <w:p>
            <w:pPr>
              <w:jc w:val="right"/>
              <w:ind w:right="188"/>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right"/>
              <w:ind w:right="9"/>
              <w:spacing w:after="0"/>
              <w:rPr>
                <w:sz w:val="20"/>
                <w:szCs w:val="20"/>
                <w:color w:val="auto"/>
              </w:rPr>
            </w:pPr>
            <w:r>
              <w:rPr>
                <w:rFonts w:ascii="Arial" w:cs="Arial" w:eastAsia="Arial" w:hAnsi="Arial"/>
                <w:sz w:val="9"/>
                <w:szCs w:val="9"/>
                <w:b w:val="1"/>
                <w:bCs w:val="1"/>
                <w:color w:val="auto"/>
              </w:rPr>
              <w:t>Annualized</w:t>
            </w:r>
          </w:p>
        </w:tc>
        <w:tc>
          <w:tcPr>
            <w:tcW w:w="460" w:type="dxa"/>
            <w:vAlign w:val="bottom"/>
            <w:gridSpan w:val="2"/>
            <w:vMerge w:val="restart"/>
          </w:tcPr>
          <w:p>
            <w:pPr>
              <w:jc w:val="right"/>
              <w:ind w:right="62"/>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vMerge w:val="restart"/>
          </w:tcPr>
          <w:p>
            <w:pPr>
              <w:jc w:val="right"/>
              <w:ind w:right="208"/>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9"/>
              <w:spacing w:after="0"/>
              <w:rPr>
                <w:sz w:val="20"/>
                <w:szCs w:val="20"/>
                <w:color w:val="auto"/>
              </w:rPr>
            </w:pPr>
            <w:r>
              <w:rPr>
                <w:rFonts w:ascii="Arial" w:cs="Arial" w:eastAsia="Arial" w:hAnsi="Arial"/>
                <w:sz w:val="9"/>
                <w:szCs w:val="9"/>
                <w:b w:val="1"/>
                <w:bCs w:val="1"/>
                <w:color w:val="auto"/>
              </w:rPr>
              <w:t>Annualized</w:t>
            </w:r>
          </w:p>
        </w:tc>
        <w:tc>
          <w:tcPr>
            <w:tcW w:w="460" w:type="dxa"/>
            <w:vAlign w:val="bottom"/>
            <w:gridSpan w:val="2"/>
            <w:vMerge w:val="restart"/>
          </w:tcPr>
          <w:p>
            <w:pPr>
              <w:jc w:val="right"/>
              <w:ind w:right="62"/>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vMerge w:val="restart"/>
          </w:tcPr>
          <w:p>
            <w:pPr>
              <w:jc w:val="right"/>
              <w:ind w:right="168"/>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4"/>
        </w:trPr>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b w:val="1"/>
                <w:bCs w:val="1"/>
                <w:color w:val="auto"/>
              </w:rPr>
              <w:t>Quarterly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70"/>
              <w:spacing w:after="0"/>
              <w:rPr>
                <w:sz w:val="20"/>
                <w:szCs w:val="20"/>
                <w:color w:val="auto"/>
              </w:rPr>
            </w:pPr>
            <w:r>
              <w:rPr>
                <w:rFonts w:ascii="Arial" w:cs="Arial" w:eastAsia="Arial" w:hAnsi="Arial"/>
                <w:sz w:val="9"/>
                <w:szCs w:val="9"/>
                <w:b w:val="1"/>
                <w:bCs w:val="1"/>
                <w:color w:val="auto"/>
              </w:rPr>
              <w:t>(x4)</w:t>
            </w:r>
          </w:p>
        </w:tc>
        <w:tc>
          <w:tcPr>
            <w:tcW w:w="100" w:type="dxa"/>
            <w:vAlign w:val="bottom"/>
          </w:tcPr>
          <w:p>
            <w:pPr>
              <w:spacing w:after="0"/>
              <w:rPr>
                <w:sz w:val="10"/>
                <w:szCs w:val="10"/>
                <w:color w:val="auto"/>
              </w:rPr>
            </w:pPr>
          </w:p>
        </w:tc>
        <w:tc>
          <w:tcPr>
            <w:tcW w:w="560" w:type="dxa"/>
            <w:vAlign w:val="bottom"/>
            <w:gridSpan w:val="3"/>
          </w:tcPr>
          <w:p>
            <w:pPr>
              <w:ind w:left="40"/>
              <w:spacing w:after="0"/>
              <w:rPr>
                <w:sz w:val="20"/>
                <w:szCs w:val="20"/>
                <w:color w:val="auto"/>
              </w:rPr>
            </w:pPr>
            <w:r>
              <w:rPr>
                <w:rFonts w:ascii="Arial" w:cs="Arial" w:eastAsia="Arial" w:hAnsi="Arial"/>
                <w:sz w:val="9"/>
                <w:szCs w:val="9"/>
                <w:b w:val="1"/>
                <w:bCs w:val="1"/>
                <w:color w:val="auto"/>
              </w:rPr>
              <w:t>Quarterly</w:t>
            </w:r>
          </w:p>
        </w:tc>
        <w:tc>
          <w:tcPr>
            <w:tcW w:w="100" w:type="dxa"/>
            <w:vAlign w:val="bottom"/>
          </w:tcPr>
          <w:p>
            <w:pPr>
              <w:spacing w:after="0"/>
              <w:rPr>
                <w:sz w:val="10"/>
                <w:szCs w:val="10"/>
                <w:color w:val="auto"/>
              </w:rPr>
            </w:pPr>
          </w:p>
        </w:tc>
        <w:tc>
          <w:tcPr>
            <w:tcW w:w="480" w:type="dxa"/>
            <w:vAlign w:val="bottom"/>
          </w:tcPr>
          <w:p>
            <w:pPr>
              <w:jc w:val="right"/>
              <w:ind w:right="169"/>
              <w:spacing w:after="0"/>
              <w:rPr>
                <w:sz w:val="20"/>
                <w:szCs w:val="20"/>
                <w:color w:val="auto"/>
              </w:rPr>
            </w:pPr>
            <w:r>
              <w:rPr>
                <w:rFonts w:ascii="Arial" w:cs="Arial" w:eastAsia="Arial" w:hAnsi="Arial"/>
                <w:sz w:val="9"/>
                <w:szCs w:val="9"/>
                <w:b w:val="1"/>
                <w:bCs w:val="1"/>
                <w:color w:val="auto"/>
              </w:rPr>
              <w:t>(x4)</w:t>
            </w:r>
          </w:p>
        </w:tc>
        <w:tc>
          <w:tcPr>
            <w:tcW w:w="4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ind w:left="40"/>
              <w:spacing w:after="0"/>
              <w:rPr>
                <w:sz w:val="20"/>
                <w:szCs w:val="20"/>
                <w:color w:val="auto"/>
              </w:rPr>
            </w:pPr>
            <w:r>
              <w:rPr>
                <w:rFonts w:ascii="Arial" w:cs="Arial" w:eastAsia="Arial" w:hAnsi="Arial"/>
                <w:sz w:val="9"/>
                <w:szCs w:val="9"/>
                <w:b w:val="1"/>
                <w:bCs w:val="1"/>
                <w:color w:val="auto"/>
              </w:rPr>
              <w:t>Quarterly</w:t>
            </w:r>
          </w:p>
        </w:tc>
        <w:tc>
          <w:tcPr>
            <w:tcW w:w="100" w:type="dxa"/>
            <w:vAlign w:val="bottom"/>
          </w:tcPr>
          <w:p>
            <w:pPr>
              <w:spacing w:after="0"/>
              <w:rPr>
                <w:sz w:val="10"/>
                <w:szCs w:val="10"/>
                <w:color w:val="auto"/>
              </w:rPr>
            </w:pPr>
          </w:p>
        </w:tc>
        <w:tc>
          <w:tcPr>
            <w:tcW w:w="500" w:type="dxa"/>
            <w:vAlign w:val="bottom"/>
          </w:tcPr>
          <w:p>
            <w:pPr>
              <w:jc w:val="right"/>
              <w:ind w:right="169"/>
              <w:spacing w:after="0"/>
              <w:rPr>
                <w:sz w:val="20"/>
                <w:szCs w:val="20"/>
                <w:color w:val="auto"/>
              </w:rPr>
            </w:pPr>
            <w:r>
              <w:rPr>
                <w:rFonts w:ascii="Arial" w:cs="Arial" w:eastAsia="Arial" w:hAnsi="Arial"/>
                <w:sz w:val="9"/>
                <w:szCs w:val="9"/>
                <w:b w:val="1"/>
                <w:bCs w:val="1"/>
                <w:color w:val="auto"/>
              </w:rPr>
              <w:t>(x4)</w:t>
            </w:r>
          </w:p>
        </w:tc>
        <w:tc>
          <w:tcPr>
            <w:tcW w:w="4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ind w:left="60"/>
              <w:spacing w:after="0"/>
              <w:rPr>
                <w:sz w:val="20"/>
                <w:szCs w:val="20"/>
                <w:color w:val="auto"/>
              </w:rPr>
            </w:pPr>
            <w:r>
              <w:rPr>
                <w:rFonts w:ascii="Arial" w:cs="Arial" w:eastAsia="Arial" w:hAnsi="Arial"/>
                <w:sz w:val="9"/>
                <w:szCs w:val="9"/>
                <w:b w:val="1"/>
                <w:bCs w:val="1"/>
                <w:color w:val="auto"/>
              </w:rPr>
              <w:t>Quarterly</w:t>
            </w:r>
          </w:p>
        </w:tc>
        <w:tc>
          <w:tcPr>
            <w:tcW w:w="100" w:type="dxa"/>
            <w:vAlign w:val="bottom"/>
          </w:tcPr>
          <w:p>
            <w:pPr>
              <w:spacing w:after="0"/>
              <w:rPr>
                <w:sz w:val="10"/>
                <w:szCs w:val="10"/>
                <w:color w:val="auto"/>
              </w:rPr>
            </w:pPr>
          </w:p>
        </w:tc>
        <w:tc>
          <w:tcPr>
            <w:tcW w:w="480" w:type="dxa"/>
            <w:vAlign w:val="bottom"/>
          </w:tcPr>
          <w:p>
            <w:pPr>
              <w:jc w:val="right"/>
              <w:ind w:right="149"/>
              <w:spacing w:after="0"/>
              <w:rPr>
                <w:sz w:val="20"/>
                <w:szCs w:val="20"/>
                <w:color w:val="auto"/>
              </w:rPr>
            </w:pPr>
            <w:r>
              <w:rPr>
                <w:rFonts w:ascii="Arial" w:cs="Arial" w:eastAsia="Arial" w:hAnsi="Arial"/>
                <w:sz w:val="9"/>
                <w:szCs w:val="9"/>
                <w:b w:val="1"/>
                <w:bCs w:val="1"/>
                <w:color w:val="auto"/>
              </w:rPr>
              <w:t>(x4)</w:t>
            </w:r>
          </w:p>
        </w:tc>
        <w:tc>
          <w:tcPr>
            <w:tcW w:w="4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020" w:type="dxa"/>
            <w:vAlign w:val="bottom"/>
            <w:gridSpan w:val="4"/>
          </w:tcPr>
          <w:p>
            <w:pPr>
              <w:spacing w:after="0"/>
              <w:rPr>
                <w:sz w:val="20"/>
                <w:szCs w:val="20"/>
                <w:color w:val="auto"/>
              </w:rPr>
            </w:pPr>
            <w:r>
              <w:rPr>
                <w:rFonts w:ascii="Arial" w:cs="Arial" w:eastAsia="Arial" w:hAnsi="Arial"/>
                <w:sz w:val="12"/>
                <w:szCs w:val="12"/>
                <w:b w:val="1"/>
                <w:bCs w:val="1"/>
                <w:color w:val="auto"/>
              </w:rPr>
              <w:t>Current NOI</w:t>
            </w: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20" w:type="dxa"/>
            <w:vAlign w:val="bottom"/>
            <w:gridSpan w:val="4"/>
          </w:tcPr>
          <w:p>
            <w:pPr>
              <w:spacing w:after="0"/>
              <w:rPr>
                <w:sz w:val="20"/>
                <w:szCs w:val="20"/>
                <w:color w:val="auto"/>
              </w:rPr>
            </w:pPr>
            <w:r>
              <w:rPr>
                <w:rFonts w:ascii="Arial" w:cs="Arial" w:eastAsia="Arial" w:hAnsi="Arial"/>
                <w:sz w:val="12"/>
                <w:szCs w:val="12"/>
                <w:color w:val="auto"/>
              </w:rPr>
              <w:t xml:space="preserve">Net Operating Income </w:t>
            </w:r>
            <w:r>
              <w:rPr>
                <w:rFonts w:ascii="Arial" w:cs="Arial" w:eastAsia="Arial" w:hAnsi="Arial"/>
                <w:sz w:val="14"/>
                <w:szCs w:val="14"/>
                <w:color w:val="auto"/>
                <w:vertAlign w:val="superscript"/>
              </w:rPr>
              <w:t>1</w:t>
            </w:r>
          </w:p>
        </w:tc>
        <w:tc>
          <w:tcPr>
            <w:tcW w:w="460" w:type="dxa"/>
            <w:vAlign w:val="bottom"/>
          </w:tcPr>
          <w:p>
            <w:pPr>
              <w:jc w:val="right"/>
              <w:spacing w:after="0"/>
              <w:rPr>
                <w:sz w:val="20"/>
                <w:szCs w:val="20"/>
                <w:color w:val="auto"/>
              </w:rPr>
            </w:pPr>
            <w:r>
              <w:rPr>
                <w:rFonts w:ascii="Arial" w:cs="Arial" w:eastAsia="Arial" w:hAnsi="Arial"/>
                <w:sz w:val="10"/>
                <w:szCs w:val="10"/>
                <w:color w:val="auto"/>
              </w:rPr>
              <w:t>$ 33,084</w:t>
            </w:r>
          </w:p>
        </w:tc>
        <w:tc>
          <w:tcPr>
            <w:tcW w:w="2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132,336</w:t>
            </w:r>
          </w:p>
        </w:tc>
        <w:tc>
          <w:tcPr>
            <w:tcW w:w="22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320" w:type="dxa"/>
            <w:vAlign w:val="bottom"/>
          </w:tcPr>
          <w:p>
            <w:pPr>
              <w:jc w:val="right"/>
              <w:ind w:right="48"/>
              <w:spacing w:after="0"/>
              <w:rPr>
                <w:sz w:val="20"/>
                <w:szCs w:val="20"/>
                <w:color w:val="auto"/>
              </w:rPr>
            </w:pPr>
            <w:r>
              <w:rPr>
                <w:rFonts w:ascii="Arial" w:cs="Arial" w:eastAsia="Arial" w:hAnsi="Arial"/>
                <w:sz w:val="10"/>
                <w:szCs w:val="10"/>
                <w:color w:val="auto"/>
              </w:rPr>
              <w:t>591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49"/>
              <w:spacing w:after="0"/>
              <w:rPr>
                <w:sz w:val="20"/>
                <w:szCs w:val="20"/>
                <w:color w:val="auto"/>
              </w:rPr>
            </w:pPr>
            <w:r>
              <w:rPr>
                <w:rFonts w:ascii="Arial" w:cs="Arial" w:eastAsia="Arial" w:hAnsi="Arial"/>
                <w:sz w:val="10"/>
                <w:szCs w:val="10"/>
                <w:color w:val="auto"/>
              </w:rPr>
              <w:t>2,364</w:t>
            </w:r>
          </w:p>
        </w:tc>
        <w:tc>
          <w:tcPr>
            <w:tcW w:w="680" w:type="dxa"/>
            <w:vAlign w:val="bottom"/>
            <w:gridSpan w:val="4"/>
          </w:tcPr>
          <w:p>
            <w:pPr>
              <w:jc w:val="right"/>
              <w:spacing w:after="0"/>
              <w:rPr>
                <w:sz w:val="20"/>
                <w:szCs w:val="20"/>
                <w:color w:val="auto"/>
              </w:rPr>
            </w:pPr>
            <w:r>
              <w:rPr>
                <w:rFonts w:ascii="Arial" w:cs="Arial" w:eastAsia="Arial" w:hAnsi="Arial"/>
                <w:sz w:val="10"/>
                <w:szCs w:val="10"/>
                <w:color w:val="auto"/>
              </w:rPr>
              <w:t>24.5%   $</w:t>
            </w: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580</w:t>
            </w:r>
          </w:p>
        </w:tc>
        <w:tc>
          <w:tcPr>
            <w:tcW w:w="580" w:type="dxa"/>
            <w:vAlign w:val="bottom"/>
            <w:gridSpan w:val="2"/>
          </w:tcPr>
          <w:p>
            <w:pPr>
              <w:jc w:val="right"/>
              <w:ind w:right="49"/>
              <w:spacing w:after="0"/>
              <w:rPr>
                <w:sz w:val="20"/>
                <w:szCs w:val="20"/>
                <w:color w:val="auto"/>
              </w:rPr>
            </w:pPr>
            <w:r>
              <w:rPr>
                <w:rFonts w:ascii="Arial" w:cs="Arial" w:eastAsia="Arial" w:hAnsi="Arial"/>
                <w:sz w:val="10"/>
                <w:szCs w:val="10"/>
                <w:color w:val="auto"/>
              </w:rPr>
              <w:t>$ 6,679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49"/>
              <w:spacing w:after="0"/>
              <w:rPr>
                <w:sz w:val="20"/>
                <w:szCs w:val="20"/>
                <w:color w:val="auto"/>
              </w:rPr>
            </w:pPr>
            <w:r>
              <w:rPr>
                <w:rFonts w:ascii="Arial" w:cs="Arial" w:eastAsia="Arial" w:hAnsi="Arial"/>
                <w:sz w:val="10"/>
                <w:szCs w:val="10"/>
                <w:color w:val="auto"/>
              </w:rPr>
              <w:t>26,716</w:t>
            </w:r>
          </w:p>
        </w:tc>
        <w:tc>
          <w:tcPr>
            <w:tcW w:w="700" w:type="dxa"/>
            <w:vAlign w:val="bottom"/>
            <w:gridSpan w:val="4"/>
          </w:tcPr>
          <w:p>
            <w:pPr>
              <w:jc w:val="right"/>
              <w:ind w:right="9"/>
              <w:spacing w:after="0"/>
              <w:rPr>
                <w:sz w:val="20"/>
                <w:szCs w:val="20"/>
                <w:color w:val="auto"/>
              </w:rPr>
            </w:pPr>
            <w:r>
              <w:rPr>
                <w:rFonts w:ascii="Arial" w:cs="Arial" w:eastAsia="Arial" w:hAnsi="Arial"/>
                <w:sz w:val="10"/>
                <w:szCs w:val="10"/>
                <w:color w:val="auto"/>
              </w:rPr>
              <w:t>23.1%   $</w:t>
            </w:r>
          </w:p>
        </w:tc>
        <w:tc>
          <w:tcPr>
            <w:tcW w:w="460" w:type="dxa"/>
            <w:vAlign w:val="bottom"/>
          </w:tcPr>
          <w:p>
            <w:pPr>
              <w:jc w:val="right"/>
              <w:ind w:right="68"/>
              <w:spacing w:after="0"/>
              <w:rPr>
                <w:sz w:val="20"/>
                <w:szCs w:val="20"/>
                <w:color w:val="auto"/>
              </w:rPr>
            </w:pPr>
            <w:r>
              <w:rPr>
                <w:rFonts w:ascii="Arial" w:cs="Arial" w:eastAsia="Arial" w:hAnsi="Arial"/>
                <w:sz w:val="10"/>
                <w:szCs w:val="10"/>
                <w:color w:val="auto"/>
              </w:rPr>
              <w:t>6,177</w:t>
            </w:r>
          </w:p>
        </w:tc>
        <w:tc>
          <w:tcPr>
            <w:tcW w:w="580" w:type="dxa"/>
            <w:vAlign w:val="bottom"/>
            <w:gridSpan w:val="2"/>
          </w:tcPr>
          <w:p>
            <w:pPr>
              <w:jc w:val="right"/>
              <w:ind w:right="49"/>
              <w:spacing w:after="0"/>
              <w:rPr>
                <w:sz w:val="20"/>
                <w:szCs w:val="20"/>
                <w:color w:val="auto"/>
              </w:rPr>
            </w:pPr>
            <w:r>
              <w:rPr>
                <w:rFonts w:ascii="Arial" w:cs="Arial" w:eastAsia="Arial" w:hAnsi="Arial"/>
                <w:sz w:val="10"/>
                <w:szCs w:val="10"/>
                <w:color w:val="auto"/>
              </w:rPr>
              <w:t>$ 4,191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49"/>
              <w:spacing w:after="0"/>
              <w:rPr>
                <w:sz w:val="20"/>
                <w:szCs w:val="20"/>
                <w:color w:val="auto"/>
              </w:rPr>
            </w:pPr>
            <w:r>
              <w:rPr>
                <w:rFonts w:ascii="Arial" w:cs="Arial" w:eastAsia="Arial" w:hAnsi="Arial"/>
                <w:sz w:val="10"/>
                <w:szCs w:val="10"/>
                <w:color w:val="auto"/>
              </w:rPr>
              <w:t>16,764</w:t>
            </w:r>
          </w:p>
        </w:tc>
        <w:tc>
          <w:tcPr>
            <w:tcW w:w="700" w:type="dxa"/>
            <w:vAlign w:val="bottom"/>
            <w:gridSpan w:val="4"/>
          </w:tcPr>
          <w:p>
            <w:pPr>
              <w:jc w:val="right"/>
              <w:spacing w:after="0"/>
              <w:rPr>
                <w:sz w:val="20"/>
                <w:szCs w:val="20"/>
                <w:color w:val="auto"/>
              </w:rPr>
            </w:pPr>
            <w:r>
              <w:rPr>
                <w:rFonts w:ascii="Arial" w:cs="Arial" w:eastAsia="Arial" w:hAnsi="Arial"/>
                <w:sz w:val="10"/>
                <w:szCs w:val="10"/>
                <w:color w:val="auto"/>
              </w:rPr>
              <w:t>20.1%   $</w:t>
            </w:r>
          </w:p>
        </w:tc>
        <w:tc>
          <w:tcPr>
            <w:tcW w:w="400" w:type="dxa"/>
            <w:vAlign w:val="bottom"/>
          </w:tcPr>
          <w:p>
            <w:pPr>
              <w:jc w:val="right"/>
              <w:ind w:right="48"/>
              <w:spacing w:after="0"/>
              <w:rPr>
                <w:sz w:val="20"/>
                <w:szCs w:val="20"/>
                <w:color w:val="auto"/>
              </w:rPr>
            </w:pPr>
            <w:r>
              <w:rPr>
                <w:rFonts w:ascii="Arial" w:cs="Arial" w:eastAsia="Arial" w:hAnsi="Arial"/>
                <w:sz w:val="10"/>
                <w:szCs w:val="10"/>
                <w:color w:val="auto"/>
              </w:rPr>
              <w:t>3,370</w:t>
            </w:r>
          </w:p>
        </w:tc>
        <w:tc>
          <w:tcPr>
            <w:tcW w:w="0" w:type="dxa"/>
            <w:vAlign w:val="bottom"/>
          </w:tcPr>
          <w:p>
            <w:pPr>
              <w:spacing w:after="0"/>
              <w:rPr>
                <w:sz w:val="1"/>
                <w:szCs w:val="1"/>
                <w:color w:val="auto"/>
              </w:rPr>
            </w:pPr>
          </w:p>
        </w:tc>
      </w:tr>
      <w:tr>
        <w:trPr>
          <w:trHeight w:val="177"/>
        </w:trPr>
        <w:tc>
          <w:tcPr>
            <w:tcW w:w="3020" w:type="dxa"/>
            <w:vAlign w:val="bottom"/>
            <w:gridSpan w:val="4"/>
          </w:tcPr>
          <w:p>
            <w:pPr>
              <w:spacing w:after="0"/>
              <w:rPr>
                <w:sz w:val="20"/>
                <w:szCs w:val="20"/>
                <w:color w:val="auto"/>
              </w:rPr>
            </w:pPr>
            <w:r>
              <w:rPr>
                <w:rFonts w:ascii="Arial" w:cs="Arial" w:eastAsia="Arial" w:hAnsi="Arial"/>
                <w:sz w:val="12"/>
                <w:szCs w:val="12"/>
                <w:color w:val="auto"/>
              </w:rPr>
              <w:t>Less: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20" w:type="dxa"/>
            <w:vAlign w:val="bottom"/>
            <w:gridSpan w:val="4"/>
          </w:tcPr>
          <w:p>
            <w:pPr>
              <w:spacing w:after="0"/>
              <w:rPr>
                <w:sz w:val="20"/>
                <w:szCs w:val="20"/>
                <w:color w:val="auto"/>
              </w:rPr>
            </w:pPr>
            <w:r>
              <w:rPr>
                <w:rFonts w:ascii="Arial" w:cs="Arial" w:eastAsia="Arial" w:hAnsi="Arial"/>
                <w:sz w:val="12"/>
                <w:szCs w:val="12"/>
                <w:color w:val="auto"/>
              </w:rPr>
              <w:t>(Income) loss from properties sold or under contract</w:t>
            </w: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4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50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4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60"/>
        </w:trPr>
        <w:tc>
          <w:tcPr>
            <w:tcW w:w="3020" w:type="dxa"/>
            <w:vAlign w:val="bottom"/>
            <w:gridSpan w:val="4"/>
          </w:tcPr>
          <w:p>
            <w:pPr>
              <w:spacing w:after="0"/>
              <w:rPr>
                <w:sz w:val="20"/>
                <w:szCs w:val="20"/>
                <w:color w:val="auto"/>
              </w:rPr>
            </w:pPr>
            <w:r>
              <w:rPr>
                <w:rFonts w:ascii="Arial" w:cs="Arial" w:eastAsia="Arial" w:hAnsi="Arial"/>
                <w:sz w:val="12"/>
                <w:szCs w:val="12"/>
                <w:color w:val="auto"/>
              </w:rPr>
              <w:t xml:space="preserve">(Income) loss from pre-stabilized assets </w:t>
            </w:r>
            <w:r>
              <w:rPr>
                <w:rFonts w:ascii="Arial" w:cs="Arial" w:eastAsia="Arial" w:hAnsi="Arial"/>
                <w:sz w:val="14"/>
                <w:szCs w:val="14"/>
                <w:color w:val="auto"/>
                <w:vertAlign w:val="superscript"/>
              </w:rPr>
              <w:t>2</w:t>
            </w: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jc w:val="right"/>
              <w:ind w:right="8"/>
              <w:spacing w:after="0"/>
              <w:rPr>
                <w:sz w:val="20"/>
                <w:szCs w:val="20"/>
                <w:color w:val="auto"/>
              </w:rPr>
            </w:pPr>
            <w:r>
              <w:rPr>
                <w:rFonts w:ascii="Arial" w:cs="Arial" w:eastAsia="Arial" w:hAnsi="Arial"/>
                <w:sz w:val="10"/>
                <w:szCs w:val="10"/>
                <w:color w:val="auto"/>
              </w:rPr>
              <w:t>(624)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9"/>
              <w:spacing w:after="0"/>
              <w:rPr>
                <w:sz w:val="20"/>
                <w:szCs w:val="20"/>
                <w:color w:val="auto"/>
              </w:rPr>
            </w:pPr>
            <w:r>
              <w:rPr>
                <w:rFonts w:ascii="Arial" w:cs="Arial" w:eastAsia="Arial" w:hAnsi="Arial"/>
                <w:sz w:val="10"/>
                <w:szCs w:val="10"/>
                <w:color w:val="auto"/>
              </w:rPr>
              <w:t>(2,496)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(613)</w:t>
            </w:r>
          </w:p>
        </w:tc>
        <w:tc>
          <w:tcPr>
            <w:tcW w:w="580" w:type="dxa"/>
            <w:vAlign w:val="bottom"/>
            <w:gridSpan w:val="2"/>
          </w:tcPr>
          <w:p>
            <w:pPr>
              <w:jc w:val="right"/>
              <w:ind w:right="29"/>
              <w:spacing w:after="0"/>
              <w:rPr>
                <w:sz w:val="20"/>
                <w:szCs w:val="20"/>
                <w:color w:val="auto"/>
              </w:rPr>
            </w:pPr>
            <w:r>
              <w:rPr>
                <w:rFonts w:ascii="Arial" w:cs="Arial" w:eastAsia="Arial" w:hAnsi="Arial"/>
                <w:sz w:val="10"/>
                <w:szCs w:val="10"/>
                <w:color w:val="auto"/>
              </w:rPr>
              <w:t>(1,378)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29"/>
              <w:spacing w:after="0"/>
              <w:rPr>
                <w:sz w:val="20"/>
                <w:szCs w:val="20"/>
                <w:color w:val="auto"/>
              </w:rPr>
            </w:pPr>
            <w:r>
              <w:rPr>
                <w:rFonts w:ascii="Arial" w:cs="Arial" w:eastAsia="Arial" w:hAnsi="Arial"/>
                <w:sz w:val="10"/>
                <w:szCs w:val="10"/>
                <w:color w:val="auto"/>
              </w:rPr>
              <w:t>(5,512)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0"/>
                <w:szCs w:val="10"/>
                <w:color w:val="auto"/>
              </w:rPr>
              <w:t>(1,274)</w:t>
            </w:r>
          </w:p>
        </w:tc>
        <w:tc>
          <w:tcPr>
            <w:tcW w:w="10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2"/>
                <w:szCs w:val="22"/>
                <w:color w:val="auto"/>
              </w:rPr>
            </w:pPr>
          </w:p>
        </w:tc>
        <w:tc>
          <w:tcPr>
            <w:tcW w:w="4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7"/>
        </w:trPr>
        <w:tc>
          <w:tcPr>
            <w:tcW w:w="3020" w:type="dxa"/>
            <w:vAlign w:val="bottom"/>
            <w:gridSpan w:val="4"/>
          </w:tcPr>
          <w:p>
            <w:pPr>
              <w:spacing w:after="0"/>
              <w:rPr>
                <w:sz w:val="20"/>
                <w:szCs w:val="20"/>
                <w:color w:val="auto"/>
              </w:rPr>
            </w:pPr>
            <w:r>
              <w:rPr>
                <w:rFonts w:ascii="Arial" w:cs="Arial" w:eastAsia="Arial" w:hAnsi="Arial"/>
                <w:sz w:val="12"/>
                <w:szCs w:val="12"/>
                <w:color w:val="auto"/>
              </w:rPr>
              <w:t xml:space="preserve">(Income) loss from development projects </w:t>
            </w:r>
            <w:r>
              <w:rPr>
                <w:rFonts w:ascii="Arial" w:cs="Arial" w:eastAsia="Arial" w:hAnsi="Arial"/>
                <w:sz w:val="14"/>
                <w:szCs w:val="14"/>
                <w:color w:val="auto"/>
                <w:vertAlign w:val="superscript"/>
              </w:rPr>
              <w:t>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33</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132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(528)</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(2,112)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(488)</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8"/>
        </w:trPr>
        <w:tc>
          <w:tcPr>
            <w:tcW w:w="3020" w:type="dxa"/>
            <w:vAlign w:val="bottom"/>
            <w:gridSpan w:val="4"/>
          </w:tcPr>
          <w:p>
            <w:pPr>
              <w:spacing w:after="0"/>
              <w:rPr>
                <w:sz w:val="20"/>
                <w:szCs w:val="20"/>
                <w:color w:val="auto"/>
              </w:rPr>
            </w:pPr>
            <w:r>
              <w:rPr>
                <w:rFonts w:ascii="Arial" w:cs="Arial" w:eastAsia="Arial" w:hAnsi="Arial"/>
                <w:sz w:val="12"/>
                <w:szCs w:val="12"/>
                <w:color w:val="auto"/>
              </w:rPr>
              <w:t>Net Operating Income of stabilized assets</w:t>
            </w:r>
          </w:p>
        </w:tc>
        <w:tc>
          <w:tcPr>
            <w:tcW w:w="460" w:type="dxa"/>
            <w:vAlign w:val="bottom"/>
          </w:tcPr>
          <w:p>
            <w:pPr>
              <w:jc w:val="right"/>
              <w:spacing w:after="0"/>
              <w:rPr>
                <w:sz w:val="20"/>
                <w:szCs w:val="20"/>
                <w:color w:val="auto"/>
              </w:rPr>
            </w:pPr>
            <w:r>
              <w:rPr>
                <w:rFonts w:ascii="Arial" w:cs="Arial" w:eastAsia="Arial" w:hAnsi="Arial"/>
                <w:sz w:val="10"/>
                <w:szCs w:val="10"/>
                <w:color w:val="auto"/>
              </w:rPr>
              <w:t>$ 33,084</w:t>
            </w:r>
          </w:p>
        </w:tc>
        <w:tc>
          <w:tcPr>
            <w:tcW w:w="2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132,336</w:t>
            </w:r>
          </w:p>
        </w:tc>
        <w:tc>
          <w:tcPr>
            <w:tcW w:w="22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680" w:type="dxa"/>
            <w:vAlign w:val="bottom"/>
            <w:gridSpan w:val="4"/>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(1)</w:t>
            </w:r>
          </w:p>
        </w:tc>
        <w:tc>
          <w:tcPr>
            <w:tcW w:w="580" w:type="dxa"/>
            <w:vAlign w:val="bottom"/>
            <w:gridSpan w:val="2"/>
          </w:tcPr>
          <w:p>
            <w:pPr>
              <w:jc w:val="right"/>
              <w:ind w:right="49"/>
              <w:spacing w:after="0"/>
              <w:rPr>
                <w:sz w:val="20"/>
                <w:szCs w:val="20"/>
                <w:color w:val="auto"/>
              </w:rPr>
            </w:pPr>
            <w:r>
              <w:rPr>
                <w:rFonts w:ascii="Arial" w:cs="Arial" w:eastAsia="Arial" w:hAnsi="Arial"/>
                <w:sz w:val="10"/>
                <w:szCs w:val="10"/>
                <w:color w:val="auto"/>
              </w:rPr>
              <w:t>$ 4,773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49"/>
              <w:spacing w:after="0"/>
              <w:rPr>
                <w:sz w:val="20"/>
                <w:szCs w:val="20"/>
                <w:color w:val="auto"/>
              </w:rPr>
            </w:pPr>
            <w:r>
              <w:rPr>
                <w:rFonts w:ascii="Arial" w:cs="Arial" w:eastAsia="Arial" w:hAnsi="Arial"/>
                <w:sz w:val="10"/>
                <w:szCs w:val="10"/>
                <w:color w:val="auto"/>
              </w:rPr>
              <w:t>19,092</w:t>
            </w:r>
          </w:p>
        </w:tc>
        <w:tc>
          <w:tcPr>
            <w:tcW w:w="700" w:type="dxa"/>
            <w:vAlign w:val="bottom"/>
            <w:gridSpan w:val="4"/>
          </w:tcPr>
          <w:p>
            <w:pPr>
              <w:jc w:val="right"/>
              <w:ind w:right="9"/>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68"/>
              <w:spacing w:after="0"/>
              <w:rPr>
                <w:sz w:val="20"/>
                <w:szCs w:val="20"/>
                <w:color w:val="auto"/>
              </w:rPr>
            </w:pPr>
            <w:r>
              <w:rPr>
                <w:rFonts w:ascii="Arial" w:cs="Arial" w:eastAsia="Arial" w:hAnsi="Arial"/>
                <w:sz w:val="10"/>
                <w:szCs w:val="10"/>
                <w:color w:val="auto"/>
              </w:rPr>
              <w:t>4,415</w:t>
            </w:r>
          </w:p>
        </w:tc>
        <w:tc>
          <w:tcPr>
            <w:tcW w:w="580" w:type="dxa"/>
            <w:vAlign w:val="bottom"/>
            <w:gridSpan w:val="2"/>
          </w:tcPr>
          <w:p>
            <w:pPr>
              <w:jc w:val="right"/>
              <w:ind w:right="49"/>
              <w:spacing w:after="0"/>
              <w:rPr>
                <w:sz w:val="20"/>
                <w:szCs w:val="20"/>
                <w:color w:val="auto"/>
              </w:rPr>
            </w:pPr>
            <w:r>
              <w:rPr>
                <w:rFonts w:ascii="Arial" w:cs="Arial" w:eastAsia="Arial" w:hAnsi="Arial"/>
                <w:sz w:val="10"/>
                <w:szCs w:val="10"/>
                <w:color w:val="auto"/>
              </w:rPr>
              <w:t>$ 4,191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49"/>
              <w:spacing w:after="0"/>
              <w:rPr>
                <w:sz w:val="20"/>
                <w:szCs w:val="20"/>
                <w:color w:val="auto"/>
              </w:rPr>
            </w:pPr>
            <w:r>
              <w:rPr>
                <w:rFonts w:ascii="Arial" w:cs="Arial" w:eastAsia="Arial" w:hAnsi="Arial"/>
                <w:sz w:val="10"/>
                <w:szCs w:val="10"/>
                <w:color w:val="auto"/>
              </w:rPr>
              <w:t>16,764</w:t>
            </w:r>
          </w:p>
        </w:tc>
        <w:tc>
          <w:tcPr>
            <w:tcW w:w="700" w:type="dxa"/>
            <w:vAlign w:val="bottom"/>
            <w:gridSpan w:val="4"/>
          </w:tcPr>
          <w:p>
            <w:pPr>
              <w:jc w:val="right"/>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48"/>
              <w:spacing w:after="0"/>
              <w:rPr>
                <w:sz w:val="20"/>
                <w:szCs w:val="20"/>
                <w:color w:val="auto"/>
              </w:rPr>
            </w:pPr>
            <w:r>
              <w:rPr>
                <w:rFonts w:ascii="Arial" w:cs="Arial" w:eastAsia="Arial" w:hAnsi="Arial"/>
                <w:sz w:val="10"/>
                <w:szCs w:val="10"/>
                <w:color w:val="auto"/>
              </w:rPr>
              <w:t>3,370</w:t>
            </w:r>
          </w:p>
        </w:tc>
        <w:tc>
          <w:tcPr>
            <w:tcW w:w="0" w:type="dxa"/>
            <w:vAlign w:val="bottom"/>
          </w:tcPr>
          <w:p>
            <w:pPr>
              <w:spacing w:after="0"/>
              <w:rPr>
                <w:sz w:val="1"/>
                <w:szCs w:val="1"/>
                <w:color w:val="auto"/>
              </w:rPr>
            </w:pPr>
          </w:p>
        </w:tc>
      </w:tr>
      <w:tr>
        <w:trPr>
          <w:trHeight w:val="20"/>
        </w:trPr>
        <w:tc>
          <w:tcPr>
            <w:tcW w:w="76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95"/>
              </w:rPr>
              <w:t>Costs to Date</w:t>
            </w:r>
          </w:p>
        </w:tc>
        <w:tc>
          <w:tcPr>
            <w:tcW w:w="2260" w:type="dxa"/>
            <w:vAlign w:val="bottom"/>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 w:type="dxa"/>
            <w:vAlign w:val="bottom"/>
            <w:tcBorders>
              <w:bottom w:val="single" w:sz="8" w:color="auto"/>
            </w:tcBorders>
            <w:gridSpan w:val="3"/>
            <w:vMerge w:val="continue"/>
          </w:tcPr>
          <w:p>
            <w:pPr>
              <w:spacing w:after="0"/>
              <w:rPr>
                <w:sz w:val="24"/>
                <w:szCs w:val="24"/>
                <w:color w:val="auto"/>
              </w:rPr>
            </w:pPr>
          </w:p>
        </w:tc>
        <w:tc>
          <w:tcPr>
            <w:tcW w:w="22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20" w:type="dxa"/>
            <w:vAlign w:val="bottom"/>
            <w:gridSpan w:val="4"/>
          </w:tcPr>
          <w:p>
            <w:pPr>
              <w:spacing w:after="0"/>
              <w:rPr>
                <w:sz w:val="20"/>
                <w:szCs w:val="20"/>
                <w:color w:val="auto"/>
              </w:rPr>
            </w:pPr>
            <w:r>
              <w:rPr>
                <w:rFonts w:ascii="Arial" w:cs="Arial" w:eastAsia="Arial" w:hAnsi="Arial"/>
                <w:sz w:val="12"/>
                <w:szCs w:val="12"/>
                <w:color w:val="auto"/>
              </w:rPr>
              <w:t xml:space="preserve">Pre-stabilized assets </w:t>
            </w:r>
            <w:r>
              <w:rPr>
                <w:rFonts w:ascii="Arial" w:cs="Arial" w:eastAsia="Arial" w:hAnsi="Arial"/>
                <w:sz w:val="14"/>
                <w:szCs w:val="14"/>
                <w:color w:val="auto"/>
                <w:vertAlign w:val="superscript"/>
              </w:rPr>
              <w:t>2</w:t>
            </w:r>
          </w:p>
        </w:tc>
        <w:tc>
          <w:tcPr>
            <w:tcW w:w="460" w:type="dxa"/>
            <w:vAlign w:val="bottom"/>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49"/>
              <w:spacing w:after="0"/>
              <w:rPr>
                <w:sz w:val="20"/>
                <w:szCs w:val="20"/>
                <w:color w:val="auto"/>
              </w:rPr>
            </w:pPr>
            <w:r>
              <w:rPr>
                <w:rFonts w:ascii="Arial" w:cs="Arial" w:eastAsia="Arial" w:hAnsi="Arial"/>
                <w:sz w:val="10"/>
                <w:szCs w:val="10"/>
                <w:color w:val="auto"/>
              </w:rPr>
              <w:t>55,277</w:t>
            </w:r>
          </w:p>
        </w:tc>
        <w:tc>
          <w:tcPr>
            <w:tcW w:w="1120" w:type="dxa"/>
            <w:vAlign w:val="bottom"/>
            <w:gridSpan w:val="5"/>
          </w:tcPr>
          <w:p>
            <w:pPr>
              <w:jc w:val="right"/>
              <w:ind w:right="68"/>
              <w:spacing w:after="0"/>
              <w:rPr>
                <w:sz w:val="20"/>
                <w:szCs w:val="20"/>
                <w:color w:val="auto"/>
              </w:rPr>
            </w:pPr>
            <w:r>
              <w:rPr>
                <w:rFonts w:ascii="Arial" w:cs="Arial" w:eastAsia="Arial" w:hAnsi="Arial"/>
                <w:sz w:val="10"/>
                <w:szCs w:val="10"/>
                <w:color w:val="auto"/>
              </w:rPr>
              <w:t>$ 13,565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49"/>
              <w:spacing w:after="0"/>
              <w:rPr>
                <w:sz w:val="20"/>
                <w:szCs w:val="20"/>
                <w:color w:val="auto"/>
              </w:rPr>
            </w:pPr>
            <w:r>
              <w:rPr>
                <w:rFonts w:ascii="Arial" w:cs="Arial" w:eastAsia="Arial" w:hAnsi="Arial"/>
                <w:sz w:val="10"/>
                <w:szCs w:val="10"/>
                <w:color w:val="auto"/>
              </w:rPr>
              <w:t>266,700</w:t>
            </w:r>
          </w:p>
        </w:tc>
        <w:tc>
          <w:tcPr>
            <w:tcW w:w="700" w:type="dxa"/>
            <w:vAlign w:val="bottom"/>
            <w:gridSpan w:val="4"/>
          </w:tcPr>
          <w:p>
            <w:pPr>
              <w:jc w:val="right"/>
              <w:ind w:right="9"/>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68"/>
              <w:spacing w:after="0"/>
              <w:rPr>
                <w:sz w:val="20"/>
                <w:szCs w:val="20"/>
                <w:color w:val="auto"/>
              </w:rPr>
            </w:pPr>
            <w:r>
              <w:rPr>
                <w:rFonts w:ascii="Arial" w:cs="Arial" w:eastAsia="Arial" w:hAnsi="Arial"/>
                <w:sz w:val="10"/>
                <w:szCs w:val="10"/>
                <w:color w:val="auto"/>
              </w:rPr>
              <w:t>61,661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700" w:type="dxa"/>
            <w:vAlign w:val="bottom"/>
            <w:gridSpan w:val="4"/>
          </w:tcPr>
          <w:p>
            <w:pPr>
              <w:jc w:val="right"/>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7"/>
        </w:trPr>
        <w:tc>
          <w:tcPr>
            <w:tcW w:w="3020" w:type="dxa"/>
            <w:vAlign w:val="bottom"/>
            <w:gridSpan w:val="4"/>
          </w:tcPr>
          <w:p>
            <w:pPr>
              <w:spacing w:after="0"/>
              <w:rPr>
                <w:sz w:val="20"/>
                <w:szCs w:val="20"/>
                <w:color w:val="auto"/>
              </w:rPr>
            </w:pPr>
            <w:r>
              <w:rPr>
                <w:rFonts w:ascii="Arial" w:cs="Arial" w:eastAsia="Arial" w:hAnsi="Arial"/>
                <w:sz w:val="12"/>
                <w:szCs w:val="12"/>
                <w:color w:val="auto"/>
              </w:rPr>
              <w:t xml:space="preserve">Development projects </w:t>
            </w:r>
            <w:r>
              <w:rPr>
                <w:rFonts w:ascii="Arial" w:cs="Arial" w:eastAsia="Arial" w:hAnsi="Arial"/>
                <w:sz w:val="14"/>
                <w:szCs w:val="14"/>
                <w:color w:val="auto"/>
                <w:vertAlign w:val="superscript"/>
              </w:rPr>
              <w:t>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30,100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62,400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97"/>
              </w:rPr>
              <w:t>15,313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142,000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32,830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61"/>
        </w:trPr>
        <w:tc>
          <w:tcPr>
            <w:tcW w:w="3020" w:type="dxa"/>
            <w:vAlign w:val="bottom"/>
            <w:gridSpan w:val="4"/>
          </w:tcPr>
          <w:p>
            <w:pPr>
              <w:spacing w:after="0"/>
              <w:rPr>
                <w:sz w:val="20"/>
                <w:szCs w:val="20"/>
                <w:color w:val="auto"/>
              </w:rPr>
            </w:pPr>
            <w:r>
              <w:rPr>
                <w:rFonts w:ascii="Arial" w:cs="Arial" w:eastAsia="Arial" w:hAnsi="Arial"/>
                <w:sz w:val="12"/>
                <w:szCs w:val="12"/>
                <w:color w:val="auto"/>
              </w:rPr>
              <w:t>Total Costs to Date</w:t>
            </w:r>
          </w:p>
        </w:tc>
        <w:tc>
          <w:tcPr>
            <w:tcW w:w="4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30,100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99"/>
              </w:rPr>
              <w:t>117,677</w:t>
            </w:r>
          </w:p>
        </w:tc>
        <w:tc>
          <w:tcPr>
            <w:tcW w:w="580" w:type="dxa"/>
            <w:vAlign w:val="bottom"/>
            <w:gridSpan w:val="3"/>
          </w:tcPr>
          <w:p>
            <w:pPr>
              <w:spacing w:after="0"/>
              <w:rPr>
                <w:sz w:val="24"/>
                <w:szCs w:val="24"/>
                <w:color w:val="auto"/>
              </w:rPr>
            </w:pPr>
          </w:p>
        </w:tc>
        <w:tc>
          <w:tcPr>
            <w:tcW w:w="5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0"/>
                <w:szCs w:val="10"/>
                <w:color w:val="auto"/>
              </w:rPr>
              <w:t>$ 28,878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408,700</w:t>
            </w:r>
          </w:p>
        </w:tc>
        <w:tc>
          <w:tcPr>
            <w:tcW w:w="560" w:type="dxa"/>
            <w:vAlign w:val="bottom"/>
            <w:gridSpan w:val="3"/>
          </w:tcPr>
          <w:p>
            <w:pPr>
              <w:spacing w:after="0"/>
              <w:rPr>
                <w:sz w:val="24"/>
                <w:szCs w:val="24"/>
                <w:color w:val="auto"/>
              </w:rPr>
            </w:pPr>
          </w:p>
        </w:tc>
        <w:tc>
          <w:tcPr>
            <w:tcW w:w="1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94,491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580" w:type="dxa"/>
            <w:vAlign w:val="bottom"/>
            <w:gridSpan w:val="3"/>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302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Debt</w:t>
            </w: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02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697,718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49"/>
              <w:spacing w:after="0"/>
              <w:rPr>
                <w:sz w:val="20"/>
                <w:szCs w:val="20"/>
                <w:color w:val="auto"/>
              </w:rPr>
            </w:pPr>
            <w:r>
              <w:rPr>
                <w:rFonts w:ascii="Arial" w:cs="Arial" w:eastAsia="Arial" w:hAnsi="Arial"/>
                <w:sz w:val="10"/>
                <w:szCs w:val="10"/>
                <w:color w:val="auto"/>
              </w:rPr>
              <w:t>70,344</w:t>
            </w:r>
          </w:p>
        </w:tc>
        <w:tc>
          <w:tcPr>
            <w:tcW w:w="1120" w:type="dxa"/>
            <w:vAlign w:val="bottom"/>
            <w:gridSpan w:val="5"/>
          </w:tcPr>
          <w:p>
            <w:pPr>
              <w:jc w:val="right"/>
              <w:ind w:right="68"/>
              <w:spacing w:after="0"/>
              <w:rPr>
                <w:sz w:val="20"/>
                <w:szCs w:val="20"/>
                <w:color w:val="auto"/>
              </w:rPr>
            </w:pPr>
            <w:r>
              <w:rPr>
                <w:rFonts w:ascii="Arial" w:cs="Arial" w:eastAsia="Arial" w:hAnsi="Arial"/>
                <w:sz w:val="10"/>
                <w:szCs w:val="10"/>
                <w:color w:val="auto"/>
              </w:rPr>
              <w:t>$ 12,570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49"/>
              <w:spacing w:after="0"/>
              <w:rPr>
                <w:sz w:val="20"/>
                <w:szCs w:val="20"/>
                <w:color w:val="auto"/>
              </w:rPr>
            </w:pPr>
            <w:r>
              <w:rPr>
                <w:rFonts w:ascii="Arial" w:cs="Arial" w:eastAsia="Arial" w:hAnsi="Arial"/>
                <w:sz w:val="10"/>
                <w:szCs w:val="10"/>
                <w:color w:val="auto"/>
              </w:rPr>
              <w:t>459,881</w:t>
            </w:r>
          </w:p>
        </w:tc>
        <w:tc>
          <w:tcPr>
            <w:tcW w:w="1160" w:type="dxa"/>
            <w:vAlign w:val="bottom"/>
            <w:gridSpan w:val="5"/>
          </w:tcPr>
          <w:p>
            <w:pPr>
              <w:jc w:val="right"/>
              <w:ind w:right="68"/>
              <w:spacing w:after="0"/>
              <w:rPr>
                <w:sz w:val="20"/>
                <w:szCs w:val="20"/>
                <w:color w:val="auto"/>
              </w:rPr>
            </w:pPr>
            <w:r>
              <w:rPr>
                <w:rFonts w:ascii="Arial" w:cs="Arial" w:eastAsia="Arial" w:hAnsi="Arial"/>
                <w:sz w:val="10"/>
                <w:szCs w:val="10"/>
                <w:color w:val="auto"/>
              </w:rPr>
              <w:t>$ 102,316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49"/>
              <w:spacing w:after="0"/>
              <w:rPr>
                <w:sz w:val="20"/>
                <w:szCs w:val="20"/>
                <w:color w:val="auto"/>
              </w:rPr>
            </w:pPr>
            <w:r>
              <w:rPr>
                <w:rFonts w:ascii="Arial" w:cs="Arial" w:eastAsia="Arial" w:hAnsi="Arial"/>
                <w:sz w:val="10"/>
                <w:szCs w:val="10"/>
                <w:color w:val="auto"/>
                <w:w w:val="99"/>
              </w:rPr>
              <w:t>176,506</w:t>
            </w:r>
          </w:p>
        </w:tc>
        <w:tc>
          <w:tcPr>
            <w:tcW w:w="1100" w:type="dxa"/>
            <w:vAlign w:val="bottom"/>
            <w:gridSpan w:val="5"/>
          </w:tcPr>
          <w:p>
            <w:pPr>
              <w:jc w:val="right"/>
              <w:ind w:right="48"/>
              <w:spacing w:after="0"/>
              <w:rPr>
                <w:sz w:val="20"/>
                <w:szCs w:val="20"/>
                <w:color w:val="auto"/>
              </w:rPr>
            </w:pPr>
            <w:r>
              <w:rPr>
                <w:rFonts w:ascii="Arial" w:cs="Arial" w:eastAsia="Arial" w:hAnsi="Arial"/>
                <w:sz w:val="10"/>
                <w:szCs w:val="10"/>
                <w:color w:val="auto"/>
              </w:rPr>
              <w:t>$ 35,477</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p>
    <w:p>
      <w:pPr>
        <w:spacing w:after="0" w:line="192" w:lineRule="exact"/>
        <w:rPr>
          <w:sz w:val="20"/>
          <w:szCs w:val="20"/>
          <w:color w:val="auto"/>
        </w:rPr>
      </w:pPr>
    </w:p>
    <w:p>
      <w:pPr>
        <w:ind w:left="540" w:right="140" w:hanging="270"/>
        <w:spacing w:after="0" w:line="22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Does not include a full quarter of NOI for those assets purchased during the current quarter. See </w:t>
      </w:r>
      <w:hyperlink w:anchor="page28">
        <w:r>
          <w:rPr>
            <w:rFonts w:ascii="Arial" w:cs="Arial" w:eastAsia="Arial" w:hAnsi="Arial"/>
            <w:sz w:val="12"/>
            <w:szCs w:val="12"/>
            <w:u w:val="single" w:color="auto"/>
            <w:color w:val="0000EE"/>
          </w:rPr>
          <w:t>“Transactional Activity”</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page in this Supplemental Report for descriptions of those acquisitions. Excludes Fund II, which has been substantially liquidated except for its investment in City Point with pre-stabilized assets of $529.1 million and debt of $256.3 million.</w:t>
      </w:r>
    </w:p>
    <w:p>
      <w:pPr>
        <w:ind w:left="540" w:right="60" w:hanging="270"/>
        <w:spacing w:after="0" w:line="22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Consists of the following projects for Fund III: 640 Broadway, 654 Broadway and Nostrand; Fund IV: Paramus Plaza, 210 Bowery, Broughton Street Portfolio, 801 Madison, 27 E 61st Street, 938 West North, 1964 Union Street, 17 East 71st Street, 1035 Third Avenue and Eden Square.</w:t>
      </w:r>
    </w:p>
    <w:p>
      <w:pPr>
        <w:ind w:left="540" w:hanging="270"/>
        <w:spacing w:after="0"/>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See </w:t>
      </w:r>
      <w:hyperlink w:anchor="page48">
        <w:r>
          <w:rPr>
            <w:rFonts w:ascii="Arial" w:cs="Arial" w:eastAsia="Arial" w:hAnsi="Arial"/>
            <w:sz w:val="12"/>
            <w:szCs w:val="12"/>
            <w:u w:val="single" w:color="auto"/>
            <w:color w:val="0000EE"/>
          </w:rPr>
          <w:t>“Development and Redevelopment Activity”</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page in this Supplemental Report.</w:t>
      </w:r>
    </w:p>
    <w:p>
      <w:pPr>
        <w:spacing w:after="0" w:line="313" w:lineRule="exact"/>
        <w:rPr>
          <w:rFonts w:ascii="Arial" w:cs="Arial" w:eastAsia="Arial" w:hAnsi="Arial"/>
          <w:sz w:val="12"/>
          <w:szCs w:val="12"/>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18</w:t>
            </w:r>
          </w:p>
        </w:tc>
      </w:tr>
    </w:tbl>
    <w:p>
      <w:pPr>
        <w:sectPr>
          <w:pgSz w:w="11900" w:h="16838" w:orient="portrait"/>
          <w:cols w:equalWidth="0" w:num="1">
            <w:col w:w="11460"/>
          </w:cols>
          <w:pgMar w:left="220" w:top="617" w:right="21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Selected Financial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27265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5953125</wp:posOffset>
            </wp:positionH>
            <wp:positionV relativeFrom="paragraph">
              <wp:posOffset>92075</wp:posOffset>
            </wp:positionV>
            <wp:extent cx="131127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1275" cy="698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Quarter Ended</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2"/>
                <w:szCs w:val="12"/>
                <w:b w:val="1"/>
                <w:bCs w:val="1"/>
                <w:color w:val="auto"/>
              </w:rPr>
              <w:t>Quarter Ended</w:t>
            </w: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51"/>
        </w:trPr>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2"/>
              <w:spacing w:after="0"/>
              <w:rPr>
                <w:sz w:val="20"/>
                <w:szCs w:val="20"/>
                <w:color w:val="auto"/>
              </w:rPr>
            </w:pPr>
            <w:r>
              <w:rPr>
                <w:rFonts w:ascii="Arial" w:cs="Arial" w:eastAsia="Arial" w:hAnsi="Arial"/>
                <w:sz w:val="12"/>
                <w:szCs w:val="12"/>
                <w:b w:val="1"/>
                <w:bCs w:val="1"/>
                <w:color w:val="auto"/>
              </w:rPr>
              <w:t>2018</w:t>
            </w:r>
          </w:p>
        </w:tc>
        <w:tc>
          <w:tcPr>
            <w:tcW w:w="1000" w:type="dxa"/>
            <w:vAlign w:val="bottom"/>
            <w:gridSpan w:val="3"/>
          </w:tcPr>
          <w:p>
            <w:pPr>
              <w:jc w:val="right"/>
              <w:ind w:right="262"/>
              <w:spacing w:after="0"/>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March 31, 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22"/>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186"/>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COVERAGE RATIOS </w:t>
            </w:r>
            <w:r>
              <w:rPr>
                <w:rFonts w:ascii="Arial" w:cs="Arial" w:eastAsia="Arial" w:hAnsi="Arial"/>
                <w:sz w:val="14"/>
                <w:szCs w:val="14"/>
                <w:b w:val="1"/>
                <w:bCs w:val="1"/>
                <w:color w:val="auto"/>
                <w:vertAlign w:val="superscript"/>
              </w:rPr>
              <w:t>1</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spacing w:after="0"/>
              <w:rPr>
                <w:sz w:val="20"/>
                <w:szCs w:val="20"/>
                <w:color w:val="auto"/>
              </w:rPr>
            </w:pPr>
            <w:r>
              <w:rPr>
                <w:rFonts w:ascii="Arial" w:cs="Arial" w:eastAsia="Arial" w:hAnsi="Arial"/>
                <w:sz w:val="12"/>
                <w:szCs w:val="12"/>
                <w:b w:val="1"/>
                <w:bCs w:val="1"/>
                <w:color w:val="auto"/>
              </w:rPr>
              <w:t>LEVERAGE RATIOS</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Fixed-Charge Coverage Ratios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4"/>
          </w:tcPr>
          <w:p>
            <w:pPr>
              <w:spacing w:after="0"/>
              <w:rPr>
                <w:sz w:val="20"/>
                <w:szCs w:val="20"/>
                <w:color w:val="auto"/>
              </w:rPr>
            </w:pPr>
            <w:r>
              <w:rPr>
                <w:rFonts w:ascii="Arial" w:cs="Arial" w:eastAsia="Arial" w:hAnsi="Arial"/>
                <w:sz w:val="12"/>
                <w:szCs w:val="12"/>
                <w:b w:val="1"/>
                <w:bCs w:val="1"/>
                <w:color w:val="auto"/>
              </w:rPr>
              <w:t>Debt/Market Capitalization Ratios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2"/>
                <w:szCs w:val="12"/>
                <w:color w:val="auto"/>
              </w:rPr>
              <w:t xml:space="preserve">EBITDA </w:t>
            </w:r>
            <w:r>
              <w:rPr>
                <w:rFonts w:ascii="Arial" w:cs="Arial" w:eastAsia="Arial" w:hAnsi="Arial"/>
                <w:sz w:val="14"/>
                <w:szCs w:val="14"/>
                <w:color w:val="auto"/>
                <w:vertAlign w:val="superscript"/>
              </w:rPr>
              <w:t>2</w:t>
            </w:r>
            <w:r>
              <w:rPr>
                <w:rFonts w:ascii="Arial" w:cs="Arial" w:eastAsia="Arial" w:hAnsi="Arial"/>
                <w:sz w:val="12"/>
                <w:szCs w:val="12"/>
                <w:color w:val="auto"/>
              </w:rPr>
              <w:t xml:space="preserve"> divided by:</w:t>
            </w:r>
          </w:p>
        </w:tc>
        <w:tc>
          <w:tcPr>
            <w:tcW w:w="3000" w:type="dxa"/>
            <w:vAlign w:val="bottom"/>
            <w:vMerge w:val="restart"/>
          </w:tcPr>
          <w:p>
            <w:pPr>
              <w:spacing w:after="0" w:line="20" w:lineRule="exact"/>
              <w:rPr>
                <w:sz w:val="1"/>
                <w:szCs w:val="1"/>
                <w:color w:val="auto"/>
              </w:rPr>
            </w:pPr>
          </w:p>
        </w:tc>
        <w:tc>
          <w:tcPr>
            <w:tcW w:w="220" w:type="dxa"/>
            <w:vAlign w:val="bottom"/>
            <w:tcBorders>
              <w:bottom w:val="single" w:sz="8" w:color="9BDA44"/>
            </w:tcBorders>
          </w:tcPr>
          <w:p>
            <w:pPr>
              <w:spacing w:after="0" w:line="20" w:lineRule="exact"/>
              <w:rPr>
                <w:sz w:val="1"/>
                <w:szCs w:val="1"/>
                <w:color w:val="auto"/>
              </w:rPr>
            </w:pPr>
          </w:p>
        </w:tc>
        <w:tc>
          <w:tcPr>
            <w:tcW w:w="720" w:type="dxa"/>
            <w:vAlign w:val="bottom"/>
            <w:tcBorders>
              <w:bottom w:val="single" w:sz="8" w:color="9BDA4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9BDA44"/>
            </w:tcBorders>
          </w:tcPr>
          <w:p>
            <w:pPr>
              <w:spacing w:after="0" w:line="20" w:lineRule="exact"/>
              <w:rPr>
                <w:sz w:val="1"/>
                <w:szCs w:val="1"/>
                <w:color w:val="auto"/>
              </w:rPr>
            </w:pPr>
          </w:p>
        </w:tc>
        <w:tc>
          <w:tcPr>
            <w:tcW w:w="760" w:type="dxa"/>
            <w:vAlign w:val="bottom"/>
            <w:tcBorders>
              <w:bottom w:val="single" w:sz="8" w:color="9BDA4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700" w:type="dxa"/>
            <w:vAlign w:val="bottom"/>
            <w:gridSpan w:val="2"/>
            <w:vMerge w:val="continue"/>
          </w:tcPr>
          <w:p>
            <w:pPr>
              <w:spacing w:after="0"/>
              <w:rPr>
                <w:sz w:val="24"/>
                <w:szCs w:val="24"/>
                <w:color w:val="auto"/>
              </w:rPr>
            </w:pPr>
          </w:p>
        </w:tc>
        <w:tc>
          <w:tcPr>
            <w:tcW w:w="3000" w:type="dxa"/>
            <w:vAlign w:val="bottom"/>
            <w:vMerge w:val="continue"/>
          </w:tcPr>
          <w:p>
            <w:pPr>
              <w:spacing w:after="0"/>
              <w:rPr>
                <w:sz w:val="24"/>
                <w:szCs w:val="24"/>
                <w:color w:val="auto"/>
              </w:rPr>
            </w:pPr>
          </w:p>
        </w:tc>
        <w:tc>
          <w:tcPr>
            <w:tcW w:w="220" w:type="dxa"/>
            <w:vAlign w:val="bottom"/>
            <w:tcBorders>
              <w:left w:val="single" w:sz="8" w:color="9BDA44"/>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34,791</w:t>
            </w: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62"/>
              <w:spacing w:after="0"/>
              <w:rPr>
                <w:sz w:val="20"/>
                <w:szCs w:val="20"/>
                <w:color w:val="auto"/>
              </w:rPr>
            </w:pPr>
            <w:r>
              <w:rPr>
                <w:rFonts w:ascii="Arial" w:cs="Arial" w:eastAsia="Arial" w:hAnsi="Arial"/>
                <w:sz w:val="12"/>
                <w:szCs w:val="12"/>
                <w:color w:val="auto"/>
              </w:rPr>
              <w:t>40,473</w:t>
            </w:r>
          </w:p>
        </w:tc>
        <w:tc>
          <w:tcPr>
            <w:tcW w:w="240" w:type="dxa"/>
            <w:vAlign w:val="bottom"/>
          </w:tcPr>
          <w:p>
            <w:pPr>
              <w:spacing w:after="0"/>
              <w:rPr>
                <w:sz w:val="24"/>
                <w:szCs w:val="24"/>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color w:val="auto"/>
              </w:rPr>
              <w:t>Debt + Preferred Equity (Preferred O.P. Units)</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929,234</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939,614</w:t>
            </w:r>
          </w:p>
        </w:tc>
        <w:tc>
          <w:tcPr>
            <w:tcW w:w="0" w:type="dxa"/>
            <w:vAlign w:val="bottom"/>
          </w:tcPr>
          <w:p>
            <w:pPr>
              <w:spacing w:after="0"/>
              <w:rPr>
                <w:sz w:val="1"/>
                <w:szCs w:val="1"/>
                <w:color w:val="auto"/>
              </w:rPr>
            </w:pPr>
          </w:p>
        </w:tc>
      </w:tr>
      <w:tr>
        <w:trPr>
          <w:trHeight w:val="178"/>
        </w:trPr>
        <w:tc>
          <w:tcPr>
            <w:tcW w:w="4700" w:type="dxa"/>
            <w:vAlign w:val="bottom"/>
            <w:gridSpan w:val="3"/>
          </w:tcPr>
          <w:p>
            <w:pPr>
              <w:spacing w:after="0"/>
              <w:rPr>
                <w:sz w:val="20"/>
                <w:szCs w:val="20"/>
                <w:color w:val="auto"/>
              </w:rPr>
            </w:pPr>
            <w:r>
              <w:rPr>
                <w:rFonts w:ascii="Arial" w:cs="Arial" w:eastAsia="Arial" w:hAnsi="Arial"/>
                <w:sz w:val="12"/>
                <w:szCs w:val="12"/>
                <w:color w:val="auto"/>
              </w:rPr>
              <w:t>Interest expense</w:t>
            </w:r>
          </w:p>
        </w:tc>
        <w:tc>
          <w:tcPr>
            <w:tcW w:w="220" w:type="dxa"/>
            <w:vAlign w:val="bottom"/>
            <w:tcBorders>
              <w:left w:val="single" w:sz="8" w:color="9BDA44"/>
            </w:tcBorders>
          </w:tcPr>
          <w:p>
            <w:pPr>
              <w:spacing w:after="0"/>
              <w:rPr>
                <w:sz w:val="15"/>
                <w:szCs w:val="15"/>
                <w:color w:val="auto"/>
              </w:rPr>
            </w:pPr>
          </w:p>
        </w:tc>
        <w:tc>
          <w:tcPr>
            <w:tcW w:w="72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6,321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jc w:val="right"/>
              <w:ind w:right="62"/>
              <w:spacing w:after="0"/>
              <w:rPr>
                <w:sz w:val="20"/>
                <w:szCs w:val="20"/>
                <w:color w:val="auto"/>
              </w:rPr>
            </w:pPr>
            <w:r>
              <w:rPr>
                <w:rFonts w:ascii="Arial" w:cs="Arial" w:eastAsia="Arial" w:hAnsi="Arial"/>
                <w:sz w:val="12"/>
                <w:szCs w:val="12"/>
                <w:color w:val="auto"/>
              </w:rPr>
              <w:t>7,079</w:t>
            </w:r>
          </w:p>
        </w:tc>
        <w:tc>
          <w:tcPr>
            <w:tcW w:w="240" w:type="dxa"/>
            <w:vAlign w:val="bottom"/>
          </w:tcPr>
          <w:p>
            <w:pPr>
              <w:spacing w:after="0"/>
              <w:rPr>
                <w:sz w:val="15"/>
                <w:szCs w:val="15"/>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color w:val="auto"/>
              </w:rPr>
              <w:t>Total Market Capitalization</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9BDA44"/>
            </w:tcBorders>
          </w:tcPr>
          <w:p>
            <w:pPr>
              <w:jc w:val="right"/>
              <w:ind w:right="102"/>
              <w:spacing w:after="0"/>
              <w:rPr>
                <w:sz w:val="20"/>
                <w:szCs w:val="20"/>
                <w:color w:val="auto"/>
              </w:rPr>
            </w:pPr>
            <w:r>
              <w:rPr>
                <w:rFonts w:ascii="Arial" w:cs="Arial" w:eastAsia="Arial" w:hAnsi="Arial"/>
                <w:sz w:val="12"/>
                <w:szCs w:val="12"/>
                <w:color w:val="auto"/>
              </w:rPr>
              <w:t>3,079,766</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3,358,895</w:t>
            </w:r>
          </w:p>
        </w:tc>
        <w:tc>
          <w:tcPr>
            <w:tcW w:w="0" w:type="dxa"/>
            <w:vAlign w:val="bottom"/>
          </w:tcPr>
          <w:p>
            <w:pPr>
              <w:spacing w:after="0"/>
              <w:rPr>
                <w:sz w:val="1"/>
                <w:szCs w:val="1"/>
                <w:color w:val="auto"/>
              </w:rPr>
            </w:pPr>
          </w:p>
        </w:tc>
      </w:tr>
      <w:tr>
        <w:trPr>
          <w:trHeight w:val="132"/>
        </w:trPr>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Borders>
              <w:left w:val="single" w:sz="8" w:color="9BDA44"/>
            </w:tcBorders>
          </w:tcPr>
          <w:p>
            <w:pPr>
              <w:spacing w:after="0"/>
              <w:rPr>
                <w:sz w:val="11"/>
                <w:szCs w:val="11"/>
                <w:color w:val="auto"/>
              </w:rPr>
            </w:pPr>
          </w:p>
        </w:tc>
        <w:tc>
          <w:tcPr>
            <w:tcW w:w="720" w:type="dxa"/>
            <w:vAlign w:val="bottom"/>
            <w:tcBorders>
              <w:right w:val="single" w:sz="8" w:color="9BDA44"/>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tcBorders>
              <w:right w:val="single" w:sz="8" w:color="9BDA44"/>
            </w:tcBorders>
            <w:gridSpan w:val="4"/>
          </w:tcPr>
          <w:p>
            <w:pPr>
              <w:spacing w:after="0" w:line="132" w:lineRule="exact"/>
              <w:rPr>
                <w:sz w:val="20"/>
                <w:szCs w:val="20"/>
                <w:color w:val="auto"/>
              </w:rPr>
            </w:pPr>
            <w:r>
              <w:rPr>
                <w:rFonts w:ascii="Arial" w:cs="Arial" w:eastAsia="Arial" w:hAnsi="Arial"/>
                <w:sz w:val="12"/>
                <w:szCs w:val="12"/>
                <w:b w:val="1"/>
                <w:bCs w:val="1"/>
                <w:color w:val="auto"/>
              </w:rPr>
              <w:t>Debt+Preferred Equity/Total Market</w:t>
            </w:r>
          </w:p>
        </w:tc>
        <w:tc>
          <w:tcPr>
            <w:tcW w:w="160" w:type="dxa"/>
            <w:vAlign w:val="bottom"/>
          </w:tcPr>
          <w:p>
            <w:pPr>
              <w:spacing w:after="0"/>
              <w:rPr>
                <w:sz w:val="11"/>
                <w:szCs w:val="11"/>
                <w:color w:val="auto"/>
              </w:rPr>
            </w:pPr>
          </w:p>
        </w:tc>
        <w:tc>
          <w:tcPr>
            <w:tcW w:w="760" w:type="dxa"/>
            <w:vAlign w:val="bottom"/>
            <w:tcBorders>
              <w:right w:val="single" w:sz="8" w:color="9BDA44"/>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Principal Amortization</w:t>
            </w:r>
          </w:p>
        </w:tc>
        <w:tc>
          <w:tcPr>
            <w:tcW w:w="220" w:type="dxa"/>
            <w:vAlign w:val="bottom"/>
            <w:tcBorders>
              <w:left w:val="single" w:sz="8" w:color="9BDA44"/>
            </w:tcBorders>
          </w:tcPr>
          <w:p>
            <w:pPr>
              <w:spacing w:after="0"/>
              <w:rPr>
                <w:sz w:val="13"/>
                <w:szCs w:val="13"/>
                <w:color w:val="auto"/>
              </w:rPr>
            </w:pPr>
          </w:p>
        </w:tc>
        <w:tc>
          <w:tcPr>
            <w:tcW w:w="72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1,101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jc w:val="right"/>
              <w:ind w:right="62"/>
              <w:spacing w:after="0"/>
              <w:rPr>
                <w:sz w:val="20"/>
                <w:szCs w:val="20"/>
                <w:color w:val="auto"/>
              </w:rPr>
            </w:pPr>
            <w:r>
              <w:rPr>
                <w:rFonts w:ascii="Arial" w:cs="Arial" w:eastAsia="Arial" w:hAnsi="Arial"/>
                <w:sz w:val="12"/>
                <w:szCs w:val="12"/>
                <w:color w:val="auto"/>
              </w:rPr>
              <w:t>1,279</w:t>
            </w:r>
          </w:p>
        </w:tc>
        <w:tc>
          <w:tcPr>
            <w:tcW w:w="240" w:type="dxa"/>
            <w:vAlign w:val="bottom"/>
          </w:tcPr>
          <w:p>
            <w:pPr>
              <w:spacing w:after="0"/>
              <w:rPr>
                <w:sz w:val="13"/>
                <w:szCs w:val="13"/>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b w:val="1"/>
                <w:bCs w:val="1"/>
                <w:color w:val="auto"/>
              </w:rPr>
              <w:t>Capitalization</w:t>
            </w:r>
          </w:p>
        </w:tc>
        <w:tc>
          <w:tcPr>
            <w:tcW w:w="160" w:type="dxa"/>
            <w:vAlign w:val="bottom"/>
          </w:tcPr>
          <w:p>
            <w:pPr>
              <w:spacing w:after="0"/>
              <w:rPr>
                <w:sz w:val="13"/>
                <w:szCs w:val="13"/>
                <w:color w:val="auto"/>
              </w:rPr>
            </w:pPr>
          </w:p>
        </w:tc>
        <w:tc>
          <w:tcPr>
            <w:tcW w:w="760" w:type="dxa"/>
            <w:vAlign w:val="bottom"/>
            <w:tcBorders>
              <w:right w:val="single" w:sz="8" w:color="9BDA44"/>
            </w:tcBorders>
          </w:tcPr>
          <w:p>
            <w:pPr>
              <w:jc w:val="right"/>
              <w:ind w:right="2"/>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28"/>
        </w:trPr>
        <w:tc>
          <w:tcPr>
            <w:tcW w:w="4700" w:type="dxa"/>
            <w:vAlign w:val="bottom"/>
            <w:gridSpan w:val="3"/>
          </w:tcPr>
          <w:p>
            <w:pPr>
              <w:spacing w:after="0"/>
              <w:rPr>
                <w:sz w:val="20"/>
                <w:szCs w:val="20"/>
                <w:color w:val="auto"/>
              </w:rPr>
            </w:pPr>
            <w:r>
              <w:rPr>
                <w:rFonts w:ascii="Arial" w:cs="Arial" w:eastAsia="Arial" w:hAnsi="Arial"/>
                <w:sz w:val="12"/>
                <w:szCs w:val="12"/>
                <w:color w:val="auto"/>
              </w:rPr>
              <w:t xml:space="preserve">Preferred Dividends </w:t>
            </w:r>
            <w:r>
              <w:rPr>
                <w:rFonts w:ascii="Arial" w:cs="Arial" w:eastAsia="Arial" w:hAnsi="Arial"/>
                <w:sz w:val="14"/>
                <w:szCs w:val="14"/>
                <w:color w:val="auto"/>
                <w:vertAlign w:val="superscript"/>
              </w:rPr>
              <w:t>3</w:t>
            </w:r>
          </w:p>
        </w:tc>
        <w:tc>
          <w:tcPr>
            <w:tcW w:w="220" w:type="dxa"/>
            <w:vAlign w:val="bottom"/>
            <w:tcBorders>
              <w:left w:val="single" w:sz="8" w:color="9BDA44"/>
              <w:bottom w:val="single" w:sz="8" w:color="auto"/>
            </w:tcBorders>
          </w:tcPr>
          <w:p>
            <w:pPr>
              <w:spacing w:after="0"/>
              <w:rPr>
                <w:sz w:val="19"/>
                <w:szCs w:val="19"/>
                <w:color w:val="auto"/>
              </w:rPr>
            </w:pPr>
          </w:p>
        </w:tc>
        <w:tc>
          <w:tcPr>
            <w:tcW w:w="720" w:type="dxa"/>
            <w:vAlign w:val="bottom"/>
            <w:tcBorders>
              <w:bottom w:val="single" w:sz="8" w:color="auto"/>
              <w:right w:val="single" w:sz="8" w:color="9BDA44"/>
            </w:tcBorders>
          </w:tcPr>
          <w:p>
            <w:pPr>
              <w:jc w:val="right"/>
              <w:ind w:right="102"/>
              <w:spacing w:after="0"/>
              <w:rPr>
                <w:sz w:val="20"/>
                <w:szCs w:val="20"/>
                <w:color w:val="auto"/>
              </w:rPr>
            </w:pPr>
            <w:r>
              <w:rPr>
                <w:rFonts w:ascii="Arial" w:cs="Arial" w:eastAsia="Arial" w:hAnsi="Arial"/>
                <w:sz w:val="12"/>
                <w:szCs w:val="12"/>
                <w:color w:val="auto"/>
              </w:rPr>
              <w:t>135</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139</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Borders>
              <w:right w:val="single" w:sz="8" w:color="9BDA44"/>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9BDA44"/>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Fixed-Charge Coverage Ratio - Core Portfolio</w:t>
            </w:r>
          </w:p>
        </w:tc>
        <w:tc>
          <w:tcPr>
            <w:tcW w:w="220" w:type="dxa"/>
            <w:vAlign w:val="bottom"/>
            <w:tcBorders>
              <w:left w:val="single" w:sz="8" w:color="9BDA44"/>
            </w:tcBorders>
          </w:tcPr>
          <w:p>
            <w:pPr>
              <w:spacing w:after="0"/>
              <w:rPr>
                <w:sz w:val="16"/>
                <w:szCs w:val="16"/>
                <w:color w:val="auto"/>
              </w:rPr>
            </w:pPr>
          </w:p>
        </w:tc>
        <w:tc>
          <w:tcPr>
            <w:tcW w:w="720" w:type="dxa"/>
            <w:vAlign w:val="bottom"/>
            <w:tcBorders>
              <w:right w:val="single" w:sz="8" w:color="9BDA44"/>
            </w:tcBorders>
          </w:tcPr>
          <w:p>
            <w:pPr>
              <w:jc w:val="right"/>
              <w:ind w:right="42"/>
              <w:spacing w:after="0"/>
              <w:rPr>
                <w:sz w:val="20"/>
                <w:szCs w:val="20"/>
                <w:color w:val="auto"/>
              </w:rPr>
            </w:pPr>
            <w:r>
              <w:rPr>
                <w:rFonts w:ascii="Arial" w:cs="Arial" w:eastAsia="Arial" w:hAnsi="Arial"/>
                <w:sz w:val="12"/>
                <w:szCs w:val="12"/>
                <w:color w:val="auto"/>
              </w:rPr>
              <w:t>4.6x</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4.8x</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Borders>
              <w:right w:val="single" w:sz="8" w:color="9BDA44"/>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right w:val="single" w:sz="8" w:color="9BDA44"/>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6"/>
        </w:trPr>
        <w:tc>
          <w:tcPr>
            <w:tcW w:w="4700" w:type="dxa"/>
            <w:vAlign w:val="bottom"/>
            <w:gridSpan w:val="3"/>
          </w:tcPr>
          <w:p>
            <w:pPr>
              <w:spacing w:after="0"/>
              <w:rPr>
                <w:sz w:val="20"/>
                <w:szCs w:val="20"/>
                <w:color w:val="auto"/>
              </w:rPr>
            </w:pPr>
            <w:r>
              <w:rPr>
                <w:rFonts w:ascii="Arial" w:cs="Arial" w:eastAsia="Arial" w:hAnsi="Arial"/>
                <w:sz w:val="12"/>
                <w:szCs w:val="12"/>
                <w:color w:val="auto"/>
              </w:rPr>
              <w:t>EBITDA divided by:</w:t>
            </w:r>
          </w:p>
        </w:tc>
        <w:tc>
          <w:tcPr>
            <w:tcW w:w="220" w:type="dxa"/>
            <w:vAlign w:val="bottom"/>
            <w:tcBorders>
              <w:left w:val="single" w:sz="8" w:color="9BDA44"/>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38,441</w:t>
            </w: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62"/>
              <w:spacing w:after="0"/>
              <w:rPr>
                <w:sz w:val="20"/>
                <w:szCs w:val="20"/>
                <w:color w:val="auto"/>
              </w:rPr>
            </w:pPr>
            <w:r>
              <w:rPr>
                <w:rFonts w:ascii="Arial" w:cs="Arial" w:eastAsia="Arial" w:hAnsi="Arial"/>
                <w:sz w:val="12"/>
                <w:szCs w:val="12"/>
                <w:color w:val="auto"/>
              </w:rPr>
              <w:t>44,075</w:t>
            </w:r>
          </w:p>
        </w:tc>
        <w:tc>
          <w:tcPr>
            <w:tcW w:w="240" w:type="dxa"/>
            <w:vAlign w:val="bottom"/>
          </w:tcPr>
          <w:p>
            <w:pPr>
              <w:spacing w:after="0"/>
              <w:rPr>
                <w:sz w:val="24"/>
                <w:szCs w:val="24"/>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color w:val="auto"/>
              </w:rPr>
              <w:t xml:space="preserve">Debt </w:t>
            </w:r>
            <w:r>
              <w:rPr>
                <w:rFonts w:ascii="Arial" w:cs="Arial" w:eastAsia="Arial" w:hAnsi="Arial"/>
                <w:sz w:val="14"/>
                <w:szCs w:val="14"/>
                <w:color w:val="auto"/>
                <w:vertAlign w:val="superscript"/>
              </w:rPr>
              <w:t>6</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908,354</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908,352</w:t>
            </w:r>
          </w:p>
        </w:tc>
        <w:tc>
          <w:tcPr>
            <w:tcW w:w="0" w:type="dxa"/>
            <w:vAlign w:val="bottom"/>
          </w:tcPr>
          <w:p>
            <w:pPr>
              <w:spacing w:after="0"/>
              <w:rPr>
                <w:sz w:val="1"/>
                <w:szCs w:val="1"/>
                <w:color w:val="auto"/>
              </w:rPr>
            </w:pPr>
          </w:p>
        </w:tc>
      </w:tr>
      <w:tr>
        <w:trPr>
          <w:trHeight w:val="178"/>
        </w:trPr>
        <w:tc>
          <w:tcPr>
            <w:tcW w:w="4700" w:type="dxa"/>
            <w:vAlign w:val="bottom"/>
            <w:gridSpan w:val="3"/>
          </w:tcPr>
          <w:p>
            <w:pPr>
              <w:spacing w:after="0"/>
              <w:rPr>
                <w:sz w:val="20"/>
                <w:szCs w:val="20"/>
                <w:color w:val="auto"/>
              </w:rPr>
            </w:pPr>
            <w:r>
              <w:rPr>
                <w:rFonts w:ascii="Arial" w:cs="Arial" w:eastAsia="Arial" w:hAnsi="Arial"/>
                <w:sz w:val="12"/>
                <w:szCs w:val="12"/>
                <w:color w:val="auto"/>
              </w:rPr>
              <w:t>Interest expense</w:t>
            </w:r>
          </w:p>
        </w:tc>
        <w:tc>
          <w:tcPr>
            <w:tcW w:w="220" w:type="dxa"/>
            <w:vAlign w:val="bottom"/>
            <w:tcBorders>
              <w:left w:val="single" w:sz="8" w:color="9BDA44"/>
            </w:tcBorders>
          </w:tcPr>
          <w:p>
            <w:pPr>
              <w:spacing w:after="0"/>
              <w:rPr>
                <w:sz w:val="15"/>
                <w:szCs w:val="15"/>
                <w:color w:val="auto"/>
              </w:rPr>
            </w:pPr>
          </w:p>
        </w:tc>
        <w:tc>
          <w:tcPr>
            <w:tcW w:w="72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8,352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jc w:val="right"/>
              <w:ind w:right="62"/>
              <w:spacing w:after="0"/>
              <w:rPr>
                <w:sz w:val="20"/>
                <w:szCs w:val="20"/>
                <w:color w:val="auto"/>
              </w:rPr>
            </w:pPr>
            <w:r>
              <w:rPr>
                <w:rFonts w:ascii="Arial" w:cs="Arial" w:eastAsia="Arial" w:hAnsi="Arial"/>
                <w:sz w:val="12"/>
                <w:szCs w:val="12"/>
                <w:color w:val="auto"/>
              </w:rPr>
              <w:t>7,994</w:t>
            </w:r>
          </w:p>
        </w:tc>
        <w:tc>
          <w:tcPr>
            <w:tcW w:w="240" w:type="dxa"/>
            <w:vAlign w:val="bottom"/>
          </w:tcPr>
          <w:p>
            <w:pPr>
              <w:spacing w:after="0"/>
              <w:rPr>
                <w:sz w:val="15"/>
                <w:szCs w:val="15"/>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color w:val="auto"/>
              </w:rPr>
              <w:t>Total Market Capitalization</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9BDA44"/>
            </w:tcBorders>
          </w:tcPr>
          <w:p>
            <w:pPr>
              <w:jc w:val="right"/>
              <w:ind w:right="102"/>
              <w:spacing w:after="0"/>
              <w:rPr>
                <w:sz w:val="20"/>
                <w:szCs w:val="20"/>
                <w:color w:val="auto"/>
              </w:rPr>
            </w:pPr>
            <w:r>
              <w:rPr>
                <w:rFonts w:ascii="Arial" w:cs="Arial" w:eastAsia="Arial" w:hAnsi="Arial"/>
                <w:sz w:val="12"/>
                <w:szCs w:val="12"/>
                <w:color w:val="auto"/>
              </w:rPr>
              <w:t>3,079,766</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3,358,895</w:t>
            </w:r>
          </w:p>
        </w:tc>
        <w:tc>
          <w:tcPr>
            <w:tcW w:w="0" w:type="dxa"/>
            <w:vAlign w:val="bottom"/>
          </w:tcPr>
          <w:p>
            <w:pPr>
              <w:spacing w:after="0"/>
              <w:rPr>
                <w:sz w:val="1"/>
                <w:szCs w:val="1"/>
                <w:color w:val="auto"/>
              </w:rPr>
            </w:pPr>
          </w:p>
        </w:tc>
      </w:tr>
      <w:tr>
        <w:trPr>
          <w:trHeight w:val="132"/>
        </w:trPr>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Borders>
              <w:left w:val="single" w:sz="8" w:color="9BDA44"/>
            </w:tcBorders>
          </w:tcPr>
          <w:p>
            <w:pPr>
              <w:spacing w:after="0"/>
              <w:rPr>
                <w:sz w:val="11"/>
                <w:szCs w:val="11"/>
                <w:color w:val="auto"/>
              </w:rPr>
            </w:pPr>
          </w:p>
        </w:tc>
        <w:tc>
          <w:tcPr>
            <w:tcW w:w="720" w:type="dxa"/>
            <w:vAlign w:val="bottom"/>
            <w:tcBorders>
              <w:right w:val="single" w:sz="8" w:color="9BDA44"/>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20" w:type="dxa"/>
            <w:vAlign w:val="bottom"/>
            <w:tcBorders>
              <w:right w:val="single" w:sz="8" w:color="9BDA44"/>
            </w:tcBorders>
            <w:gridSpan w:val="4"/>
          </w:tcPr>
          <w:p>
            <w:pPr>
              <w:spacing w:after="0" w:line="132" w:lineRule="exact"/>
              <w:rPr>
                <w:sz w:val="20"/>
                <w:szCs w:val="20"/>
                <w:color w:val="auto"/>
              </w:rPr>
            </w:pPr>
            <w:r>
              <w:rPr>
                <w:rFonts w:ascii="Arial" w:cs="Arial" w:eastAsia="Arial" w:hAnsi="Arial"/>
                <w:sz w:val="12"/>
                <w:szCs w:val="12"/>
                <w:b w:val="1"/>
                <w:bCs w:val="1"/>
                <w:color w:val="auto"/>
              </w:rPr>
              <w:t>Net Debt+Preferred Equity/Total Market</w:t>
            </w:r>
          </w:p>
        </w:tc>
        <w:tc>
          <w:tcPr>
            <w:tcW w:w="160" w:type="dxa"/>
            <w:vAlign w:val="bottom"/>
          </w:tcPr>
          <w:p>
            <w:pPr>
              <w:spacing w:after="0"/>
              <w:rPr>
                <w:sz w:val="11"/>
                <w:szCs w:val="11"/>
                <w:color w:val="auto"/>
              </w:rPr>
            </w:pPr>
          </w:p>
        </w:tc>
        <w:tc>
          <w:tcPr>
            <w:tcW w:w="760" w:type="dxa"/>
            <w:vAlign w:val="bottom"/>
            <w:tcBorders>
              <w:right w:val="single" w:sz="8" w:color="9BDA44"/>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Principal Amortization</w:t>
            </w:r>
          </w:p>
        </w:tc>
        <w:tc>
          <w:tcPr>
            <w:tcW w:w="220" w:type="dxa"/>
            <w:vAlign w:val="bottom"/>
            <w:tcBorders>
              <w:left w:val="single" w:sz="8" w:color="9BDA44"/>
            </w:tcBorders>
          </w:tcPr>
          <w:p>
            <w:pPr>
              <w:spacing w:after="0"/>
              <w:rPr>
                <w:sz w:val="13"/>
                <w:szCs w:val="13"/>
                <w:color w:val="auto"/>
              </w:rPr>
            </w:pPr>
          </w:p>
        </w:tc>
        <w:tc>
          <w:tcPr>
            <w:tcW w:w="72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1,345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jc w:val="right"/>
              <w:ind w:right="62"/>
              <w:spacing w:after="0"/>
              <w:rPr>
                <w:sz w:val="20"/>
                <w:szCs w:val="20"/>
                <w:color w:val="auto"/>
              </w:rPr>
            </w:pPr>
            <w:r>
              <w:rPr>
                <w:rFonts w:ascii="Arial" w:cs="Arial" w:eastAsia="Arial" w:hAnsi="Arial"/>
                <w:sz w:val="12"/>
                <w:szCs w:val="12"/>
                <w:color w:val="auto"/>
              </w:rPr>
              <w:t>1,462</w:t>
            </w:r>
          </w:p>
        </w:tc>
        <w:tc>
          <w:tcPr>
            <w:tcW w:w="240" w:type="dxa"/>
            <w:vAlign w:val="bottom"/>
          </w:tcPr>
          <w:p>
            <w:pPr>
              <w:spacing w:after="0"/>
              <w:rPr>
                <w:sz w:val="13"/>
                <w:szCs w:val="13"/>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b w:val="1"/>
                <w:bCs w:val="1"/>
                <w:color w:val="auto"/>
              </w:rPr>
              <w:t>Capitalization</w:t>
            </w:r>
          </w:p>
        </w:tc>
        <w:tc>
          <w:tcPr>
            <w:tcW w:w="160" w:type="dxa"/>
            <w:vAlign w:val="bottom"/>
          </w:tcPr>
          <w:p>
            <w:pPr>
              <w:spacing w:after="0"/>
              <w:rPr>
                <w:sz w:val="13"/>
                <w:szCs w:val="13"/>
                <w:color w:val="auto"/>
              </w:rPr>
            </w:pPr>
          </w:p>
        </w:tc>
        <w:tc>
          <w:tcPr>
            <w:tcW w:w="760" w:type="dxa"/>
            <w:vAlign w:val="bottom"/>
            <w:tcBorders>
              <w:right w:val="single" w:sz="8" w:color="9BDA44"/>
            </w:tcBorders>
          </w:tcPr>
          <w:p>
            <w:pPr>
              <w:jc w:val="right"/>
              <w:ind w:right="2"/>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219"/>
        </w:trPr>
        <w:tc>
          <w:tcPr>
            <w:tcW w:w="4700" w:type="dxa"/>
            <w:vAlign w:val="bottom"/>
            <w:gridSpan w:val="3"/>
          </w:tcPr>
          <w:p>
            <w:pPr>
              <w:spacing w:after="0"/>
              <w:rPr>
                <w:sz w:val="20"/>
                <w:szCs w:val="20"/>
                <w:color w:val="auto"/>
              </w:rPr>
            </w:pPr>
            <w:r>
              <w:rPr>
                <w:rFonts w:ascii="Arial" w:cs="Arial" w:eastAsia="Arial" w:hAnsi="Arial"/>
                <w:sz w:val="12"/>
                <w:szCs w:val="12"/>
                <w:color w:val="auto"/>
              </w:rPr>
              <w:t>Preferred Dividends</w:t>
            </w:r>
          </w:p>
        </w:tc>
        <w:tc>
          <w:tcPr>
            <w:tcW w:w="220" w:type="dxa"/>
            <w:vAlign w:val="bottom"/>
            <w:tcBorders>
              <w:left w:val="single" w:sz="8" w:color="9BDA44"/>
              <w:bottom w:val="single" w:sz="8" w:color="auto"/>
            </w:tcBorders>
          </w:tcPr>
          <w:p>
            <w:pPr>
              <w:spacing w:after="0"/>
              <w:rPr>
                <w:sz w:val="19"/>
                <w:szCs w:val="19"/>
                <w:color w:val="auto"/>
              </w:rPr>
            </w:pPr>
          </w:p>
        </w:tc>
        <w:tc>
          <w:tcPr>
            <w:tcW w:w="720" w:type="dxa"/>
            <w:vAlign w:val="bottom"/>
            <w:tcBorders>
              <w:bottom w:val="single" w:sz="8" w:color="auto"/>
              <w:right w:val="single" w:sz="8" w:color="9BDA44"/>
            </w:tcBorders>
          </w:tcPr>
          <w:p>
            <w:pPr>
              <w:jc w:val="right"/>
              <w:ind w:right="102"/>
              <w:spacing w:after="0"/>
              <w:rPr>
                <w:sz w:val="20"/>
                <w:szCs w:val="20"/>
                <w:color w:val="auto"/>
              </w:rPr>
            </w:pPr>
            <w:r>
              <w:rPr>
                <w:rFonts w:ascii="Arial" w:cs="Arial" w:eastAsia="Arial" w:hAnsi="Arial"/>
                <w:sz w:val="12"/>
                <w:szCs w:val="12"/>
                <w:color w:val="auto"/>
              </w:rPr>
              <w:t>135</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139</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Borders>
              <w:right w:val="single" w:sz="8" w:color="9BDA44"/>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9BDA44"/>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Fixed-Charge Coverage Ratio - Core Portfolio and Funds</w:t>
            </w:r>
          </w:p>
        </w:tc>
        <w:tc>
          <w:tcPr>
            <w:tcW w:w="220" w:type="dxa"/>
            <w:vAlign w:val="bottom"/>
            <w:tcBorders>
              <w:left w:val="single" w:sz="8" w:color="9BDA44"/>
            </w:tcBorders>
          </w:tcPr>
          <w:p>
            <w:pPr>
              <w:spacing w:after="0"/>
              <w:rPr>
                <w:sz w:val="17"/>
                <w:szCs w:val="17"/>
                <w:color w:val="auto"/>
              </w:rPr>
            </w:pPr>
          </w:p>
        </w:tc>
        <w:tc>
          <w:tcPr>
            <w:tcW w:w="720" w:type="dxa"/>
            <w:vAlign w:val="bottom"/>
            <w:tcBorders>
              <w:right w:val="single" w:sz="8" w:color="9BDA44"/>
            </w:tcBorders>
          </w:tcPr>
          <w:p>
            <w:pPr>
              <w:jc w:val="right"/>
              <w:ind w:right="42"/>
              <w:spacing w:after="0"/>
              <w:rPr>
                <w:sz w:val="20"/>
                <w:szCs w:val="20"/>
                <w:color w:val="auto"/>
              </w:rPr>
            </w:pPr>
            <w:r>
              <w:rPr>
                <w:rFonts w:ascii="Arial" w:cs="Arial" w:eastAsia="Arial" w:hAnsi="Arial"/>
                <w:sz w:val="12"/>
                <w:szCs w:val="12"/>
                <w:color w:val="auto"/>
              </w:rPr>
              <w:t>3.9x</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4.6x</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Borders>
              <w:right w:val="single" w:sz="8" w:color="9BDA44"/>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right w:val="single" w:sz="8" w:color="9BDA44"/>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Payout Ratios</w:t>
            </w:r>
          </w:p>
        </w:tc>
        <w:tc>
          <w:tcPr>
            <w:tcW w:w="220" w:type="dxa"/>
            <w:vAlign w:val="bottom"/>
            <w:tcBorders>
              <w:left w:val="single" w:sz="8" w:color="9BDA44"/>
            </w:tcBorders>
          </w:tcPr>
          <w:p>
            <w:pPr>
              <w:spacing w:after="0"/>
              <w:rPr>
                <w:sz w:val="24"/>
                <w:szCs w:val="24"/>
                <w:color w:val="auto"/>
              </w:rPr>
            </w:pPr>
          </w:p>
        </w:tc>
        <w:tc>
          <w:tcPr>
            <w:tcW w:w="720" w:type="dxa"/>
            <w:vAlign w:val="bottom"/>
            <w:tcBorders>
              <w:right w:val="single" w:sz="8" w:color="9BDA44"/>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b w:val="1"/>
                <w:bCs w:val="1"/>
                <w:color w:val="auto"/>
              </w:rPr>
              <w:t>Debt/EBITDA Ratios</w:t>
            </w:r>
          </w:p>
        </w:tc>
        <w:tc>
          <w:tcPr>
            <w:tcW w:w="160" w:type="dxa"/>
            <w:vAlign w:val="bottom"/>
          </w:tcPr>
          <w:p>
            <w:pPr>
              <w:spacing w:after="0"/>
              <w:rPr>
                <w:sz w:val="24"/>
                <w:szCs w:val="24"/>
                <w:color w:val="auto"/>
              </w:rPr>
            </w:pPr>
          </w:p>
        </w:tc>
        <w:tc>
          <w:tcPr>
            <w:tcW w:w="760" w:type="dxa"/>
            <w:vAlign w:val="bottom"/>
            <w:tcBorders>
              <w:right w:val="single" w:sz="8" w:color="9BDA44"/>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20" w:type="dxa"/>
            <w:vAlign w:val="bottom"/>
            <w:tcBorders>
              <w:left w:val="single" w:sz="8" w:color="9BDA44"/>
            </w:tcBorders>
          </w:tcPr>
          <w:p>
            <w:pPr>
              <w:spacing w:after="0" w:line="20" w:lineRule="exact"/>
              <w:rPr>
                <w:sz w:val="1"/>
                <w:szCs w:val="1"/>
                <w:color w:val="auto"/>
              </w:rPr>
            </w:pPr>
          </w:p>
        </w:tc>
        <w:tc>
          <w:tcPr>
            <w:tcW w:w="720" w:type="dxa"/>
            <w:vAlign w:val="bottom"/>
            <w:tcBorders>
              <w:right w:val="single" w:sz="8" w:color="9BDA44"/>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00" w:type="dxa"/>
            <w:vAlign w:val="bottom"/>
            <w:tcBorders>
              <w:right w:val="single" w:sz="8" w:color="9BDA44"/>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right w:val="single" w:sz="8" w:color="9BDA44"/>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700" w:type="dxa"/>
            <w:vAlign w:val="bottom"/>
            <w:gridSpan w:val="3"/>
          </w:tcPr>
          <w:p>
            <w:pPr>
              <w:spacing w:after="0"/>
              <w:rPr>
                <w:sz w:val="20"/>
                <w:szCs w:val="20"/>
                <w:color w:val="auto"/>
              </w:rPr>
            </w:pPr>
            <w:r>
              <w:rPr>
                <w:rFonts w:ascii="Arial" w:cs="Arial" w:eastAsia="Arial" w:hAnsi="Arial"/>
                <w:sz w:val="12"/>
                <w:szCs w:val="12"/>
                <w:color w:val="auto"/>
              </w:rPr>
              <w:t>Dividends declared (per share/OP Unit)</w:t>
            </w:r>
          </w:p>
        </w:tc>
        <w:tc>
          <w:tcPr>
            <w:tcW w:w="220" w:type="dxa"/>
            <w:vAlign w:val="bottom"/>
            <w:tcBorders>
              <w:left w:val="single" w:sz="8" w:color="9BDA44"/>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0.27</w:t>
            </w: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62"/>
              <w:spacing w:after="0"/>
              <w:rPr>
                <w:sz w:val="20"/>
                <w:szCs w:val="20"/>
                <w:color w:val="auto"/>
              </w:rPr>
            </w:pPr>
            <w:r>
              <w:rPr>
                <w:rFonts w:ascii="Arial" w:cs="Arial" w:eastAsia="Arial" w:hAnsi="Arial"/>
                <w:sz w:val="12"/>
                <w:szCs w:val="12"/>
                <w:color w:val="auto"/>
              </w:rPr>
              <w:t>0.26</w:t>
            </w:r>
          </w:p>
        </w:tc>
        <w:tc>
          <w:tcPr>
            <w:tcW w:w="240" w:type="dxa"/>
            <w:vAlign w:val="bottom"/>
          </w:tcPr>
          <w:p>
            <w:pPr>
              <w:spacing w:after="0"/>
              <w:rPr>
                <w:sz w:val="24"/>
                <w:szCs w:val="24"/>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color w:val="auto"/>
              </w:rPr>
              <w:t>Debt</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697,718</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716,691</w:t>
            </w:r>
          </w:p>
        </w:tc>
        <w:tc>
          <w:tcPr>
            <w:tcW w:w="0" w:type="dxa"/>
            <w:vAlign w:val="bottom"/>
          </w:tcPr>
          <w:p>
            <w:pPr>
              <w:spacing w:after="0"/>
              <w:rPr>
                <w:sz w:val="1"/>
                <w:szCs w:val="1"/>
                <w:color w:val="auto"/>
              </w:rPr>
            </w:pPr>
          </w:p>
        </w:tc>
      </w:tr>
      <w:tr>
        <w:trPr>
          <w:trHeight w:val="219"/>
        </w:trPr>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Borders>
              <w:left w:val="single" w:sz="8" w:color="9BDA44"/>
            </w:tcBorders>
          </w:tcPr>
          <w:p>
            <w:pPr>
              <w:spacing w:after="0"/>
              <w:rPr>
                <w:sz w:val="19"/>
                <w:szCs w:val="19"/>
                <w:color w:val="auto"/>
              </w:rPr>
            </w:pPr>
          </w:p>
        </w:tc>
        <w:tc>
          <w:tcPr>
            <w:tcW w:w="720" w:type="dxa"/>
            <w:vAlign w:val="bottom"/>
            <w:tcBorders>
              <w:right w:val="single" w:sz="8" w:color="9BDA44"/>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color w:val="auto"/>
              </w:rPr>
              <w:t>EBITDA</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9BDA44"/>
            </w:tcBorders>
          </w:tcPr>
          <w:p>
            <w:pPr>
              <w:jc w:val="right"/>
              <w:ind w:right="102"/>
              <w:spacing w:after="0"/>
              <w:rPr>
                <w:sz w:val="20"/>
                <w:szCs w:val="20"/>
                <w:color w:val="auto"/>
              </w:rPr>
            </w:pPr>
            <w:r>
              <w:rPr>
                <w:rFonts w:ascii="Arial" w:cs="Arial" w:eastAsia="Arial" w:hAnsi="Arial"/>
                <w:sz w:val="12"/>
                <w:szCs w:val="12"/>
                <w:color w:val="auto"/>
              </w:rPr>
              <w:t>138,690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155,488</w:t>
            </w:r>
          </w:p>
        </w:tc>
        <w:tc>
          <w:tcPr>
            <w:tcW w:w="0" w:type="dxa"/>
            <w:vAlign w:val="bottom"/>
          </w:tcPr>
          <w:p>
            <w:pPr>
              <w:spacing w:after="0"/>
              <w:rPr>
                <w:sz w:val="1"/>
                <w:szCs w:val="1"/>
                <w:color w:val="auto"/>
              </w:rPr>
            </w:pPr>
          </w:p>
        </w:tc>
      </w:tr>
      <w:tr>
        <w:trPr>
          <w:trHeight w:val="198"/>
        </w:trPr>
        <w:tc>
          <w:tcPr>
            <w:tcW w:w="4700" w:type="dxa"/>
            <w:vAlign w:val="bottom"/>
            <w:gridSpan w:val="3"/>
          </w:tcPr>
          <w:p>
            <w:pPr>
              <w:spacing w:after="0"/>
              <w:rPr>
                <w:sz w:val="20"/>
                <w:szCs w:val="20"/>
                <w:color w:val="auto"/>
              </w:rPr>
            </w:pPr>
            <w:r>
              <w:rPr>
                <w:rFonts w:ascii="Arial" w:cs="Arial" w:eastAsia="Arial" w:hAnsi="Arial"/>
                <w:sz w:val="12"/>
                <w:szCs w:val="12"/>
                <w:color w:val="auto"/>
              </w:rPr>
              <w:t>Dividends (Shares) &amp; Distributions (OP Units) declared</w:t>
            </w:r>
          </w:p>
        </w:tc>
        <w:tc>
          <w:tcPr>
            <w:tcW w:w="220" w:type="dxa"/>
            <w:vAlign w:val="bottom"/>
            <w:tcBorders>
              <w:left w:val="single" w:sz="8" w:color="9BDA44"/>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24,259</w:t>
            </w: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62"/>
              <w:spacing w:after="0"/>
              <w:rPr>
                <w:sz w:val="20"/>
                <w:szCs w:val="20"/>
                <w:color w:val="auto"/>
              </w:rPr>
            </w:pPr>
            <w:r>
              <w:rPr>
                <w:rFonts w:ascii="Arial" w:cs="Arial" w:eastAsia="Arial" w:hAnsi="Arial"/>
                <w:sz w:val="12"/>
                <w:szCs w:val="12"/>
                <w:color w:val="auto"/>
              </w:rPr>
              <w:t>23,361</w:t>
            </w:r>
          </w:p>
        </w:tc>
        <w:tc>
          <w:tcPr>
            <w:tcW w:w="240" w:type="dxa"/>
            <w:vAlign w:val="bottom"/>
          </w:tcPr>
          <w:p>
            <w:pPr>
              <w:spacing w:after="0"/>
              <w:rPr>
                <w:sz w:val="17"/>
                <w:szCs w:val="17"/>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b w:val="1"/>
                <w:bCs w:val="1"/>
                <w:color w:val="auto"/>
              </w:rPr>
              <w:t>Debt/EBITDA - Core Portfolio</w:t>
            </w:r>
          </w:p>
        </w:tc>
        <w:tc>
          <w:tcPr>
            <w:tcW w:w="160" w:type="dxa"/>
            <w:vAlign w:val="bottom"/>
          </w:tcPr>
          <w:p>
            <w:pPr>
              <w:spacing w:after="0"/>
              <w:rPr>
                <w:sz w:val="17"/>
                <w:szCs w:val="17"/>
                <w:color w:val="auto"/>
              </w:rPr>
            </w:pPr>
          </w:p>
        </w:tc>
        <w:tc>
          <w:tcPr>
            <w:tcW w:w="760" w:type="dxa"/>
            <w:vAlign w:val="bottom"/>
            <w:tcBorders>
              <w:right w:val="single" w:sz="8" w:color="9BDA44"/>
            </w:tcBorders>
          </w:tcPr>
          <w:p>
            <w:pPr>
              <w:jc w:val="right"/>
              <w:ind w:right="42"/>
              <w:spacing w:after="0"/>
              <w:rPr>
                <w:sz w:val="20"/>
                <w:szCs w:val="20"/>
                <w:color w:val="auto"/>
              </w:rPr>
            </w:pPr>
            <w:r>
              <w:rPr>
                <w:rFonts w:ascii="Arial" w:cs="Arial" w:eastAsia="Arial" w:hAnsi="Arial"/>
                <w:sz w:val="12"/>
                <w:szCs w:val="12"/>
                <w:color w:val="auto"/>
              </w:rPr>
              <w:t>5.0x</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4.6x</w:t>
            </w:r>
          </w:p>
        </w:tc>
        <w:tc>
          <w:tcPr>
            <w:tcW w:w="0" w:type="dxa"/>
            <w:vAlign w:val="bottom"/>
          </w:tcPr>
          <w:p>
            <w:pPr>
              <w:spacing w:after="0"/>
              <w:rPr>
                <w:sz w:val="1"/>
                <w:szCs w:val="1"/>
                <w:color w:val="auto"/>
              </w:rPr>
            </w:pPr>
          </w:p>
        </w:tc>
      </w:tr>
      <w:tr>
        <w:trPr>
          <w:trHeight w:val="219"/>
        </w:trPr>
        <w:tc>
          <w:tcPr>
            <w:tcW w:w="4700" w:type="dxa"/>
            <w:vAlign w:val="bottom"/>
            <w:gridSpan w:val="3"/>
          </w:tcPr>
          <w:p>
            <w:pPr>
              <w:spacing w:after="0"/>
              <w:rPr>
                <w:sz w:val="20"/>
                <w:szCs w:val="20"/>
                <w:color w:val="auto"/>
              </w:rPr>
            </w:pPr>
            <w:r>
              <w:rPr>
                <w:rFonts w:ascii="Arial" w:cs="Arial" w:eastAsia="Arial" w:hAnsi="Arial"/>
                <w:sz w:val="12"/>
                <w:szCs w:val="12"/>
                <w:color w:val="auto"/>
              </w:rPr>
              <w:t>FFO</w:t>
            </w:r>
          </w:p>
        </w:tc>
        <w:tc>
          <w:tcPr>
            <w:tcW w:w="220" w:type="dxa"/>
            <w:vAlign w:val="bottom"/>
            <w:tcBorders>
              <w:left w:val="single" w:sz="8" w:color="9BDA44"/>
              <w:bottom w:val="single" w:sz="8" w:color="auto"/>
            </w:tcBorders>
          </w:tcPr>
          <w:p>
            <w:pPr>
              <w:spacing w:after="0"/>
              <w:rPr>
                <w:sz w:val="19"/>
                <w:szCs w:val="19"/>
                <w:color w:val="auto"/>
              </w:rPr>
            </w:pPr>
          </w:p>
        </w:tc>
        <w:tc>
          <w:tcPr>
            <w:tcW w:w="720" w:type="dxa"/>
            <w:vAlign w:val="bottom"/>
            <w:tcBorders>
              <w:bottom w:val="single" w:sz="8" w:color="auto"/>
              <w:right w:val="single" w:sz="8" w:color="9BDA44"/>
            </w:tcBorders>
          </w:tcPr>
          <w:p>
            <w:pPr>
              <w:jc w:val="right"/>
              <w:ind w:right="102"/>
              <w:spacing w:after="0"/>
              <w:rPr>
                <w:sz w:val="20"/>
                <w:szCs w:val="20"/>
                <w:color w:val="auto"/>
              </w:rPr>
            </w:pPr>
            <w:r>
              <w:rPr>
                <w:rFonts w:ascii="Arial" w:cs="Arial" w:eastAsia="Arial" w:hAnsi="Arial"/>
                <w:sz w:val="12"/>
                <w:szCs w:val="12"/>
                <w:color w:val="auto"/>
              </w:rPr>
              <w:t>29,116</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35,484</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Borders>
              <w:right w:val="single" w:sz="8" w:color="9BDA44"/>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9BDA44"/>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FFO Payout Ratio</w:t>
            </w:r>
          </w:p>
        </w:tc>
        <w:tc>
          <w:tcPr>
            <w:tcW w:w="220" w:type="dxa"/>
            <w:vAlign w:val="bottom"/>
            <w:tcBorders>
              <w:left w:val="single" w:sz="8" w:color="9BDA44"/>
            </w:tcBorders>
          </w:tcPr>
          <w:p>
            <w:pPr>
              <w:spacing w:after="0"/>
              <w:rPr>
                <w:sz w:val="20"/>
                <w:szCs w:val="20"/>
                <w:color w:val="auto"/>
              </w:rPr>
            </w:pPr>
          </w:p>
        </w:tc>
        <w:tc>
          <w:tcPr>
            <w:tcW w:w="720" w:type="dxa"/>
            <w:vAlign w:val="bottom"/>
            <w:tcBorders>
              <w:right w:val="single" w:sz="8" w:color="9BDA44"/>
            </w:tcBorders>
          </w:tcPr>
          <w:p>
            <w:pPr>
              <w:jc w:val="right"/>
              <w:ind w:right="2"/>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66%</w:t>
            </w:r>
          </w:p>
        </w:tc>
        <w:tc>
          <w:tcPr>
            <w:tcW w:w="240" w:type="dxa"/>
            <w:vAlign w:val="bottom"/>
          </w:tcPr>
          <w:p>
            <w:pPr>
              <w:spacing w:after="0"/>
              <w:rPr>
                <w:sz w:val="20"/>
                <w:szCs w:val="20"/>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color w:val="auto"/>
              </w:rPr>
              <w:t xml:space="preserve">Debt </w:t>
            </w:r>
            <w:r>
              <w:rPr>
                <w:rFonts w:ascii="Arial" w:cs="Arial" w:eastAsia="Arial" w:hAnsi="Arial"/>
                <w:sz w:val="14"/>
                <w:szCs w:val="14"/>
                <w:color w:val="auto"/>
                <w:vertAlign w:val="superscript"/>
              </w:rPr>
              <w:t>5</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685,592</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705,266</w:t>
            </w:r>
          </w:p>
        </w:tc>
        <w:tc>
          <w:tcPr>
            <w:tcW w:w="0" w:type="dxa"/>
            <w:vAlign w:val="bottom"/>
          </w:tcPr>
          <w:p>
            <w:pPr>
              <w:spacing w:after="0"/>
              <w:rPr>
                <w:sz w:val="1"/>
                <w:szCs w:val="1"/>
                <w:color w:val="auto"/>
              </w:rPr>
            </w:pPr>
          </w:p>
        </w:tc>
      </w:tr>
      <w:tr>
        <w:trPr>
          <w:trHeight w:val="178"/>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FFO Payout Ratio before Special Items</w:t>
            </w:r>
          </w:p>
        </w:tc>
        <w:tc>
          <w:tcPr>
            <w:tcW w:w="220" w:type="dxa"/>
            <w:vAlign w:val="bottom"/>
            <w:tcBorders>
              <w:left w:val="single" w:sz="8" w:color="9BDA44"/>
            </w:tcBorders>
          </w:tcPr>
          <w:p>
            <w:pPr>
              <w:spacing w:after="0"/>
              <w:rPr>
                <w:sz w:val="15"/>
                <w:szCs w:val="15"/>
                <w:color w:val="auto"/>
              </w:rPr>
            </w:pPr>
          </w:p>
        </w:tc>
        <w:tc>
          <w:tcPr>
            <w:tcW w:w="720" w:type="dxa"/>
            <w:vAlign w:val="bottom"/>
            <w:tcBorders>
              <w:right w:val="single" w:sz="8" w:color="9BDA44"/>
            </w:tcBorders>
          </w:tcPr>
          <w:p>
            <w:pPr>
              <w:jc w:val="right"/>
              <w:ind w:right="2"/>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66%</w:t>
            </w:r>
          </w:p>
        </w:tc>
        <w:tc>
          <w:tcPr>
            <w:tcW w:w="240" w:type="dxa"/>
            <w:vAlign w:val="bottom"/>
          </w:tcPr>
          <w:p>
            <w:pPr>
              <w:spacing w:after="0"/>
              <w:rPr>
                <w:sz w:val="15"/>
                <w:szCs w:val="15"/>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color w:val="auto"/>
              </w:rPr>
              <w:t>EBITDA</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9BDA44"/>
            </w:tcBorders>
          </w:tcPr>
          <w:p>
            <w:pPr>
              <w:jc w:val="right"/>
              <w:ind w:right="102"/>
              <w:spacing w:after="0"/>
              <w:rPr>
                <w:sz w:val="20"/>
                <w:szCs w:val="20"/>
                <w:color w:val="auto"/>
              </w:rPr>
            </w:pPr>
            <w:r>
              <w:rPr>
                <w:rFonts w:ascii="Arial" w:cs="Arial" w:eastAsia="Arial" w:hAnsi="Arial"/>
                <w:sz w:val="12"/>
                <w:szCs w:val="12"/>
                <w:color w:val="auto"/>
              </w:rPr>
              <w:t>138,690</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155,488</w:t>
            </w: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Borders>
              <w:left w:val="single" w:sz="8" w:color="9BDA44"/>
            </w:tcBorders>
          </w:tcPr>
          <w:p>
            <w:pPr>
              <w:spacing w:after="0"/>
              <w:rPr>
                <w:sz w:val="17"/>
                <w:szCs w:val="17"/>
                <w:color w:val="auto"/>
              </w:rPr>
            </w:pPr>
          </w:p>
        </w:tc>
        <w:tc>
          <w:tcPr>
            <w:tcW w:w="720" w:type="dxa"/>
            <w:vAlign w:val="bottom"/>
            <w:tcBorders>
              <w:right w:val="single" w:sz="8" w:color="9BDA44"/>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b w:val="1"/>
                <w:bCs w:val="1"/>
                <w:color w:val="auto"/>
              </w:rPr>
              <w:t>Net Debt/EBITDA - Core Portfolio</w:t>
            </w:r>
          </w:p>
        </w:tc>
        <w:tc>
          <w:tcPr>
            <w:tcW w:w="160" w:type="dxa"/>
            <w:vAlign w:val="bottom"/>
          </w:tcPr>
          <w:p>
            <w:pPr>
              <w:spacing w:after="0"/>
              <w:rPr>
                <w:sz w:val="17"/>
                <w:szCs w:val="17"/>
                <w:color w:val="auto"/>
              </w:rPr>
            </w:pPr>
          </w:p>
        </w:tc>
        <w:tc>
          <w:tcPr>
            <w:tcW w:w="760" w:type="dxa"/>
            <w:vAlign w:val="bottom"/>
            <w:tcBorders>
              <w:right w:val="single" w:sz="8" w:color="9BDA44"/>
            </w:tcBorders>
          </w:tcPr>
          <w:p>
            <w:pPr>
              <w:jc w:val="right"/>
              <w:ind w:right="42"/>
              <w:spacing w:after="0"/>
              <w:rPr>
                <w:sz w:val="20"/>
                <w:szCs w:val="20"/>
                <w:color w:val="auto"/>
              </w:rPr>
            </w:pPr>
            <w:r>
              <w:rPr>
                <w:rFonts w:ascii="Arial" w:cs="Arial" w:eastAsia="Arial" w:hAnsi="Arial"/>
                <w:sz w:val="12"/>
                <w:szCs w:val="12"/>
                <w:color w:val="auto"/>
              </w:rPr>
              <w:t>4.9x</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4.5x</w:t>
            </w:r>
          </w:p>
        </w:tc>
        <w:tc>
          <w:tcPr>
            <w:tcW w:w="0" w:type="dxa"/>
            <w:vAlign w:val="bottom"/>
          </w:tcPr>
          <w:p>
            <w:pPr>
              <w:spacing w:after="0"/>
              <w:rPr>
                <w:sz w:val="1"/>
                <w:szCs w:val="1"/>
                <w:color w:val="auto"/>
              </w:rPr>
            </w:pPr>
          </w:p>
        </w:tc>
      </w:tr>
      <w:tr>
        <w:trPr>
          <w:trHeight w:val="219"/>
        </w:trPr>
        <w:tc>
          <w:tcPr>
            <w:tcW w:w="4700" w:type="dxa"/>
            <w:vAlign w:val="bottom"/>
            <w:gridSpan w:val="3"/>
          </w:tcPr>
          <w:p>
            <w:pPr>
              <w:spacing w:after="0"/>
              <w:rPr>
                <w:sz w:val="20"/>
                <w:szCs w:val="20"/>
                <w:color w:val="auto"/>
              </w:rPr>
            </w:pPr>
            <w:r>
              <w:rPr>
                <w:rFonts w:ascii="Arial" w:cs="Arial" w:eastAsia="Arial" w:hAnsi="Arial"/>
                <w:sz w:val="12"/>
                <w:szCs w:val="12"/>
                <w:color w:val="auto"/>
              </w:rPr>
              <w:t>Dividends (Shares) &amp; Distributions (OP Units) declared</w:t>
            </w:r>
          </w:p>
        </w:tc>
        <w:tc>
          <w:tcPr>
            <w:tcW w:w="220" w:type="dxa"/>
            <w:vAlign w:val="bottom"/>
            <w:tcBorders>
              <w:left w:val="single" w:sz="8" w:color="9BDA44"/>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24,259</w:t>
            </w: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62"/>
              <w:spacing w:after="0"/>
              <w:rPr>
                <w:sz w:val="20"/>
                <w:szCs w:val="20"/>
                <w:color w:val="auto"/>
              </w:rPr>
            </w:pPr>
            <w:r>
              <w:rPr>
                <w:rFonts w:ascii="Arial" w:cs="Arial" w:eastAsia="Arial" w:hAnsi="Arial"/>
                <w:sz w:val="12"/>
                <w:szCs w:val="12"/>
                <w:color w:val="auto"/>
              </w:rPr>
              <w:t>23,361</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Borders>
              <w:right w:val="single" w:sz="8" w:color="9BDA44"/>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9BDA44"/>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00" w:type="dxa"/>
            <w:vAlign w:val="bottom"/>
            <w:gridSpan w:val="3"/>
          </w:tcPr>
          <w:p>
            <w:pPr>
              <w:spacing w:after="0"/>
              <w:rPr>
                <w:sz w:val="20"/>
                <w:szCs w:val="20"/>
                <w:color w:val="auto"/>
              </w:rPr>
            </w:pPr>
            <w:r>
              <w:rPr>
                <w:rFonts w:ascii="Arial" w:cs="Arial" w:eastAsia="Arial" w:hAnsi="Arial"/>
                <w:sz w:val="12"/>
                <w:szCs w:val="12"/>
                <w:color w:val="auto"/>
              </w:rPr>
              <w:t>AFFO</w:t>
            </w:r>
          </w:p>
        </w:tc>
        <w:tc>
          <w:tcPr>
            <w:tcW w:w="220" w:type="dxa"/>
            <w:vAlign w:val="bottom"/>
            <w:tcBorders>
              <w:left w:val="single" w:sz="8" w:color="9BDA44"/>
              <w:bottom w:val="single" w:sz="8" w:color="auto"/>
            </w:tcBorders>
          </w:tcPr>
          <w:p>
            <w:pPr>
              <w:spacing w:after="0"/>
              <w:rPr>
                <w:sz w:val="19"/>
                <w:szCs w:val="19"/>
                <w:color w:val="auto"/>
              </w:rPr>
            </w:pPr>
          </w:p>
        </w:tc>
        <w:tc>
          <w:tcPr>
            <w:tcW w:w="720" w:type="dxa"/>
            <w:vAlign w:val="bottom"/>
            <w:tcBorders>
              <w:bottom w:val="single" w:sz="8" w:color="auto"/>
              <w:right w:val="single" w:sz="8" w:color="9BDA44"/>
            </w:tcBorders>
          </w:tcPr>
          <w:p>
            <w:pPr>
              <w:jc w:val="right"/>
              <w:ind w:right="102"/>
              <w:spacing w:after="0"/>
              <w:rPr>
                <w:sz w:val="20"/>
                <w:szCs w:val="20"/>
                <w:color w:val="auto"/>
              </w:rPr>
            </w:pPr>
            <w:r>
              <w:rPr>
                <w:rFonts w:ascii="Arial" w:cs="Arial" w:eastAsia="Arial" w:hAnsi="Arial"/>
                <w:sz w:val="12"/>
                <w:szCs w:val="12"/>
                <w:color w:val="auto"/>
              </w:rPr>
              <w:t>23,806</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29,801</w:t>
            </w:r>
          </w:p>
        </w:tc>
        <w:tc>
          <w:tcPr>
            <w:tcW w:w="240" w:type="dxa"/>
            <w:vAlign w:val="bottom"/>
          </w:tcPr>
          <w:p>
            <w:pPr>
              <w:spacing w:after="0"/>
              <w:rPr>
                <w:sz w:val="19"/>
                <w:szCs w:val="19"/>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color w:val="auto"/>
              </w:rPr>
              <w:t xml:space="preserve">Debt </w:t>
            </w:r>
            <w:r>
              <w:rPr>
                <w:rFonts w:ascii="Arial" w:cs="Arial" w:eastAsia="Arial" w:hAnsi="Arial"/>
                <w:sz w:val="14"/>
                <w:szCs w:val="14"/>
                <w:color w:val="auto"/>
                <w:vertAlign w:val="superscript"/>
              </w:rPr>
              <w:t>4</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9BDA44"/>
            </w:tcBorders>
          </w:tcPr>
          <w:p>
            <w:pPr>
              <w:jc w:val="right"/>
              <w:ind w:right="102"/>
              <w:spacing w:after="0"/>
              <w:rPr>
                <w:sz w:val="20"/>
                <w:szCs w:val="20"/>
                <w:color w:val="auto"/>
              </w:rPr>
            </w:pPr>
            <w:r>
              <w:rPr>
                <w:rFonts w:ascii="Arial" w:cs="Arial" w:eastAsia="Arial" w:hAnsi="Arial"/>
                <w:sz w:val="12"/>
                <w:szCs w:val="12"/>
                <w:color w:val="auto"/>
              </w:rPr>
              <w:t>916,950</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925,952</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AFFO Payout Ratio</w:t>
            </w:r>
          </w:p>
        </w:tc>
        <w:tc>
          <w:tcPr>
            <w:tcW w:w="220" w:type="dxa"/>
            <w:vAlign w:val="bottom"/>
            <w:tcBorders>
              <w:left w:val="single" w:sz="8" w:color="9BDA44"/>
            </w:tcBorders>
          </w:tcPr>
          <w:p>
            <w:pPr>
              <w:spacing w:after="0"/>
              <w:rPr>
                <w:sz w:val="16"/>
                <w:szCs w:val="16"/>
                <w:color w:val="auto"/>
              </w:rPr>
            </w:pPr>
          </w:p>
        </w:tc>
        <w:tc>
          <w:tcPr>
            <w:tcW w:w="720" w:type="dxa"/>
            <w:vAlign w:val="bottom"/>
            <w:tcBorders>
              <w:right w:val="single" w:sz="8" w:color="9BDA44"/>
            </w:tcBorders>
          </w:tcPr>
          <w:p>
            <w:pPr>
              <w:jc w:val="right"/>
              <w:ind w:right="2"/>
              <w:spacing w:after="0"/>
              <w:rPr>
                <w:sz w:val="20"/>
                <w:szCs w:val="20"/>
                <w:color w:val="auto"/>
              </w:rPr>
            </w:pPr>
            <w:r>
              <w:rPr>
                <w:rFonts w:ascii="Arial" w:cs="Arial" w:eastAsia="Arial" w:hAnsi="Arial"/>
                <w:sz w:val="12"/>
                <w:szCs w:val="12"/>
                <w:color w:val="auto"/>
              </w:rPr>
              <w:t>102%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78%</w:t>
            </w:r>
          </w:p>
        </w:tc>
        <w:tc>
          <w:tcPr>
            <w:tcW w:w="240" w:type="dxa"/>
            <w:vAlign w:val="bottom"/>
          </w:tcPr>
          <w:p>
            <w:pPr>
              <w:spacing w:after="0"/>
              <w:rPr>
                <w:sz w:val="16"/>
                <w:szCs w:val="16"/>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color w:val="auto"/>
              </w:rPr>
              <w:t>EBITDA</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9BDA44"/>
            </w:tcBorders>
          </w:tcPr>
          <w:p>
            <w:pPr>
              <w:jc w:val="right"/>
              <w:ind w:right="102"/>
              <w:spacing w:after="0"/>
              <w:rPr>
                <w:sz w:val="20"/>
                <w:szCs w:val="20"/>
                <w:color w:val="auto"/>
              </w:rPr>
            </w:pPr>
            <w:r>
              <w:rPr>
                <w:rFonts w:ascii="Arial" w:cs="Arial" w:eastAsia="Arial" w:hAnsi="Arial"/>
                <w:sz w:val="12"/>
                <w:szCs w:val="12"/>
                <w:color w:val="auto"/>
              </w:rPr>
              <w:t>153,290</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170,442</w:t>
            </w: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Borders>
              <w:left w:val="single" w:sz="8" w:color="9BDA44"/>
            </w:tcBorders>
          </w:tcPr>
          <w:p>
            <w:pPr>
              <w:spacing w:after="0"/>
              <w:rPr>
                <w:sz w:val="17"/>
                <w:szCs w:val="17"/>
                <w:color w:val="auto"/>
              </w:rPr>
            </w:pPr>
          </w:p>
        </w:tc>
        <w:tc>
          <w:tcPr>
            <w:tcW w:w="720" w:type="dxa"/>
            <w:vAlign w:val="bottom"/>
            <w:tcBorders>
              <w:right w:val="single" w:sz="8" w:color="9BDA44"/>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b w:val="1"/>
                <w:bCs w:val="1"/>
                <w:color w:val="auto"/>
              </w:rPr>
              <w:t>Debt/EBITDA - Core Portfolio and Funds</w:t>
            </w:r>
          </w:p>
        </w:tc>
        <w:tc>
          <w:tcPr>
            <w:tcW w:w="160" w:type="dxa"/>
            <w:vAlign w:val="bottom"/>
          </w:tcPr>
          <w:p>
            <w:pPr>
              <w:spacing w:after="0"/>
              <w:rPr>
                <w:sz w:val="17"/>
                <w:szCs w:val="17"/>
                <w:color w:val="auto"/>
              </w:rPr>
            </w:pPr>
          </w:p>
        </w:tc>
        <w:tc>
          <w:tcPr>
            <w:tcW w:w="760" w:type="dxa"/>
            <w:vAlign w:val="bottom"/>
            <w:tcBorders>
              <w:right w:val="single" w:sz="8" w:color="9BDA44"/>
            </w:tcBorders>
          </w:tcPr>
          <w:p>
            <w:pPr>
              <w:jc w:val="right"/>
              <w:ind w:right="42"/>
              <w:spacing w:after="0"/>
              <w:rPr>
                <w:sz w:val="20"/>
                <w:szCs w:val="20"/>
                <w:color w:val="auto"/>
              </w:rPr>
            </w:pPr>
            <w:r>
              <w:rPr>
                <w:rFonts w:ascii="Arial" w:cs="Arial" w:eastAsia="Arial" w:hAnsi="Arial"/>
                <w:sz w:val="12"/>
                <w:szCs w:val="12"/>
                <w:color w:val="auto"/>
              </w:rPr>
              <w:t>6.0x</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5.4x</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Borders>
              <w:left w:val="single" w:sz="8" w:color="9BDA44"/>
              <w:bottom w:val="single" w:sz="8" w:color="9BDA44"/>
            </w:tcBorders>
          </w:tcPr>
          <w:p>
            <w:pPr>
              <w:spacing w:after="0"/>
              <w:rPr>
                <w:sz w:val="17"/>
                <w:szCs w:val="17"/>
                <w:color w:val="auto"/>
              </w:rPr>
            </w:pPr>
          </w:p>
        </w:tc>
        <w:tc>
          <w:tcPr>
            <w:tcW w:w="720" w:type="dxa"/>
            <w:vAlign w:val="bottom"/>
            <w:tcBorders>
              <w:bottom w:val="single" w:sz="8" w:color="9BDA44"/>
              <w:right w:val="single" w:sz="8" w:color="9BDA44"/>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tcBorders>
              <w:right w:val="single" w:sz="8" w:color="9BDA44"/>
            </w:tcBorders>
            <w:gridSpan w:val="4"/>
            <w:vMerge w:val="restart"/>
          </w:tcPr>
          <w:p>
            <w:pPr>
              <w:spacing w:after="0"/>
              <w:rPr>
                <w:sz w:val="20"/>
                <w:szCs w:val="20"/>
                <w:color w:val="auto"/>
              </w:rPr>
            </w:pPr>
            <w:r>
              <w:rPr>
                <w:rFonts w:ascii="Arial" w:cs="Arial" w:eastAsia="Arial" w:hAnsi="Arial"/>
                <w:sz w:val="12"/>
                <w:szCs w:val="12"/>
                <w:color w:val="auto"/>
              </w:rPr>
              <w:t xml:space="preserve">Debt </w:t>
            </w:r>
            <w:r>
              <w:rPr>
                <w:rFonts w:ascii="Arial" w:cs="Arial" w:eastAsia="Arial" w:hAnsi="Arial"/>
                <w:sz w:val="14"/>
                <w:szCs w:val="14"/>
                <w:color w:val="auto"/>
                <w:vertAlign w:val="superscript"/>
              </w:rPr>
              <w:t>6</w:t>
            </w:r>
          </w:p>
        </w:tc>
        <w:tc>
          <w:tcPr>
            <w:tcW w:w="160" w:type="dxa"/>
            <w:vAlign w:val="bottom"/>
            <w:vMerge w:val="restart"/>
          </w:tcPr>
          <w:p>
            <w:pPr>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9BDA44"/>
            </w:tcBorders>
            <w:vMerge w:val="restart"/>
          </w:tcPr>
          <w:p>
            <w:pPr>
              <w:jc w:val="right"/>
              <w:ind w:right="102"/>
              <w:spacing w:after="0"/>
              <w:rPr>
                <w:sz w:val="20"/>
                <w:szCs w:val="20"/>
                <w:color w:val="auto"/>
              </w:rPr>
            </w:pPr>
            <w:r>
              <w:rPr>
                <w:rFonts w:ascii="Arial" w:cs="Arial" w:eastAsia="Arial" w:hAnsi="Arial"/>
                <w:sz w:val="12"/>
                <w:szCs w:val="12"/>
                <w:color w:val="auto"/>
              </w:rPr>
              <w:t>896,070</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vMerge w:val="restart"/>
          </w:tcPr>
          <w:p>
            <w:pPr>
              <w:jc w:val="right"/>
              <w:ind w:right="82"/>
              <w:spacing w:after="0"/>
              <w:rPr>
                <w:sz w:val="20"/>
                <w:szCs w:val="20"/>
                <w:color w:val="auto"/>
              </w:rPr>
            </w:pPr>
            <w:r>
              <w:rPr>
                <w:rFonts w:ascii="Arial" w:cs="Arial" w:eastAsia="Arial" w:hAnsi="Arial"/>
                <w:sz w:val="12"/>
                <w:szCs w:val="12"/>
                <w:color w:val="auto"/>
              </w:rPr>
              <w:t>894,690</w:t>
            </w:r>
          </w:p>
        </w:tc>
        <w:tc>
          <w:tcPr>
            <w:tcW w:w="0" w:type="dxa"/>
            <w:vAlign w:val="bottom"/>
          </w:tcPr>
          <w:p>
            <w:pPr>
              <w:spacing w:after="0"/>
              <w:rPr>
                <w:sz w:val="1"/>
                <w:szCs w:val="1"/>
                <w:color w:val="auto"/>
              </w:rPr>
            </w:pPr>
          </w:p>
        </w:tc>
      </w:tr>
      <w:tr>
        <w:trPr>
          <w:trHeight w:val="241"/>
        </w:trPr>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tcBorders>
              <w:right w:val="single" w:sz="8" w:color="9BDA44"/>
            </w:tcBorders>
            <w:gridSpan w:val="4"/>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760" w:type="dxa"/>
            <w:vAlign w:val="bottom"/>
            <w:tcBorders>
              <w:right w:val="single" w:sz="8" w:color="9BDA44"/>
            </w:tcBorders>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color w:val="auto"/>
              </w:rPr>
              <w:t>EBITDA</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9BDA44"/>
            </w:tcBorders>
          </w:tcPr>
          <w:p>
            <w:pPr>
              <w:jc w:val="right"/>
              <w:ind w:right="102"/>
              <w:spacing w:after="0"/>
              <w:rPr>
                <w:sz w:val="20"/>
                <w:szCs w:val="20"/>
                <w:color w:val="auto"/>
              </w:rPr>
            </w:pPr>
            <w:r>
              <w:rPr>
                <w:rFonts w:ascii="Arial" w:cs="Arial" w:eastAsia="Arial" w:hAnsi="Arial"/>
                <w:sz w:val="12"/>
                <w:szCs w:val="12"/>
                <w:color w:val="auto"/>
              </w:rPr>
              <w:t>153,290</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170,440</w:t>
            </w: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tcBorders>
              <w:right w:val="single" w:sz="8" w:color="9BDA44"/>
            </w:tcBorders>
            <w:gridSpan w:val="4"/>
          </w:tcPr>
          <w:p>
            <w:pPr>
              <w:spacing w:after="0"/>
              <w:rPr>
                <w:sz w:val="20"/>
                <w:szCs w:val="20"/>
                <w:color w:val="auto"/>
              </w:rPr>
            </w:pPr>
            <w:r>
              <w:rPr>
                <w:rFonts w:ascii="Arial" w:cs="Arial" w:eastAsia="Arial" w:hAnsi="Arial"/>
                <w:sz w:val="12"/>
                <w:szCs w:val="12"/>
                <w:b w:val="1"/>
                <w:bCs w:val="1"/>
                <w:color w:val="auto"/>
                <w:w w:val="98"/>
              </w:rPr>
              <w:t>Net Debt/EBITDA - Core Portfolio and Funds</w:t>
            </w:r>
          </w:p>
        </w:tc>
        <w:tc>
          <w:tcPr>
            <w:tcW w:w="160" w:type="dxa"/>
            <w:vAlign w:val="bottom"/>
          </w:tcPr>
          <w:p>
            <w:pPr>
              <w:spacing w:after="0"/>
              <w:rPr>
                <w:sz w:val="17"/>
                <w:szCs w:val="17"/>
                <w:color w:val="auto"/>
              </w:rPr>
            </w:pPr>
          </w:p>
        </w:tc>
        <w:tc>
          <w:tcPr>
            <w:tcW w:w="760" w:type="dxa"/>
            <w:vAlign w:val="bottom"/>
            <w:tcBorders>
              <w:right w:val="single" w:sz="8" w:color="9BDA44"/>
            </w:tcBorders>
          </w:tcPr>
          <w:p>
            <w:pPr>
              <w:jc w:val="right"/>
              <w:ind w:right="42"/>
              <w:spacing w:after="0"/>
              <w:rPr>
                <w:sz w:val="20"/>
                <w:szCs w:val="20"/>
                <w:color w:val="auto"/>
              </w:rPr>
            </w:pPr>
            <w:r>
              <w:rPr>
                <w:rFonts w:ascii="Arial" w:cs="Arial" w:eastAsia="Arial" w:hAnsi="Arial"/>
                <w:sz w:val="12"/>
                <w:szCs w:val="12"/>
                <w:color w:val="auto"/>
              </w:rPr>
              <w:t>5.8x</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5.2x</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Borders>
              <w:right w:val="single" w:sz="8" w:color="9BDA44"/>
            </w:tcBorders>
          </w:tcPr>
          <w:p>
            <w:pPr>
              <w:spacing w:after="0"/>
              <w:rPr>
                <w:sz w:val="17"/>
                <w:szCs w:val="17"/>
                <w:color w:val="auto"/>
              </w:rPr>
            </w:pPr>
          </w:p>
        </w:tc>
        <w:tc>
          <w:tcPr>
            <w:tcW w:w="160" w:type="dxa"/>
            <w:vAlign w:val="bottom"/>
            <w:tcBorders>
              <w:bottom w:val="single" w:sz="8" w:color="9BDA44"/>
            </w:tcBorders>
          </w:tcPr>
          <w:p>
            <w:pPr>
              <w:spacing w:after="0"/>
              <w:rPr>
                <w:sz w:val="17"/>
                <w:szCs w:val="17"/>
                <w:color w:val="auto"/>
              </w:rPr>
            </w:pPr>
          </w:p>
        </w:tc>
        <w:tc>
          <w:tcPr>
            <w:tcW w:w="760" w:type="dxa"/>
            <w:vAlign w:val="bottom"/>
            <w:tcBorders>
              <w:bottom w:val="single" w:sz="8" w:color="9BDA44"/>
              <w:right w:val="single" w:sz="8" w:color="9BDA44"/>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tbl>
      <w:tblPr>
        <w:tblLayout w:type="fixed"/>
        <w:tblInd w:w="14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19</w:t>
            </w:r>
          </w:p>
        </w:tc>
      </w:tr>
    </w:tbl>
    <w:p>
      <w:pPr>
        <w:sectPr>
          <w:pgSz w:w="11900" w:h="16838" w:orient="portrait"/>
          <w:cols w:equalWidth="0" w:num="1">
            <w:col w:w="11440"/>
          </w:cols>
          <w:pgMar w:left="240" w:top="617" w:right="219" w:bottom="1440" w:gutter="0" w:footer="0" w:header="0"/>
        </w:sectPr>
      </w:pPr>
    </w:p>
    <w:bookmarkStart w:id="31" w:name="page32"/>
    <w:bookmarkEnd w:id="31"/>
    <w:p>
      <w:pPr>
        <w:spacing w:after="0"/>
        <w:rPr>
          <w:sz w:val="20"/>
          <w:szCs w:val="20"/>
          <w:color w:val="auto"/>
        </w:rPr>
      </w:pPr>
      <w:r>
        <w:rPr>
          <w:rFonts w:ascii="Arial" w:cs="Arial" w:eastAsia="Arial" w:hAnsi="Arial"/>
          <w:sz w:val="15"/>
          <w:szCs w:val="15"/>
          <w:color w:val="auto"/>
        </w:rPr>
        <w:t>__________</w:t>
      </w:r>
    </w:p>
    <w:p>
      <w:pPr>
        <w:spacing w:after="0" w:line="192" w:lineRule="exact"/>
        <w:rPr>
          <w:sz w:val="20"/>
          <w:szCs w:val="20"/>
          <w:color w:val="auto"/>
        </w:rPr>
      </w:pPr>
    </w:p>
    <w:p>
      <w:pPr>
        <w:ind w:left="540" w:hanging="270"/>
        <w:spacing w:after="0" w:line="273" w:lineRule="auto"/>
        <w:tabs>
          <w:tab w:leader="none" w:pos="540" w:val="left"/>
        </w:tabs>
        <w:numPr>
          <w:ilvl w:val="0"/>
          <w:numId w:val="10"/>
        </w:numPr>
        <w:rPr>
          <w:rFonts w:ascii="Arial" w:cs="Arial" w:eastAsia="Arial" w:hAnsi="Arial"/>
          <w:sz w:val="10"/>
          <w:szCs w:val="10"/>
          <w:color w:val="auto"/>
        </w:rPr>
      </w:pPr>
      <w:r>
        <w:rPr>
          <w:rFonts w:ascii="Arial" w:cs="Arial" w:eastAsia="Arial" w:hAnsi="Arial"/>
          <w:sz w:val="10"/>
          <w:szCs w:val="10"/>
          <w:color w:val="auto"/>
        </w:rPr>
        <w:t>Quarterly results are unaudited, although they reflect all adjustments, which in the opinion of management, are necessary for a fair presentation of operating results for the interim periods. The coverage ratios include the Company's pro-rata share of FFO, AFFO, EBITDA, interest expense and principal amortization related to both the Company's consolidated and unconsolidated investments in joint ventures.</w:t>
      </w:r>
    </w:p>
    <w:p>
      <w:pPr>
        <w:ind w:left="540" w:hanging="270"/>
        <w:spacing w:after="0" w:line="228" w:lineRule="auto"/>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See </w:t>
      </w:r>
      <w:hyperlink w:anchor="page24">
        <w:r>
          <w:rPr>
            <w:rFonts w:ascii="Arial" w:cs="Arial" w:eastAsia="Arial" w:hAnsi="Arial"/>
            <w:sz w:val="12"/>
            <w:szCs w:val="12"/>
            <w:u w:val="single" w:color="auto"/>
            <w:color w:val="0000EE"/>
          </w:rPr>
          <w:t>EBITDA</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page in this Supplemental Report for a reconciliation of EBITDA to Net Income attributable to Acadia.</w:t>
      </w:r>
    </w:p>
    <w:p>
      <w:pPr>
        <w:ind w:left="540" w:hanging="270"/>
        <w:spacing w:after="0" w:line="228" w:lineRule="auto"/>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preferred distributions on Preferred Operating partnership Units.</w:t>
      </w:r>
    </w:p>
    <w:p>
      <w:pPr>
        <w:ind w:left="540" w:hanging="270"/>
        <w:spacing w:after="0" w:line="228" w:lineRule="auto"/>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the Company's pro-rata share of consolidated and unconsolidated joint venture debt.</w:t>
      </w:r>
    </w:p>
    <w:p>
      <w:pPr>
        <w:ind w:left="540" w:hanging="270"/>
        <w:spacing w:after="0" w:line="228" w:lineRule="auto"/>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Reflects debt net of the current Core Portfolio cash balance at end of period.</w:t>
      </w:r>
    </w:p>
    <w:p>
      <w:pPr>
        <w:ind w:left="540" w:hanging="27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Reflects debt net of the current Core Portfolio and pro-rata share of the Funds cash balance at end of period.</w:t>
      </w:r>
    </w:p>
    <w:p>
      <w:pPr>
        <w:sectPr>
          <w:pgSz w:w="11900" w:h="16838" w:orient="portrait"/>
          <w:cols w:equalWidth="0" w:num="1">
            <w:col w:w="11180"/>
          </w:cols>
          <w:pgMar w:left="220" w:top="500" w:right="49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Reconciliation of EBITDA to Adjusted EBITDA</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Core EBITDA as reported</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Less promote for quarter</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Adjusted Core EBITDA</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Annualized</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Add: Annualized net Promote</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Adjusted Annualized Core EBITDA</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Add in Funds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2"/>
          <w:szCs w:val="12"/>
          <w:color w:val="auto"/>
        </w:rPr>
        <w:t>Adjusted Annualized EBITDA Core and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16" w:hanging="616"/>
        <w:spacing w:after="0"/>
        <w:tabs>
          <w:tab w:leader="none" w:pos="616" w:val="left"/>
        </w:tabs>
        <w:numPr>
          <w:ilvl w:val="0"/>
          <w:numId w:val="11"/>
        </w:numPr>
        <w:rPr>
          <w:rFonts w:ascii="Arial" w:cs="Arial" w:eastAsia="Arial" w:hAnsi="Arial"/>
          <w:sz w:val="12"/>
          <w:szCs w:val="12"/>
          <w:color w:val="auto"/>
        </w:rPr>
      </w:pPr>
      <w:r>
        <w:rPr>
          <w:rFonts w:ascii="Arial" w:cs="Arial" w:eastAsia="Arial" w:hAnsi="Arial"/>
          <w:sz w:val="12"/>
          <w:szCs w:val="12"/>
          <w:color w:val="auto"/>
        </w:rPr>
        <w:t>34,791</w:t>
      </w:r>
    </w:p>
    <w:p>
      <w:pPr>
        <w:spacing w:after="0" w:line="36" w:lineRule="exact"/>
        <w:rPr>
          <w:rFonts w:ascii="Arial" w:cs="Arial" w:eastAsia="Arial" w:hAnsi="Arial"/>
          <w:sz w:val="12"/>
          <w:szCs w:val="12"/>
          <w:color w:val="auto"/>
        </w:rPr>
      </w:pPr>
    </w:p>
    <w:p>
      <w:pPr>
        <w:ind w:left="736"/>
        <w:spacing w:after="0"/>
        <w:rPr>
          <w:rFonts w:ascii="Arial" w:cs="Arial" w:eastAsia="Arial" w:hAnsi="Arial"/>
          <w:sz w:val="12"/>
          <w:szCs w:val="12"/>
          <w:color w:val="auto"/>
        </w:rPr>
      </w:pPr>
      <w:r>
        <w:rPr>
          <w:rFonts w:ascii="Arial" w:cs="Arial" w:eastAsia="Arial" w:hAnsi="Arial"/>
          <w:sz w:val="10"/>
          <w:szCs w:val="1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66611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115" cy="6985"/>
                    </a:xfrm>
                    <a:prstGeom prst="rect">
                      <a:avLst/>
                    </a:prstGeom>
                    <a:noFill/>
                  </pic:spPr>
                </pic:pic>
              </a:graphicData>
            </a:graphic>
          </wp:anchor>
        </w:drawing>
      </w:r>
    </w:p>
    <w:p>
      <w:pPr>
        <w:spacing w:after="0" w:line="51" w:lineRule="exact"/>
        <w:rPr>
          <w:sz w:val="20"/>
          <w:szCs w:val="20"/>
          <w:color w:val="auto"/>
        </w:rPr>
      </w:pPr>
    </w:p>
    <w:p>
      <w:pPr>
        <w:ind w:left="616"/>
        <w:spacing w:after="0"/>
        <w:rPr>
          <w:sz w:val="20"/>
          <w:szCs w:val="20"/>
          <w:color w:val="auto"/>
        </w:rPr>
      </w:pPr>
      <w:r>
        <w:rPr>
          <w:rFonts w:ascii="Arial" w:cs="Arial" w:eastAsia="Arial" w:hAnsi="Arial"/>
          <w:sz w:val="12"/>
          <w:szCs w:val="12"/>
          <w:color w:val="auto"/>
        </w:rPr>
        <w:t>34,633</w:t>
      </w:r>
    </w:p>
    <w:p>
      <w:pPr>
        <w:spacing w:after="0" w:line="135" w:lineRule="exact"/>
        <w:rPr>
          <w:sz w:val="20"/>
          <w:szCs w:val="20"/>
          <w:color w:val="auto"/>
        </w:rPr>
      </w:pPr>
    </w:p>
    <w:p>
      <w:pPr>
        <w:ind w:left="536"/>
        <w:spacing w:after="0"/>
        <w:rPr>
          <w:sz w:val="20"/>
          <w:szCs w:val="20"/>
          <w:color w:val="auto"/>
        </w:rPr>
      </w:pPr>
      <w:r>
        <w:rPr>
          <w:rFonts w:ascii="Arial" w:cs="Arial" w:eastAsia="Arial" w:hAnsi="Arial"/>
          <w:sz w:val="12"/>
          <w:szCs w:val="12"/>
          <w:color w:val="auto"/>
        </w:rPr>
        <w:t>138,532</w:t>
      </w:r>
    </w:p>
    <w:p>
      <w:pPr>
        <w:spacing w:after="0" w:line="135" w:lineRule="exact"/>
        <w:rPr>
          <w:sz w:val="20"/>
          <w:szCs w:val="20"/>
          <w:color w:val="auto"/>
        </w:rPr>
      </w:pPr>
    </w:p>
    <w:p>
      <w:pPr>
        <w:ind w:left="776"/>
        <w:spacing w:after="0"/>
        <w:rPr>
          <w:sz w:val="20"/>
          <w:szCs w:val="20"/>
          <w:color w:val="auto"/>
        </w:rPr>
      </w:pPr>
      <w:r>
        <w:rPr>
          <w:rFonts w:ascii="Arial" w:cs="Arial" w:eastAsia="Arial" w:hAnsi="Arial"/>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66611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115" cy="6985"/>
                    </a:xfrm>
                    <a:prstGeom prst="rect">
                      <a:avLst/>
                    </a:prstGeom>
                    <a:noFill/>
                  </pic:spPr>
                </pic:pic>
              </a:graphicData>
            </a:graphic>
          </wp:anchor>
        </w:drawing>
      </w:r>
    </w:p>
    <w:p>
      <w:pPr>
        <w:spacing w:after="0" w:line="126" w:lineRule="exact"/>
        <w:rPr>
          <w:sz w:val="20"/>
          <w:szCs w:val="20"/>
          <w:color w:val="auto"/>
        </w:rPr>
      </w:pPr>
    </w:p>
    <w:p>
      <w:pPr>
        <w:ind w:left="536"/>
        <w:spacing w:after="0"/>
        <w:rPr>
          <w:sz w:val="20"/>
          <w:szCs w:val="20"/>
          <w:color w:val="auto"/>
        </w:rPr>
      </w:pPr>
      <w:r>
        <w:rPr>
          <w:rFonts w:ascii="Arial" w:cs="Arial" w:eastAsia="Arial" w:hAnsi="Arial"/>
          <w:sz w:val="12"/>
          <w:szCs w:val="12"/>
          <w:color w:val="auto"/>
        </w:rPr>
        <w:t>138,690</w:t>
      </w:r>
    </w:p>
    <w:p>
      <w:pPr>
        <w:spacing w:after="0" w:line="135" w:lineRule="exact"/>
        <w:rPr>
          <w:sz w:val="20"/>
          <w:szCs w:val="20"/>
          <w:color w:val="auto"/>
        </w:rPr>
      </w:pPr>
    </w:p>
    <w:p>
      <w:pPr>
        <w:ind w:left="616"/>
        <w:spacing w:after="0"/>
        <w:rPr>
          <w:sz w:val="20"/>
          <w:szCs w:val="20"/>
          <w:color w:val="auto"/>
        </w:rPr>
      </w:pPr>
      <w:r>
        <w:rPr>
          <w:rFonts w:ascii="Arial" w:cs="Arial" w:eastAsia="Arial" w:hAnsi="Arial"/>
          <w:sz w:val="12"/>
          <w:szCs w:val="12"/>
          <w:color w:val="auto"/>
        </w:rPr>
        <w:t>14,600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66611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115" cy="6985"/>
                    </a:xfrm>
                    <a:prstGeom prst="rect">
                      <a:avLst/>
                    </a:prstGeom>
                    <a:noFill/>
                  </pic:spPr>
                </pic:pic>
              </a:graphicData>
            </a:graphic>
          </wp:anchor>
        </w:drawing>
      </w:r>
    </w:p>
    <w:p>
      <w:pPr>
        <w:spacing w:after="0" w:line="126" w:lineRule="exact"/>
        <w:rPr>
          <w:sz w:val="20"/>
          <w:szCs w:val="20"/>
          <w:color w:val="auto"/>
        </w:rPr>
      </w:pPr>
    </w:p>
    <w:p>
      <w:pPr>
        <w:ind w:left="536" w:hanging="536"/>
        <w:spacing w:after="0"/>
        <w:tabs>
          <w:tab w:leader="none" w:pos="536" w:val="left"/>
        </w:tabs>
        <w:numPr>
          <w:ilvl w:val="0"/>
          <w:numId w:val="12"/>
        </w:numPr>
        <w:rPr>
          <w:rFonts w:ascii="Arial" w:cs="Arial" w:eastAsia="Arial" w:hAnsi="Arial"/>
          <w:sz w:val="12"/>
          <w:szCs w:val="12"/>
          <w:color w:val="auto"/>
        </w:rPr>
      </w:pPr>
      <w:r>
        <w:rPr>
          <w:rFonts w:ascii="Arial" w:cs="Arial" w:eastAsia="Arial" w:hAnsi="Arial"/>
          <w:sz w:val="12"/>
          <w:szCs w:val="12"/>
          <w:color w:val="auto"/>
        </w:rPr>
        <w:t>153,290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66611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115" cy="69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20955</wp:posOffset>
            </wp:positionV>
            <wp:extent cx="66611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115" cy="698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4664" w:space="720"/>
            <w:col w:w="5796"/>
          </w:cols>
          <w:pgMar w:left="220" w:top="500" w:right="49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20</w:t>
            </w:r>
          </w:p>
        </w:tc>
      </w:tr>
    </w:tbl>
    <w:p>
      <w:pPr>
        <w:sectPr>
          <w:pgSz w:w="11900" w:h="16838" w:orient="portrait"/>
          <w:cols w:equalWidth="0" w:num="1">
            <w:col w:w="11180"/>
          </w:cols>
          <w:pgMar w:left="220" w:top="500" w:right="499" w:bottom="1440" w:gutter="0" w:footer="0" w:header="0"/>
          <w:type w:val="continuous"/>
        </w:sectPr>
      </w:pPr>
    </w:p>
    <w:bookmarkStart w:id="32" w:name="page33"/>
    <w:bookmarkEnd w:id="32"/>
    <w:p>
      <w:pPr>
        <w:ind w:left="560"/>
        <w:spacing w:after="0"/>
        <w:rPr>
          <w:sz w:val="20"/>
          <w:szCs w:val="20"/>
          <w:color w:val="auto"/>
        </w:rPr>
      </w:pPr>
      <w:r>
        <w:rPr>
          <w:rFonts w:ascii="Arial" w:cs="Arial" w:eastAsia="Arial" w:hAnsi="Arial"/>
          <w:sz w:val="20"/>
          <w:szCs w:val="20"/>
          <w:b w:val="1"/>
          <w:bCs w:val="1"/>
          <w:color w:val="auto"/>
        </w:rPr>
        <w:t>Portfolio Debt -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36195</wp:posOffset>
            </wp:positionV>
            <wp:extent cx="660654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6540" cy="6985"/>
                    </a:xfrm>
                    <a:prstGeom prst="rect">
                      <a:avLst/>
                    </a:prstGeom>
                    <a:noFill/>
                  </pic:spPr>
                </pic:pic>
              </a:graphicData>
            </a:graphic>
          </wp:anchor>
        </w:drawing>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(in thousands)</w:t>
      </w:r>
    </w:p>
    <w:p>
      <w:pPr>
        <w:spacing w:after="0" w:line="200" w:lineRule="exact"/>
        <w:rPr>
          <w:sz w:val="20"/>
          <w:szCs w:val="20"/>
          <w:color w:val="auto"/>
        </w:rPr>
      </w:pPr>
    </w:p>
    <w:p>
      <w:pPr>
        <w:spacing w:after="0" w:line="394" w:lineRule="exact"/>
        <w:rPr>
          <w:sz w:val="20"/>
          <w:szCs w:val="20"/>
          <w:color w:val="auto"/>
        </w:rPr>
      </w:pPr>
    </w:p>
    <w:tbl>
      <w:tblPr>
        <w:tblLayout w:type="fixed"/>
        <w:tblInd w:w="560" w:type="dxa"/>
        <w:tblCellMar>
          <w:top w:w="0" w:type="dxa"/>
          <w:left w:w="0" w:type="dxa"/>
          <w:bottom w:w="0" w:type="dxa"/>
          <w:right w:w="0" w:type="dxa"/>
        </w:tblCellMar>
      </w:tblPr>
      <w:tr>
        <w:trPr>
          <w:trHeight w:val="163"/>
        </w:trPr>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2"/>
                <w:szCs w:val="12"/>
                <w:b w:val="1"/>
                <w:bCs w:val="1"/>
                <w:color w:val="auto"/>
                <w:w w:val="97"/>
              </w:rPr>
              <w:t xml:space="preserve">Acadia Pro-Rata Share of Debt </w:t>
            </w:r>
            <w:r>
              <w:rPr>
                <w:rFonts w:ascii="Arial" w:cs="Arial" w:eastAsia="Arial" w:hAnsi="Arial"/>
                <w:sz w:val="14"/>
                <w:szCs w:val="14"/>
                <w:b w:val="1"/>
                <w:bCs w:val="1"/>
                <w:color w:val="auto"/>
                <w:w w:val="97"/>
                <w:vertAlign w:val="superscript"/>
              </w:rPr>
              <w:t>2</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jc w:val="center"/>
              <w:ind w:right="22"/>
              <w:spacing w:after="0"/>
              <w:rPr>
                <w:sz w:val="20"/>
                <w:szCs w:val="20"/>
                <w:color w:val="auto"/>
              </w:rPr>
            </w:pPr>
            <w:r>
              <w:rPr>
                <w:rFonts w:ascii="Arial" w:cs="Arial" w:eastAsia="Arial" w:hAnsi="Arial"/>
                <w:sz w:val="12"/>
                <w:szCs w:val="12"/>
                <w:b w:val="1"/>
                <w:bCs w:val="1"/>
                <w:color w:val="auto"/>
                <w:w w:val="96"/>
              </w:rPr>
              <w:t>Reconciliation to Consolidated Debt as Reported</w:t>
            </w: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4"/>
            <w:vMerge w:val="restart"/>
          </w:tcPr>
          <w:p>
            <w:pPr>
              <w:ind w:left="280"/>
              <w:spacing w:after="0"/>
              <w:rPr>
                <w:sz w:val="20"/>
                <w:szCs w:val="20"/>
                <w:color w:val="auto"/>
              </w:rPr>
            </w:pPr>
            <w:r>
              <w:rPr>
                <w:rFonts w:ascii="Arial" w:cs="Arial" w:eastAsia="Arial" w:hAnsi="Arial"/>
                <w:sz w:val="12"/>
                <w:szCs w:val="12"/>
                <w:b w:val="1"/>
                <w:bCs w:val="1"/>
                <w:color w:val="auto"/>
              </w:rPr>
              <w:t>Core Portfolio</w:t>
            </w:r>
          </w:p>
        </w:tc>
        <w:tc>
          <w:tcPr>
            <w:tcW w:w="120" w:type="dxa"/>
            <w:vAlign w:val="bottom"/>
          </w:tcPr>
          <w:p>
            <w:pPr>
              <w:spacing w:after="0"/>
              <w:rPr>
                <w:sz w:val="11"/>
                <w:szCs w:val="11"/>
                <w:color w:val="auto"/>
              </w:rPr>
            </w:pPr>
          </w:p>
        </w:tc>
        <w:tc>
          <w:tcPr>
            <w:tcW w:w="880" w:type="dxa"/>
            <w:vAlign w:val="bottom"/>
            <w:gridSpan w:val="3"/>
            <w:vMerge w:val="restart"/>
          </w:tcPr>
          <w:p>
            <w:pPr>
              <w:ind w:left="500"/>
              <w:spacing w:after="0"/>
              <w:rPr>
                <w:sz w:val="20"/>
                <w:szCs w:val="20"/>
                <w:color w:val="auto"/>
              </w:rPr>
            </w:pPr>
            <w:r>
              <w:rPr>
                <w:rFonts w:ascii="Arial" w:cs="Arial" w:eastAsia="Arial" w:hAnsi="Arial"/>
                <w:sz w:val="12"/>
                <w:szCs w:val="12"/>
                <w:b w:val="1"/>
                <w:bCs w:val="1"/>
                <w:color w:val="auto"/>
                <w:w w:val="99"/>
              </w:rPr>
              <w:t>Funds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Total</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4"/>
              </w:rPr>
              <w:t>Add:</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6"/>
              </w:rPr>
              <w:t>Less: Pro-rata</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restart"/>
          </w:tcPr>
          <w:p>
            <w:pPr>
              <w:jc w:val="center"/>
              <w:ind w:right="200"/>
              <w:spacing w:after="0" w:line="132" w:lineRule="exact"/>
              <w:rPr>
                <w:sz w:val="20"/>
                <w:szCs w:val="20"/>
                <w:color w:val="auto"/>
              </w:rPr>
            </w:pPr>
            <w:r>
              <w:rPr>
                <w:rFonts w:ascii="Arial" w:cs="Arial" w:eastAsia="Arial" w:hAnsi="Arial"/>
                <w:sz w:val="12"/>
                <w:szCs w:val="12"/>
                <w:b w:val="1"/>
                <w:bCs w:val="1"/>
                <w:color w:val="auto"/>
                <w:w w:val="96"/>
              </w:rPr>
              <w:t>Noncontrolling</w:t>
            </w:r>
          </w:p>
        </w:tc>
        <w:tc>
          <w:tcPr>
            <w:tcW w:w="100" w:type="dxa"/>
            <w:vAlign w:val="bottom"/>
          </w:tcPr>
          <w:p>
            <w:pPr>
              <w:spacing w:after="0"/>
              <w:rPr>
                <w:sz w:val="7"/>
                <w:szCs w:val="7"/>
                <w:color w:val="auto"/>
              </w:rPr>
            </w:pPr>
          </w:p>
        </w:tc>
        <w:tc>
          <w:tcPr>
            <w:tcW w:w="1020" w:type="dxa"/>
            <w:vAlign w:val="bottom"/>
            <w:gridSpan w:val="2"/>
            <w:vMerge w:val="restart"/>
          </w:tcPr>
          <w:p>
            <w:pPr>
              <w:jc w:val="center"/>
              <w:ind w:right="200"/>
              <w:spacing w:after="0" w:line="132" w:lineRule="exact"/>
              <w:rPr>
                <w:sz w:val="20"/>
                <w:szCs w:val="20"/>
                <w:color w:val="auto"/>
              </w:rPr>
            </w:pPr>
            <w:r>
              <w:rPr>
                <w:rFonts w:ascii="Arial" w:cs="Arial" w:eastAsia="Arial" w:hAnsi="Arial"/>
                <w:sz w:val="12"/>
                <w:szCs w:val="12"/>
                <w:b w:val="1"/>
                <w:bCs w:val="1"/>
                <w:color w:val="auto"/>
                <w:w w:val="95"/>
              </w:rPr>
              <w:t>Share of</w:t>
            </w:r>
          </w:p>
        </w:tc>
        <w:tc>
          <w:tcPr>
            <w:tcW w:w="120" w:type="dxa"/>
            <w:vAlign w:val="bottom"/>
          </w:tcPr>
          <w:p>
            <w:pPr>
              <w:spacing w:after="0"/>
              <w:rPr>
                <w:sz w:val="7"/>
                <w:szCs w:val="7"/>
                <w:color w:val="auto"/>
              </w:rPr>
            </w:pPr>
          </w:p>
        </w:tc>
        <w:tc>
          <w:tcPr>
            <w:tcW w:w="920" w:type="dxa"/>
            <w:vAlign w:val="bottom"/>
            <w:vMerge w:val="restart"/>
          </w:tcPr>
          <w:p>
            <w:pPr>
              <w:jc w:val="right"/>
              <w:ind w:right="262"/>
              <w:spacing w:after="0" w:line="132" w:lineRule="exact"/>
              <w:rPr>
                <w:sz w:val="20"/>
                <w:szCs w:val="20"/>
                <w:color w:val="auto"/>
              </w:rPr>
            </w:pPr>
            <w:r>
              <w:rPr>
                <w:rFonts w:ascii="Arial" w:cs="Arial" w:eastAsia="Arial" w:hAnsi="Arial"/>
                <w:sz w:val="12"/>
                <w:szCs w:val="12"/>
                <w:b w:val="1"/>
                <w:bCs w:val="1"/>
                <w:color w:val="auto"/>
              </w:rPr>
              <w:t>Acadia</w:t>
            </w: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8"/>
              </w:rPr>
              <w:t>Principal</w:t>
            </w:r>
          </w:p>
        </w:tc>
        <w:tc>
          <w:tcPr>
            <w:tcW w:w="74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96"/>
              </w:rPr>
              <w:t>Interest</w:t>
            </w:r>
          </w:p>
        </w:tc>
        <w:tc>
          <w:tcPr>
            <w:tcW w:w="120" w:type="dxa"/>
            <w:vAlign w:val="bottom"/>
          </w:tcPr>
          <w:p>
            <w:pPr>
              <w:spacing w:after="0"/>
              <w:rPr>
                <w:sz w:val="11"/>
                <w:szCs w:val="11"/>
                <w:color w:val="auto"/>
              </w:rPr>
            </w:pPr>
          </w:p>
        </w:tc>
        <w:tc>
          <w:tcPr>
            <w:tcW w:w="880" w:type="dxa"/>
            <w:vAlign w:val="bottom"/>
            <w:gridSpan w:val="3"/>
          </w:tcPr>
          <w:p>
            <w:pPr>
              <w:jc w:val="center"/>
              <w:ind w:right="300"/>
              <w:spacing w:after="0" w:line="132" w:lineRule="exact"/>
              <w:rPr>
                <w:sz w:val="20"/>
                <w:szCs w:val="20"/>
                <w:color w:val="auto"/>
              </w:rPr>
            </w:pPr>
            <w:r>
              <w:rPr>
                <w:rFonts w:ascii="Arial" w:cs="Arial" w:eastAsia="Arial" w:hAnsi="Arial"/>
                <w:sz w:val="12"/>
                <w:szCs w:val="12"/>
                <w:b w:val="1"/>
                <w:bCs w:val="1"/>
                <w:color w:val="auto"/>
                <w:w w:val="98"/>
              </w:rPr>
              <w:t>Principal</w:t>
            </w:r>
          </w:p>
        </w:tc>
        <w:tc>
          <w:tcPr>
            <w:tcW w:w="68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96"/>
              </w:rPr>
              <w:t>Interest</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8"/>
              </w:rPr>
              <w:t>Principal</w:t>
            </w:r>
          </w:p>
        </w:tc>
        <w:tc>
          <w:tcPr>
            <w:tcW w:w="74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96"/>
              </w:rPr>
              <w:t>Interest</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97"/>
              </w:rPr>
              <w:t>Interest Share of</w:t>
            </w:r>
          </w:p>
        </w:tc>
        <w:tc>
          <w:tcPr>
            <w:tcW w:w="112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97"/>
              </w:rPr>
              <w:t>Unconsolidated</w:t>
            </w:r>
          </w:p>
        </w:tc>
        <w:tc>
          <w:tcPr>
            <w:tcW w:w="120" w:type="dxa"/>
            <w:vAlign w:val="bottom"/>
          </w:tcPr>
          <w:p>
            <w:pPr>
              <w:spacing w:after="0"/>
              <w:rPr>
                <w:sz w:val="11"/>
                <w:szCs w:val="11"/>
                <w:color w:val="auto"/>
              </w:rPr>
            </w:pPr>
          </w:p>
        </w:tc>
        <w:tc>
          <w:tcPr>
            <w:tcW w:w="920" w:type="dxa"/>
            <w:vAlign w:val="bottom"/>
          </w:tcPr>
          <w:p>
            <w:pPr>
              <w:jc w:val="right"/>
              <w:ind w:right="82"/>
              <w:spacing w:after="0" w:line="132" w:lineRule="exact"/>
              <w:rPr>
                <w:sz w:val="20"/>
                <w:szCs w:val="20"/>
                <w:color w:val="auto"/>
              </w:rPr>
            </w:pPr>
            <w:r>
              <w:rPr>
                <w:rFonts w:ascii="Arial" w:cs="Arial" w:eastAsia="Arial" w:hAnsi="Arial"/>
                <w:sz w:val="12"/>
                <w:szCs w:val="12"/>
                <w:b w:val="1"/>
                <w:bCs w:val="1"/>
                <w:color w:val="auto"/>
                <w:w w:val="99"/>
              </w:rPr>
              <w:t>Consolidated</w:t>
            </w:r>
          </w:p>
        </w:tc>
        <w:tc>
          <w:tcPr>
            <w:tcW w:w="0" w:type="dxa"/>
            <w:vAlign w:val="bottom"/>
          </w:tcPr>
          <w:p>
            <w:pPr>
              <w:spacing w:after="0"/>
              <w:rPr>
                <w:sz w:val="1"/>
                <w:szCs w:val="1"/>
                <w:color w:val="auto"/>
              </w:rPr>
            </w:pPr>
          </w:p>
        </w:tc>
      </w:tr>
      <w:tr>
        <w:trPr>
          <w:trHeight w:val="163"/>
        </w:trPr>
        <w:tc>
          <w:tcPr>
            <w:tcW w:w="1120" w:type="dxa"/>
            <w:vAlign w:val="bottom"/>
          </w:tcPr>
          <w:p>
            <w:pPr>
              <w:spacing w:after="0"/>
              <w:rPr>
                <w:sz w:val="20"/>
                <w:szCs w:val="20"/>
                <w:color w:val="auto"/>
              </w:rPr>
            </w:pPr>
            <w:r>
              <w:rPr>
                <w:rFonts w:ascii="Arial" w:cs="Arial" w:eastAsia="Arial" w:hAnsi="Arial"/>
                <w:sz w:val="12"/>
                <w:szCs w:val="12"/>
                <w:b w:val="1"/>
                <w:bCs w:val="1"/>
                <w:color w:val="auto"/>
              </w:rPr>
              <w:t>Unsecured Debt</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Balance</w:t>
            </w:r>
          </w:p>
        </w:tc>
        <w:tc>
          <w:tcPr>
            <w:tcW w:w="7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Rate</w:t>
            </w:r>
          </w:p>
        </w:tc>
        <w:tc>
          <w:tcPr>
            <w:tcW w:w="12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5"/>
              </w:rPr>
              <w:t>Balance</w:t>
            </w: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Rate</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Balance</w:t>
            </w:r>
          </w:p>
        </w:tc>
        <w:tc>
          <w:tcPr>
            <w:tcW w:w="7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9"/>
              </w:rPr>
              <w:t>Rate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 xml:space="preserve">Debt </w:t>
            </w:r>
            <w:r>
              <w:rPr>
                <w:rFonts w:ascii="Arial" w:cs="Arial" w:eastAsia="Arial" w:hAnsi="Arial"/>
                <w:sz w:val="14"/>
                <w:szCs w:val="14"/>
                <w:b w:val="1"/>
                <w:bCs w:val="1"/>
                <w:color w:val="auto"/>
                <w:w w:val="96"/>
                <w:vertAlign w:val="superscript"/>
              </w:rPr>
              <w:t>3</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 xml:space="preserve">Debt </w:t>
            </w:r>
            <w:r>
              <w:rPr>
                <w:rFonts w:ascii="Arial" w:cs="Arial" w:eastAsia="Arial" w:hAnsi="Arial"/>
                <w:sz w:val="14"/>
                <w:szCs w:val="14"/>
                <w:b w:val="1"/>
                <w:bCs w:val="1"/>
                <w:color w:val="auto"/>
                <w:w w:val="90"/>
                <w:vertAlign w:val="superscript"/>
              </w:rPr>
              <w:t>4</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Debt as Reported</w:t>
            </w:r>
          </w:p>
        </w:tc>
        <w:tc>
          <w:tcPr>
            <w:tcW w:w="0" w:type="dxa"/>
            <w:vAlign w:val="bottom"/>
          </w:tcPr>
          <w:p>
            <w:pPr>
              <w:spacing w:after="0"/>
              <w:rPr>
                <w:sz w:val="1"/>
                <w:szCs w:val="1"/>
                <w:color w:val="auto"/>
              </w:rPr>
            </w:pPr>
          </w:p>
        </w:tc>
      </w:tr>
      <w:tr>
        <w:trPr>
          <w:trHeight w:val="100"/>
        </w:trPr>
        <w:tc>
          <w:tcPr>
            <w:tcW w:w="1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bottom w:val="single" w:sz="8" w:color="9BDA44"/>
            </w:tcBorders>
          </w:tcPr>
          <w:p>
            <w:pPr>
              <w:spacing w:after="0"/>
              <w:rPr>
                <w:sz w:val="8"/>
                <w:szCs w:val="8"/>
                <w:color w:val="auto"/>
              </w:rPr>
            </w:pPr>
          </w:p>
        </w:tc>
        <w:tc>
          <w:tcPr>
            <w:tcW w:w="680" w:type="dxa"/>
            <w:vAlign w:val="bottom"/>
            <w:tcBorders>
              <w:top w:val="single" w:sz="8" w:color="auto"/>
              <w:bottom w:val="single" w:sz="8" w:color="9BDA44"/>
            </w:tcBorders>
          </w:tcPr>
          <w:p>
            <w:pPr>
              <w:spacing w:after="0"/>
              <w:rPr>
                <w:sz w:val="8"/>
                <w:szCs w:val="8"/>
                <w:color w:val="auto"/>
              </w:rPr>
            </w:pPr>
          </w:p>
        </w:tc>
        <w:tc>
          <w:tcPr>
            <w:tcW w:w="100" w:type="dxa"/>
            <w:vAlign w:val="bottom"/>
            <w:tcBorders>
              <w:bottom w:val="single" w:sz="8" w:color="9BDA44"/>
            </w:tcBorders>
          </w:tcPr>
          <w:p>
            <w:pPr>
              <w:spacing w:after="0"/>
              <w:rPr>
                <w:sz w:val="8"/>
                <w:szCs w:val="8"/>
                <w:color w:val="auto"/>
              </w:rPr>
            </w:pPr>
          </w:p>
        </w:tc>
        <w:tc>
          <w:tcPr>
            <w:tcW w:w="640" w:type="dxa"/>
            <w:vAlign w:val="bottom"/>
            <w:tcBorders>
              <w:top w:val="single" w:sz="8" w:color="auto"/>
              <w:bottom w:val="single" w:sz="8" w:color="9BDA44"/>
            </w:tcBorders>
          </w:tcPr>
          <w:p>
            <w:pPr>
              <w:spacing w:after="0"/>
              <w:rPr>
                <w:sz w:val="8"/>
                <w:szCs w:val="8"/>
                <w:color w:val="auto"/>
              </w:rPr>
            </w:pPr>
          </w:p>
        </w:tc>
        <w:tc>
          <w:tcPr>
            <w:tcW w:w="100" w:type="dxa"/>
            <w:vAlign w:val="bottom"/>
            <w:tcBorders>
              <w:bottom w:val="single" w:sz="8" w:color="9BDA44"/>
            </w:tcBorders>
          </w:tcPr>
          <w:p>
            <w:pPr>
              <w:spacing w:after="0"/>
              <w:rPr>
                <w:sz w:val="8"/>
                <w:szCs w:val="8"/>
                <w:color w:val="auto"/>
              </w:rPr>
            </w:pPr>
          </w:p>
        </w:tc>
        <w:tc>
          <w:tcPr>
            <w:tcW w:w="880" w:type="dxa"/>
            <w:vAlign w:val="bottom"/>
            <w:tcBorders>
              <w:bottom w:val="single" w:sz="8" w:color="9BDA44"/>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6"/>
        </w:trPr>
        <w:tc>
          <w:tcPr>
            <w:tcW w:w="1120" w:type="dxa"/>
            <w:vAlign w:val="bottom"/>
          </w:tcPr>
          <w:p>
            <w:pPr>
              <w:spacing w:after="0"/>
              <w:rPr>
                <w:sz w:val="20"/>
                <w:szCs w:val="20"/>
                <w:color w:val="auto"/>
              </w:rPr>
            </w:pPr>
            <w:r>
              <w:rPr>
                <w:rFonts w:ascii="Arial" w:cs="Arial" w:eastAsia="Arial" w:hAnsi="Arial"/>
                <w:sz w:val="12"/>
                <w:szCs w:val="12"/>
                <w:color w:val="auto"/>
              </w:rPr>
              <w:t xml:space="preserve">Fixed-Rate Debt </w:t>
            </w:r>
            <w:r>
              <w:rPr>
                <w:rFonts w:ascii="Arial" w:cs="Arial" w:eastAsia="Arial" w:hAnsi="Arial"/>
                <w:sz w:val="14"/>
                <w:szCs w:val="14"/>
                <w:color w:val="auto"/>
                <w:vertAlign w:val="superscript"/>
              </w:rPr>
              <w:t>1</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364,000</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Borders>
              <w:right w:val="single" w:sz="8" w:color="9BDA44"/>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364,000</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24"/>
                <w:szCs w:val="24"/>
                <w:color w:val="auto"/>
              </w:rPr>
            </w:pPr>
          </w:p>
        </w:tc>
        <w:tc>
          <w:tcPr>
            <w:tcW w:w="880" w:type="dxa"/>
            <w:vAlign w:val="bottom"/>
            <w:tcBorders>
              <w:right w:val="single" w:sz="8" w:color="9BDA44"/>
            </w:tcBorders>
          </w:tcPr>
          <w:p>
            <w:pPr>
              <w:jc w:val="right"/>
              <w:spacing w:after="0"/>
              <w:rPr>
                <w:sz w:val="20"/>
                <w:szCs w:val="20"/>
                <w:color w:val="auto"/>
              </w:rPr>
            </w:pPr>
            <w:r>
              <w:rPr>
                <w:rFonts w:ascii="Arial" w:cs="Arial" w:eastAsia="Arial" w:hAnsi="Arial"/>
                <w:sz w:val="12"/>
                <w:szCs w:val="12"/>
                <w:b w:val="1"/>
                <w:bCs w:val="1"/>
                <w:color w:val="auto"/>
              </w:rPr>
              <w:t>40%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364,000</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20"/>
                <w:szCs w:val="20"/>
                <w:color w:val="auto"/>
              </w:rPr>
            </w:pPr>
            <w:r>
              <w:rPr>
                <w:rFonts w:ascii="Arial" w:cs="Arial" w:eastAsia="Arial" w:hAnsi="Arial"/>
                <w:sz w:val="12"/>
                <w:szCs w:val="12"/>
                <w:color w:val="auto"/>
                <w:w w:val="99"/>
              </w:rPr>
              <w:t xml:space="preserve">Variable-Rate Debt </w:t>
            </w:r>
            <w:r>
              <w:rPr>
                <w:rFonts w:ascii="Arial" w:cs="Arial" w:eastAsia="Arial" w:hAnsi="Arial"/>
                <w:sz w:val="14"/>
                <w:szCs w:val="14"/>
                <w:color w:val="auto"/>
                <w:w w:val="99"/>
                <w:vertAlign w:val="superscript"/>
              </w:rPr>
              <w:t>5</w:t>
            </w:r>
          </w:p>
        </w:tc>
        <w:tc>
          <w:tcPr>
            <w:tcW w:w="14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40,091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w:t>
            </w:r>
          </w:p>
        </w:tc>
        <w:tc>
          <w:tcPr>
            <w:tcW w:w="120" w:type="dxa"/>
            <w:vAlign w:val="bottom"/>
            <w:tcBorders>
              <w:right w:val="single" w:sz="8" w:color="9BDA44"/>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40,091</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6"/>
                <w:szCs w:val="16"/>
                <w:color w:val="auto"/>
              </w:rPr>
            </w:pPr>
          </w:p>
        </w:tc>
        <w:tc>
          <w:tcPr>
            <w:tcW w:w="880" w:type="dxa"/>
            <w:vAlign w:val="bottom"/>
            <w:tcBorders>
              <w:bottom w:val="single" w:sz="8" w:color="auto"/>
              <w:right w:val="single" w:sz="8" w:color="9BDA44"/>
            </w:tcBorders>
          </w:tcPr>
          <w:p>
            <w:pPr>
              <w:jc w:val="right"/>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140,334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180,425</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9BDA44"/>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right w:val="single" w:sz="8" w:color="9BDA44"/>
            </w:tcBorders>
          </w:tcPr>
          <w:p>
            <w:pPr>
              <w:jc w:val="right"/>
              <w:spacing w:after="0"/>
              <w:rPr>
                <w:sz w:val="20"/>
                <w:szCs w:val="20"/>
                <w:color w:val="auto"/>
              </w:rPr>
            </w:pPr>
            <w:r>
              <w:rPr>
                <w:rFonts w:ascii="Arial" w:cs="Arial" w:eastAsia="Arial" w:hAnsi="Arial"/>
                <w:sz w:val="12"/>
                <w:szCs w:val="12"/>
                <w:b w:val="1"/>
                <w:bCs w:val="1"/>
                <w:color w:val="auto"/>
              </w:rPr>
              <w:t>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line="132" w:lineRule="exact"/>
              <w:rPr>
                <w:sz w:val="20"/>
                <w:szCs w:val="20"/>
                <w:color w:val="auto"/>
              </w:rPr>
            </w:pPr>
            <w:r>
              <w:rPr>
                <w:rFonts w:ascii="Arial" w:cs="Arial" w:eastAsia="Arial" w:hAnsi="Arial"/>
                <w:sz w:val="12"/>
                <w:szCs w:val="12"/>
                <w:b w:val="1"/>
                <w:bCs w:val="1"/>
                <w:color w:val="auto"/>
              </w:rPr>
              <w:t>Mortgage and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9BDA44"/>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right w:val="single" w:sz="8" w:color="9BDA44"/>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line="132" w:lineRule="exact"/>
              <w:rPr>
                <w:sz w:val="20"/>
                <w:szCs w:val="20"/>
                <w:color w:val="auto"/>
              </w:rPr>
            </w:pPr>
            <w:r>
              <w:rPr>
                <w:rFonts w:ascii="Arial" w:cs="Arial" w:eastAsia="Arial" w:hAnsi="Arial"/>
                <w:sz w:val="12"/>
                <w:szCs w:val="12"/>
                <w:b w:val="1"/>
                <w:bCs w:val="1"/>
                <w:color w:val="auto"/>
              </w:rPr>
              <w:t>Other Notes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9BDA44"/>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right w:val="single" w:sz="8" w:color="9BDA44"/>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20"/>
                <w:szCs w:val="20"/>
                <w:color w:val="auto"/>
              </w:rPr>
            </w:pPr>
            <w:r>
              <w:rPr>
                <w:rFonts w:ascii="Arial" w:cs="Arial" w:eastAsia="Arial" w:hAnsi="Arial"/>
                <w:sz w:val="12"/>
                <w:szCs w:val="12"/>
                <w:b w:val="1"/>
                <w:bCs w:val="1"/>
                <w:color w:val="auto"/>
              </w:rPr>
              <w:t>Payable</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9BDA44"/>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right w:val="single" w:sz="8" w:color="9BDA44"/>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1120" w:type="dxa"/>
            <w:vAlign w:val="bottom"/>
          </w:tcPr>
          <w:p>
            <w:pPr>
              <w:spacing w:after="0"/>
              <w:rPr>
                <w:sz w:val="20"/>
                <w:szCs w:val="20"/>
                <w:color w:val="auto"/>
              </w:rPr>
            </w:pPr>
            <w:r>
              <w:rPr>
                <w:rFonts w:ascii="Arial" w:cs="Arial" w:eastAsia="Arial" w:hAnsi="Arial"/>
                <w:sz w:val="12"/>
                <w:szCs w:val="12"/>
                <w:color w:val="auto"/>
              </w:rPr>
              <w:t xml:space="preserve">Fixed-Rate Debt </w:t>
            </w:r>
            <w:r>
              <w:rPr>
                <w:rFonts w:ascii="Arial" w:cs="Arial" w:eastAsia="Arial" w:hAnsi="Arial"/>
                <w:sz w:val="14"/>
                <w:szCs w:val="14"/>
                <w:color w:val="auto"/>
                <w:vertAlign w:val="superscript"/>
              </w:rPr>
              <w:t>1</w:t>
            </w:r>
          </w:p>
        </w:tc>
        <w:tc>
          <w:tcPr>
            <w:tcW w:w="140" w:type="dxa"/>
            <w:vAlign w:val="bottom"/>
          </w:tcPr>
          <w:p>
            <w:pPr>
              <w:spacing w:after="0"/>
              <w:rPr>
                <w:sz w:val="24"/>
                <w:szCs w:val="2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296,350</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85,530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4.3%</w:t>
            </w:r>
          </w:p>
        </w:tc>
        <w:tc>
          <w:tcPr>
            <w:tcW w:w="120" w:type="dxa"/>
            <w:vAlign w:val="bottom"/>
            <w:tcBorders>
              <w:right w:val="single" w:sz="8" w:color="9BDA44"/>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381,880</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24"/>
                <w:szCs w:val="24"/>
                <w:color w:val="auto"/>
              </w:rPr>
            </w:pPr>
          </w:p>
        </w:tc>
        <w:tc>
          <w:tcPr>
            <w:tcW w:w="880" w:type="dxa"/>
            <w:vAlign w:val="bottom"/>
            <w:tcBorders>
              <w:right w:val="single" w:sz="8" w:color="9BDA44"/>
            </w:tcBorders>
          </w:tcPr>
          <w:p>
            <w:pPr>
              <w:jc w:val="right"/>
              <w:spacing w:after="0"/>
              <w:rPr>
                <w:sz w:val="20"/>
                <w:szCs w:val="20"/>
                <w:color w:val="auto"/>
              </w:rPr>
            </w:pPr>
            <w:r>
              <w:rPr>
                <w:rFonts w:ascii="Arial" w:cs="Arial" w:eastAsia="Arial" w:hAnsi="Arial"/>
                <w:sz w:val="12"/>
                <w:szCs w:val="12"/>
                <w:b w:val="1"/>
                <w:bCs w:val="1"/>
                <w:color w:val="auto"/>
              </w:rPr>
              <w:t>42%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280,471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(116,237)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546,114</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20"/>
                <w:szCs w:val="20"/>
                <w:color w:val="auto"/>
              </w:rPr>
            </w:pPr>
            <w:r>
              <w:rPr>
                <w:rFonts w:ascii="Arial" w:cs="Arial" w:eastAsia="Arial" w:hAnsi="Arial"/>
                <w:sz w:val="12"/>
                <w:szCs w:val="12"/>
                <w:color w:val="auto"/>
                <w:w w:val="99"/>
              </w:rPr>
              <w:t xml:space="preserve">Variable-Rate Debt </w:t>
            </w:r>
            <w:r>
              <w:rPr>
                <w:rFonts w:ascii="Arial" w:cs="Arial" w:eastAsia="Arial" w:hAnsi="Arial"/>
                <w:sz w:val="14"/>
                <w:szCs w:val="14"/>
                <w:color w:val="auto"/>
                <w:w w:val="99"/>
                <w:vertAlign w:val="superscript"/>
              </w:rPr>
              <w:t>5</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37,368</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93,611</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120" w:type="dxa"/>
            <w:vAlign w:val="bottom"/>
            <w:tcBorders>
              <w:right w:val="single" w:sz="8" w:color="9BDA44"/>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130,979</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6"/>
                <w:szCs w:val="16"/>
                <w:color w:val="auto"/>
              </w:rPr>
            </w:pPr>
          </w:p>
        </w:tc>
        <w:tc>
          <w:tcPr>
            <w:tcW w:w="880" w:type="dxa"/>
            <w:vAlign w:val="bottom"/>
            <w:tcBorders>
              <w:bottom w:val="single" w:sz="8" w:color="auto"/>
              <w:right w:val="single" w:sz="8" w:color="9BDA44"/>
            </w:tcBorders>
          </w:tcPr>
          <w:p>
            <w:pPr>
              <w:jc w:val="right"/>
              <w:spacing w:after="0"/>
              <w:rPr>
                <w:sz w:val="20"/>
                <w:szCs w:val="20"/>
                <w:color w:val="auto"/>
              </w:rPr>
            </w:pPr>
            <w:r>
              <w:rPr>
                <w:rFonts w:ascii="Arial" w:cs="Arial" w:eastAsia="Arial" w:hAnsi="Arial"/>
                <w:sz w:val="12"/>
                <w:szCs w:val="12"/>
                <w:b w:val="1"/>
                <w:bCs w:val="1"/>
                <w:color w:val="auto"/>
              </w:rPr>
              <w:t>14%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293,195</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(47,001)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377,173</w:t>
            </w: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right w:val="single" w:sz="8" w:color="9BDA44"/>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right w:val="single" w:sz="8" w:color="9BDA44"/>
            </w:tcBorders>
          </w:tcPr>
          <w:p>
            <w:pPr>
              <w:jc w:val="right"/>
              <w:spacing w:after="0"/>
              <w:rPr>
                <w:sz w:val="20"/>
                <w:szCs w:val="20"/>
                <w:color w:val="auto"/>
              </w:rPr>
            </w:pPr>
            <w:r>
              <w:rPr>
                <w:rFonts w:ascii="Arial" w:cs="Arial" w:eastAsia="Arial" w:hAnsi="Arial"/>
                <w:sz w:val="12"/>
                <w:szCs w:val="12"/>
                <w:b w:val="1"/>
                <w:bCs w:val="1"/>
                <w:color w:val="auto"/>
              </w:rPr>
              <w:t>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112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jc w:val="right"/>
              <w:ind w:right="2"/>
              <w:spacing w:after="0"/>
              <w:rPr>
                <w:sz w:val="20"/>
                <w:szCs w:val="20"/>
                <w:color w:val="auto"/>
              </w:rPr>
            </w:pPr>
            <w:r>
              <w:rPr>
                <w:rFonts w:ascii="Arial" w:cs="Arial" w:eastAsia="Arial" w:hAnsi="Arial"/>
                <w:sz w:val="12"/>
                <w:szCs w:val="12"/>
                <w:b w:val="1"/>
                <w:bCs w:val="1"/>
                <w:color w:val="auto"/>
                <w:w w:val="89"/>
              </w:rPr>
              <w:t>$</w:t>
            </w:r>
          </w:p>
        </w:tc>
        <w:tc>
          <w:tcPr>
            <w:tcW w:w="720" w:type="dxa"/>
            <w:vAlign w:val="bottom"/>
          </w:tcPr>
          <w:p>
            <w:pPr>
              <w:jc w:val="right"/>
              <w:ind w:right="62"/>
              <w:spacing w:after="0"/>
              <w:rPr>
                <w:sz w:val="20"/>
                <w:szCs w:val="20"/>
                <w:color w:val="auto"/>
              </w:rPr>
            </w:pPr>
            <w:r>
              <w:rPr>
                <w:rFonts w:ascii="Arial" w:cs="Arial" w:eastAsia="Arial" w:hAnsi="Arial"/>
                <w:sz w:val="12"/>
                <w:szCs w:val="12"/>
                <w:b w:val="1"/>
                <w:bCs w:val="1"/>
                <w:color w:val="auto"/>
              </w:rPr>
              <w:t>697,718</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3.6%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ind w:right="42"/>
              <w:spacing w:after="0"/>
              <w:rPr>
                <w:sz w:val="20"/>
                <w:szCs w:val="20"/>
                <w:color w:val="auto"/>
              </w:rPr>
            </w:pPr>
            <w:r>
              <w:rPr>
                <w:rFonts w:ascii="Arial" w:cs="Arial" w:eastAsia="Arial" w:hAnsi="Arial"/>
                <w:sz w:val="12"/>
                <w:szCs w:val="12"/>
                <w:b w:val="1"/>
                <w:bCs w:val="1"/>
                <w:color w:val="auto"/>
              </w:rPr>
              <w:t>219,232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4.2%</w:t>
            </w:r>
          </w:p>
        </w:tc>
        <w:tc>
          <w:tcPr>
            <w:tcW w:w="120" w:type="dxa"/>
            <w:vAlign w:val="bottom"/>
            <w:tcBorders>
              <w:right w:val="single" w:sz="8" w:color="9BDA44"/>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2"/>
                <w:szCs w:val="12"/>
                <w:b w:val="1"/>
                <w:bCs w:val="1"/>
                <w:color w:val="auto"/>
              </w:rPr>
              <w:t>916,950</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3.8%</w:t>
            </w:r>
          </w:p>
        </w:tc>
        <w:tc>
          <w:tcPr>
            <w:tcW w:w="100" w:type="dxa"/>
            <w:vAlign w:val="bottom"/>
          </w:tcPr>
          <w:p>
            <w:pPr>
              <w:spacing w:after="0"/>
              <w:rPr>
                <w:sz w:val="24"/>
                <w:szCs w:val="24"/>
                <w:color w:val="auto"/>
              </w:rPr>
            </w:pPr>
          </w:p>
        </w:tc>
        <w:tc>
          <w:tcPr>
            <w:tcW w:w="880" w:type="dxa"/>
            <w:vAlign w:val="bottom"/>
            <w:tcBorders>
              <w:right w:val="single" w:sz="8" w:color="9BDA44"/>
            </w:tcBorders>
          </w:tcPr>
          <w:p>
            <w:pPr>
              <w:jc w:val="right"/>
              <w:spacing w:after="0"/>
              <w:rPr>
                <w:sz w:val="20"/>
                <w:szCs w:val="20"/>
                <w:color w:val="auto"/>
              </w:rPr>
            </w:pPr>
            <w:r>
              <w:rPr>
                <w:rFonts w:ascii="Arial" w:cs="Arial" w:eastAsia="Arial" w:hAnsi="Arial"/>
                <w:sz w:val="12"/>
                <w:szCs w:val="12"/>
                <w:b w:val="1"/>
                <w:bCs w:val="1"/>
                <w:color w:val="auto"/>
              </w:rPr>
              <w:t>100%</w:t>
            </w:r>
          </w:p>
        </w:tc>
        <w:tc>
          <w:tcPr>
            <w:tcW w:w="1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42"/>
              <w:spacing w:after="0"/>
              <w:rPr>
                <w:sz w:val="20"/>
                <w:szCs w:val="20"/>
                <w:color w:val="auto"/>
              </w:rPr>
            </w:pPr>
            <w:r>
              <w:rPr>
                <w:rFonts w:ascii="Arial" w:cs="Arial" w:eastAsia="Arial" w:hAnsi="Arial"/>
                <w:sz w:val="12"/>
                <w:szCs w:val="12"/>
                <w:b w:val="1"/>
                <w:bCs w:val="1"/>
                <w:color w:val="auto"/>
              </w:rPr>
              <w:t>714,000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2"/>
                <w:szCs w:val="12"/>
                <w:b w:val="1"/>
                <w:bCs w:val="1"/>
                <w:color w:val="auto"/>
              </w:rPr>
              <w:t>(163,238)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1,467,712</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2"/>
                <w:szCs w:val="12"/>
                <w:color w:val="auto"/>
              </w:rPr>
              <w:t>Unamortized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right w:val="single" w:sz="8" w:color="9BDA44"/>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right w:val="single" w:sz="8" w:color="9BDA44"/>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120" w:type="dxa"/>
            <w:vAlign w:val="bottom"/>
          </w:tcPr>
          <w:p>
            <w:pPr>
              <w:spacing w:after="0"/>
              <w:rPr>
                <w:sz w:val="20"/>
                <w:szCs w:val="20"/>
                <w:color w:val="auto"/>
              </w:rPr>
            </w:pPr>
            <w:r>
              <w:rPr>
                <w:rFonts w:ascii="Arial" w:cs="Arial" w:eastAsia="Arial" w:hAnsi="Arial"/>
                <w:sz w:val="12"/>
                <w:szCs w:val="12"/>
                <w:color w:val="auto"/>
              </w:rPr>
              <w:t>premium</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9BDA44"/>
            </w:tcBorders>
          </w:tcPr>
          <w:p>
            <w:pPr>
              <w:spacing w:after="0"/>
              <w:rPr>
                <w:sz w:val="12"/>
                <w:szCs w:val="12"/>
                <w:color w:val="auto"/>
              </w:rPr>
            </w:pPr>
          </w:p>
        </w:tc>
        <w:tc>
          <w:tcPr>
            <w:tcW w:w="120" w:type="dxa"/>
            <w:vAlign w:val="bottom"/>
            <w:tcBorders>
              <w:bottom w:val="single" w:sz="8" w:color="9BDA44"/>
            </w:tcBorders>
          </w:tcPr>
          <w:p>
            <w:pPr>
              <w:spacing w:after="0"/>
              <w:rPr>
                <w:sz w:val="12"/>
                <w:szCs w:val="12"/>
                <w:color w:val="auto"/>
              </w:rPr>
            </w:pPr>
          </w:p>
        </w:tc>
        <w:tc>
          <w:tcPr>
            <w:tcW w:w="680" w:type="dxa"/>
            <w:vAlign w:val="bottom"/>
            <w:tcBorders>
              <w:bottom w:val="single" w:sz="8" w:color="9BDA44"/>
            </w:tcBorders>
          </w:tcPr>
          <w:p>
            <w:pPr>
              <w:spacing w:after="0"/>
              <w:rPr>
                <w:sz w:val="12"/>
                <w:szCs w:val="12"/>
                <w:color w:val="auto"/>
              </w:rPr>
            </w:pPr>
          </w:p>
        </w:tc>
        <w:tc>
          <w:tcPr>
            <w:tcW w:w="100" w:type="dxa"/>
            <w:vAlign w:val="bottom"/>
            <w:tcBorders>
              <w:bottom w:val="single" w:sz="8" w:color="9BDA44"/>
            </w:tcBorders>
          </w:tcPr>
          <w:p>
            <w:pPr>
              <w:spacing w:after="0"/>
              <w:rPr>
                <w:sz w:val="12"/>
                <w:szCs w:val="12"/>
                <w:color w:val="auto"/>
              </w:rPr>
            </w:pPr>
          </w:p>
        </w:tc>
        <w:tc>
          <w:tcPr>
            <w:tcW w:w="640" w:type="dxa"/>
            <w:vAlign w:val="bottom"/>
            <w:tcBorders>
              <w:bottom w:val="single" w:sz="8" w:color="9BDA44"/>
            </w:tcBorders>
          </w:tcPr>
          <w:p>
            <w:pPr>
              <w:spacing w:after="0"/>
              <w:rPr>
                <w:sz w:val="12"/>
                <w:szCs w:val="12"/>
                <w:color w:val="auto"/>
              </w:rPr>
            </w:pPr>
          </w:p>
        </w:tc>
        <w:tc>
          <w:tcPr>
            <w:tcW w:w="100" w:type="dxa"/>
            <w:vAlign w:val="bottom"/>
            <w:tcBorders>
              <w:bottom w:val="single" w:sz="8" w:color="9BDA44"/>
            </w:tcBorders>
          </w:tcPr>
          <w:p>
            <w:pPr>
              <w:spacing w:after="0"/>
              <w:rPr>
                <w:sz w:val="12"/>
                <w:szCs w:val="12"/>
                <w:color w:val="auto"/>
              </w:rPr>
            </w:pPr>
          </w:p>
        </w:tc>
        <w:tc>
          <w:tcPr>
            <w:tcW w:w="880" w:type="dxa"/>
            <w:vAlign w:val="bottom"/>
            <w:tcBorders>
              <w:bottom w:val="single" w:sz="8" w:color="9BDA44"/>
              <w:right w:val="single" w:sz="8" w:color="9BDA44"/>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830</w:t>
            </w:r>
          </w:p>
        </w:tc>
        <w:tc>
          <w:tcPr>
            <w:tcW w:w="0" w:type="dxa"/>
            <w:vAlign w:val="bottom"/>
          </w:tcPr>
          <w:p>
            <w:pPr>
              <w:spacing w:after="0"/>
              <w:rPr>
                <w:sz w:val="1"/>
                <w:szCs w:val="1"/>
                <w:color w:val="auto"/>
              </w:rPr>
            </w:pPr>
          </w:p>
        </w:tc>
      </w:tr>
      <w:tr>
        <w:trPr>
          <w:trHeight w:val="146"/>
        </w:trPr>
        <w:tc>
          <w:tcPr>
            <w:tcW w:w="1120" w:type="dxa"/>
            <w:vAlign w:val="bottom"/>
          </w:tcPr>
          <w:p>
            <w:pPr>
              <w:spacing w:after="0"/>
              <w:rPr>
                <w:sz w:val="20"/>
                <w:szCs w:val="20"/>
                <w:color w:val="auto"/>
              </w:rPr>
            </w:pPr>
            <w:r>
              <w:rPr>
                <w:rFonts w:ascii="Arial" w:cs="Arial" w:eastAsia="Arial" w:hAnsi="Arial"/>
                <w:sz w:val="12"/>
                <w:szCs w:val="12"/>
                <w:color w:val="auto"/>
              </w:rPr>
              <w:t>Net unamortized</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20"/>
                <w:szCs w:val="20"/>
                <w:color w:val="auto"/>
              </w:rPr>
            </w:pPr>
            <w:r>
              <w:rPr>
                <w:rFonts w:ascii="Arial" w:cs="Arial" w:eastAsia="Arial" w:hAnsi="Arial"/>
                <w:sz w:val="12"/>
                <w:szCs w:val="12"/>
                <w:color w:val="auto"/>
              </w:rPr>
              <w:t>loan costs</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(13,259)</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2"/>
                <w:szCs w:val="12"/>
                <w:color w:val="auto"/>
              </w:rPr>
              <w:t>Total</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1,455,283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_________</w:t>
      </w:r>
    </w:p>
    <w:p>
      <w:pPr>
        <w:spacing w:after="0" w:line="185" w:lineRule="exact"/>
        <w:rPr>
          <w:sz w:val="20"/>
          <w:szCs w:val="20"/>
          <w:color w:val="auto"/>
        </w:rPr>
      </w:pPr>
    </w:p>
    <w:p>
      <w:pPr>
        <w:ind w:left="540" w:hanging="270"/>
        <w:spacing w:after="0"/>
        <w:tabs>
          <w:tab w:leader="none" w:pos="5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Fixed-rate debt includes notional principal fixed through swap transactions.</w:t>
      </w:r>
    </w:p>
    <w:p>
      <w:pPr>
        <w:ind w:left="540" w:hanging="270"/>
        <w:spacing w:after="0" w:line="228" w:lineRule="auto"/>
        <w:tabs>
          <w:tab w:leader="none" w:pos="5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the Company's pro-rata share of debt based on its percent ownership.</w:t>
      </w:r>
    </w:p>
    <w:p>
      <w:pPr>
        <w:ind w:left="540" w:hanging="270"/>
        <w:spacing w:after="0" w:line="228" w:lineRule="auto"/>
        <w:tabs>
          <w:tab w:leader="none" w:pos="5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the noncontrolling interest pro-rata share of consolidated partnership debt based on its percent ownership.</w:t>
      </w:r>
    </w:p>
    <w:p>
      <w:pPr>
        <w:ind w:left="540" w:hanging="270"/>
        <w:spacing w:after="0" w:line="228" w:lineRule="auto"/>
        <w:tabs>
          <w:tab w:leader="none" w:pos="5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the Company's pro-rata share of unconsolidated partnership debt based on its percent ownership.</w:t>
      </w:r>
    </w:p>
    <w:p>
      <w:pPr>
        <w:ind w:left="540" w:hanging="270"/>
        <w:spacing w:after="0"/>
        <w:tabs>
          <w:tab w:leader="none" w:pos="5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Variable rate debt includes certain borrowings that are subject to interest rate cap agreements.</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21</w:t>
            </w:r>
          </w:p>
        </w:tc>
      </w:tr>
    </w:tbl>
    <w:p>
      <w:pPr>
        <w:sectPr>
          <w:pgSz w:w="11900" w:h="16838" w:orient="portrait"/>
          <w:cols w:equalWidth="0" w:num="1">
            <w:col w:w="10940"/>
          </w:cols>
          <w:pgMar w:left="220" w:top="617" w:right="739" w:bottom="1440" w:gutter="0" w:footer="0" w:header="0"/>
        </w:sectPr>
      </w:pPr>
    </w:p>
    <w:bookmarkStart w:id="33" w:name="page34"/>
    <w:bookmarkEnd w:id="33"/>
    <w:p>
      <w:pPr>
        <w:ind w:left="20"/>
        <w:spacing w:after="0"/>
        <w:rPr>
          <w:sz w:val="20"/>
          <w:szCs w:val="20"/>
          <w:color w:val="auto"/>
        </w:rPr>
      </w:pPr>
      <w:r>
        <w:rPr>
          <w:rFonts w:ascii="Arial" w:cs="Arial" w:eastAsia="Arial" w:hAnsi="Arial"/>
          <w:sz w:val="20"/>
          <w:szCs w:val="20"/>
          <w:b w:val="1"/>
          <w:bCs w:val="1"/>
          <w:color w:val="auto"/>
        </w:rPr>
        <w:t>Portfolio Debt -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7265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Arial" w:cs="Arial" w:eastAsia="Arial" w:hAnsi="Arial"/>
                <w:sz w:val="10"/>
                <w:szCs w:val="10"/>
                <w:b w:val="1"/>
                <w:bCs w:val="1"/>
                <w:color w:val="auto"/>
              </w:rPr>
              <w:t>Principal Balance at</w:t>
            </w:r>
          </w:p>
        </w:tc>
        <w:tc>
          <w:tcPr>
            <w:tcW w:w="120" w:type="dxa"/>
            <w:vAlign w:val="bottom"/>
          </w:tcPr>
          <w:p>
            <w:pPr>
              <w:spacing w:after="0"/>
              <w:rPr>
                <w:sz w:val="12"/>
                <w:szCs w:val="12"/>
                <w:color w:val="auto"/>
              </w:rPr>
            </w:pPr>
          </w:p>
        </w:tc>
        <w:tc>
          <w:tcPr>
            <w:tcW w:w="182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0"/>
                <w:szCs w:val="10"/>
                <w:b w:val="1"/>
                <w:bCs w:val="1"/>
                <w:color w:val="auto"/>
              </w:rPr>
              <w:t>Acadia's Pro-rata Share</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Interest</w:t>
            </w:r>
          </w:p>
        </w:tc>
        <w:tc>
          <w:tcPr>
            <w:tcW w:w="820" w:type="dxa"/>
            <w:vAlign w:val="bottom"/>
          </w:tcPr>
          <w:p>
            <w:pPr>
              <w:jc w:val="center"/>
              <w:ind w:left="49"/>
              <w:spacing w:after="0"/>
              <w:rPr>
                <w:sz w:val="20"/>
                <w:szCs w:val="20"/>
                <w:color w:val="auto"/>
              </w:rPr>
            </w:pPr>
            <w:r>
              <w:rPr>
                <w:rFonts w:ascii="Arial" w:cs="Arial" w:eastAsia="Arial" w:hAnsi="Arial"/>
                <w:sz w:val="10"/>
                <w:szCs w:val="10"/>
                <w:b w:val="1"/>
                <w:bCs w:val="1"/>
                <w:color w:val="auto"/>
              </w:rPr>
              <w:t>Maturity</w:t>
            </w:r>
          </w:p>
        </w:tc>
        <w:tc>
          <w:tcPr>
            <w:tcW w:w="1000" w:type="dxa"/>
            <w:vAlign w:val="bottom"/>
          </w:tcPr>
          <w:p>
            <w:pPr>
              <w:ind w:left="300"/>
              <w:spacing w:after="0"/>
              <w:rPr>
                <w:sz w:val="20"/>
                <w:szCs w:val="20"/>
                <w:color w:val="auto"/>
              </w:rPr>
            </w:pPr>
            <w:r>
              <w:rPr>
                <w:rFonts w:ascii="Arial" w:cs="Arial" w:eastAsia="Arial" w:hAnsi="Arial"/>
                <w:sz w:val="10"/>
                <w:szCs w:val="10"/>
                <w:b w:val="1"/>
                <w:bCs w:val="1"/>
                <w:color w:val="auto"/>
              </w:rPr>
              <w:t>Extension</w:t>
            </w:r>
          </w:p>
        </w:tc>
        <w:tc>
          <w:tcPr>
            <w:tcW w:w="0" w:type="dxa"/>
            <w:vAlign w:val="bottom"/>
          </w:tcPr>
          <w:p>
            <w:pPr>
              <w:spacing w:after="0"/>
              <w:rPr>
                <w:sz w:val="1"/>
                <w:szCs w:val="1"/>
                <w:color w:val="auto"/>
              </w:rPr>
            </w:pPr>
          </w:p>
        </w:tc>
      </w:tr>
      <w:tr>
        <w:trPr>
          <w:trHeight w:val="199"/>
        </w:trPr>
        <w:tc>
          <w:tcPr>
            <w:tcW w:w="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rPr>
              <w:t>Property</w:t>
            </w:r>
          </w:p>
        </w:tc>
        <w:tc>
          <w:tcPr>
            <w:tcW w:w="2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b w:val="1"/>
                <w:bCs w:val="1"/>
                <w:color w:val="auto"/>
              </w:rPr>
              <w:t>March 31, 2018</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b w:val="1"/>
                <w:bCs w:val="1"/>
                <w:color w:val="auto"/>
              </w:rPr>
              <w:t>Percent</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Rate</w:t>
            </w:r>
          </w:p>
        </w:tc>
        <w:tc>
          <w:tcPr>
            <w:tcW w:w="820" w:type="dxa"/>
            <w:vAlign w:val="bottom"/>
            <w:tcBorders>
              <w:bottom w:val="single" w:sz="8" w:color="auto"/>
            </w:tcBorders>
          </w:tcPr>
          <w:p>
            <w:pPr>
              <w:jc w:val="center"/>
              <w:ind w:left="49"/>
              <w:spacing w:after="0"/>
              <w:rPr>
                <w:sz w:val="20"/>
                <w:szCs w:val="20"/>
                <w:color w:val="auto"/>
              </w:rPr>
            </w:pPr>
            <w:r>
              <w:rPr>
                <w:rFonts w:ascii="Arial" w:cs="Arial" w:eastAsia="Arial" w:hAnsi="Arial"/>
                <w:sz w:val="10"/>
                <w:szCs w:val="10"/>
                <w:b w:val="1"/>
                <w:bCs w:val="1"/>
                <w:color w:val="auto"/>
              </w:rPr>
              <w:t>Date</w:t>
            </w: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Options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860" w:type="dxa"/>
            <w:vAlign w:val="bottom"/>
            <w:gridSpan w:val="6"/>
          </w:tcPr>
          <w:p>
            <w:pPr>
              <w:spacing w:after="0"/>
              <w:rPr>
                <w:sz w:val="20"/>
                <w:szCs w:val="20"/>
                <w:color w:val="auto"/>
              </w:rPr>
            </w:pPr>
            <w:r>
              <w:rPr>
                <w:rFonts w:ascii="Arial" w:cs="Arial" w:eastAsia="Arial" w:hAnsi="Arial"/>
                <w:sz w:val="10"/>
                <w:szCs w:val="10"/>
                <w:b w:val="1"/>
                <w:bCs w:val="1"/>
                <w:color w:val="auto"/>
              </w:rPr>
              <w:t>CORE PORTFOLIO</w:t>
            </w: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rPr>
              <w:t>Fixed-Rate Debt</w:t>
            </w:r>
          </w:p>
        </w:tc>
        <w:tc>
          <w:tcPr>
            <w:tcW w:w="1940" w:type="dxa"/>
            <w:vAlign w:val="bottom"/>
            <w:gridSpan w:val="3"/>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xml:space="preserve">Brandywine </w:t>
            </w:r>
            <w:r>
              <w:rPr>
                <w:rFonts w:ascii="Arial" w:cs="Arial" w:eastAsia="Arial" w:hAnsi="Arial"/>
                <w:sz w:val="7"/>
                <w:szCs w:val="7"/>
                <w:color w:val="auto"/>
              </w:rPr>
              <w:t>2</w:t>
            </w:r>
          </w:p>
        </w:tc>
        <w:tc>
          <w:tcPr>
            <w:tcW w:w="2080" w:type="dxa"/>
            <w:vAlign w:val="bottom"/>
            <w:gridSpan w:val="4"/>
          </w:tcPr>
          <w:p>
            <w:pPr>
              <w:spacing w:after="0"/>
              <w:rPr>
                <w:sz w:val="18"/>
                <w:szCs w:val="18"/>
                <w:color w:val="auto"/>
              </w:rPr>
            </w:pPr>
          </w:p>
        </w:tc>
        <w:tc>
          <w:tcPr>
            <w:tcW w:w="266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26,250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22.22%</w:t>
            </w:r>
          </w:p>
        </w:tc>
        <w:tc>
          <w:tcPr>
            <w:tcW w:w="16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5,833</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6.00%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7/1/2016</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163 Highland Avenue</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9,049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9,049</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4.66%</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2/1/2024</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Crossroads Shopping Center</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67,105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49.00%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32,881</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3.94%</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10/6/2024</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555 9th Street</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60,000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60,000</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3.99%</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1/1/2025</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840 N. Michigan</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73,500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88.43%</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64,996</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4.36%</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2/10/2025</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Georgetown Portfolio (2008 Investment)</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16,808</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50.00%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8,404</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4.72%</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12/10/2027</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State &amp; Washington</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24,842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24,842</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4.40%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9/5/2028</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239 Greenwich Avenue</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27,000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75.00%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20,250</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3.88%</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1/10/2029</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North &amp; Kingsbury</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12,838</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12,838</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4.01%</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11/5/2029</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151 North State Street</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14,106</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14,106</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4.03%</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12/1/2029</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Concord &amp; Milwaukee</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2,784</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2,784</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4.40%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6/1/2030</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California &amp; Armitage</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2,608</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2,608</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5.89%</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4/15/2035</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 xml:space="preserve">Unsecured interest rate swaps </w:t>
            </w:r>
            <w:r>
              <w:rPr>
                <w:rFonts w:ascii="Arial" w:cs="Arial" w:eastAsia="Arial" w:hAnsi="Arial"/>
                <w:sz w:val="7"/>
                <w:szCs w:val="7"/>
                <w:color w:val="auto"/>
              </w:rPr>
              <w:t>1</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364,000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364,000</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3.17%</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4"/>
              </w:rPr>
              <w:t>Various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 xml:space="preserve">Secured interest rate swaps </w:t>
            </w:r>
            <w:r>
              <w:rPr>
                <w:rFonts w:ascii="Arial" w:cs="Arial" w:eastAsia="Arial" w:hAnsi="Arial"/>
                <w:sz w:val="7"/>
                <w:szCs w:val="7"/>
                <w:color w:val="auto"/>
              </w:rPr>
              <w:t>1</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42,684</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88.46%</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37,759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3.59%</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4"/>
              </w:rPr>
              <w:t>Various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860" w:type="dxa"/>
            <w:vAlign w:val="bottom"/>
            <w:gridSpan w:val="6"/>
          </w:tcPr>
          <w:p>
            <w:pPr>
              <w:spacing w:after="0"/>
              <w:rPr>
                <w:sz w:val="20"/>
                <w:szCs w:val="20"/>
                <w:color w:val="auto"/>
              </w:rPr>
            </w:pPr>
            <w:r>
              <w:rPr>
                <w:rFonts w:ascii="Arial" w:cs="Arial" w:eastAsia="Arial" w:hAnsi="Arial"/>
                <w:sz w:val="10"/>
                <w:szCs w:val="10"/>
                <w:b w:val="1"/>
                <w:bCs w:val="1"/>
                <w:color w:val="auto"/>
              </w:rPr>
              <w:t>Sub-Total Fixed-Rate Debt</w:t>
            </w: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743,574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660,350</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b w:val="1"/>
                <w:bCs w:val="1"/>
                <w:color w:val="auto"/>
              </w:rPr>
              <w:t>3.61%</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60" w:type="dxa"/>
            <w:vAlign w:val="bottom"/>
            <w:gridSpan w:val="6"/>
          </w:tcPr>
          <w:p>
            <w:pPr>
              <w:spacing w:after="0"/>
              <w:rPr>
                <w:sz w:val="20"/>
                <w:szCs w:val="20"/>
                <w:color w:val="auto"/>
              </w:rPr>
            </w:pPr>
            <w:r>
              <w:rPr>
                <w:rFonts w:ascii="Arial" w:cs="Arial" w:eastAsia="Arial" w:hAnsi="Arial"/>
                <w:sz w:val="10"/>
                <w:szCs w:val="10"/>
                <w:b w:val="1"/>
                <w:bCs w:val="1"/>
                <w:color w:val="auto"/>
              </w:rPr>
              <w:t>Secured Variable-Rate Debt</w:t>
            </w: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40" w:type="dxa"/>
            <w:vAlign w:val="bottom"/>
            <w:tcBorders>
              <w:top w:val="single" w:sz="8" w:color="auto"/>
            </w:tcBorders>
            <w:gridSpan w:val="4"/>
          </w:tcPr>
          <w:p>
            <w:pPr>
              <w:spacing w:after="0"/>
              <w:rPr>
                <w:sz w:val="20"/>
                <w:szCs w:val="20"/>
                <w:color w:val="auto"/>
              </w:rPr>
            </w:pPr>
            <w:r>
              <w:rPr>
                <w:rFonts w:ascii="Arial" w:cs="Arial" w:eastAsia="Arial" w:hAnsi="Arial"/>
                <w:sz w:val="10"/>
                <w:szCs w:val="10"/>
                <w:color w:val="auto"/>
              </w:rPr>
              <w:t>28 Jericho Turnpike</w:t>
            </w:r>
          </w:p>
        </w:tc>
        <w:tc>
          <w:tcPr>
            <w:tcW w:w="15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14,281</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6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14,281</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LIBOR+190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1/23/2023</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60 Orange Street</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7,458</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98.00%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7,309</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LIBOR+175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4/3/2023</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Gotham Plaza</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20,319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49.00%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9,956</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LIBOR+160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6/10/2023</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Georgetown Portfolio (2016 Investment)</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160,000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20.00%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32,000</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LIBOR+170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8/1/2023</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330-340 River Street</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11,581</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11,581</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LIBOR+170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6/1/2026</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 xml:space="preserve">Secured interest rate swaps </w:t>
            </w:r>
            <w:r>
              <w:rPr>
                <w:rFonts w:ascii="Arial" w:cs="Arial" w:eastAsia="Arial" w:hAnsi="Arial"/>
                <w:sz w:val="7"/>
                <w:szCs w:val="7"/>
                <w:color w:val="auto"/>
              </w:rPr>
              <w:t>1</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49"/>
              <w:spacing w:after="0"/>
              <w:rPr>
                <w:sz w:val="20"/>
                <w:szCs w:val="20"/>
                <w:color w:val="auto"/>
              </w:rPr>
            </w:pPr>
            <w:r>
              <w:rPr>
                <w:rFonts w:ascii="Arial" w:cs="Arial" w:eastAsia="Arial" w:hAnsi="Arial"/>
                <w:sz w:val="10"/>
                <w:szCs w:val="10"/>
                <w:color w:val="auto"/>
              </w:rPr>
              <w:t>(42,684)</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88.46%</w:t>
            </w:r>
          </w:p>
        </w:tc>
        <w:tc>
          <w:tcPr>
            <w:tcW w:w="160" w:type="dxa"/>
            <w:vAlign w:val="bottom"/>
          </w:tcPr>
          <w:p>
            <w:pPr>
              <w:spacing w:after="0"/>
              <w:rPr>
                <w:sz w:val="19"/>
                <w:szCs w:val="19"/>
                <w:color w:val="auto"/>
              </w:rPr>
            </w:pPr>
          </w:p>
        </w:tc>
        <w:tc>
          <w:tcPr>
            <w:tcW w:w="740" w:type="dxa"/>
            <w:vAlign w:val="bottom"/>
          </w:tcPr>
          <w:p>
            <w:pPr>
              <w:jc w:val="right"/>
              <w:ind w:right="29"/>
              <w:spacing w:after="0"/>
              <w:rPr>
                <w:sz w:val="20"/>
                <w:szCs w:val="20"/>
                <w:color w:val="auto"/>
              </w:rPr>
            </w:pPr>
            <w:r>
              <w:rPr>
                <w:rFonts w:ascii="Arial" w:cs="Arial" w:eastAsia="Arial" w:hAnsi="Arial"/>
                <w:sz w:val="10"/>
                <w:szCs w:val="10"/>
                <w:color w:val="auto"/>
              </w:rPr>
              <w:t>(37,759)</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LIBOR+192</w:t>
            </w: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860" w:type="dxa"/>
            <w:vAlign w:val="bottom"/>
            <w:gridSpan w:val="6"/>
          </w:tcPr>
          <w:p>
            <w:pPr>
              <w:spacing w:after="0"/>
              <w:rPr>
                <w:sz w:val="20"/>
                <w:szCs w:val="20"/>
                <w:color w:val="auto"/>
              </w:rPr>
            </w:pPr>
            <w:r>
              <w:rPr>
                <w:rFonts w:ascii="Arial" w:cs="Arial" w:eastAsia="Arial" w:hAnsi="Arial"/>
                <w:sz w:val="10"/>
                <w:szCs w:val="10"/>
                <w:b w:val="1"/>
                <w:bCs w:val="1"/>
                <w:color w:val="auto"/>
              </w:rPr>
              <w:t>Unsecured Variable-Rate Debt</w:t>
            </w: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60" w:type="dxa"/>
            <w:vAlign w:val="bottom"/>
            <w:tcBorders>
              <w:top w:val="single" w:sz="8" w:color="auto"/>
            </w:tcBorders>
            <w:gridSpan w:val="5"/>
          </w:tcPr>
          <w:p>
            <w:pPr>
              <w:spacing w:after="0"/>
              <w:rPr>
                <w:sz w:val="20"/>
                <w:szCs w:val="20"/>
                <w:color w:val="auto"/>
              </w:rPr>
            </w:pPr>
            <w:r>
              <w:rPr>
                <w:rFonts w:ascii="Arial" w:cs="Arial" w:eastAsia="Arial" w:hAnsi="Arial"/>
                <w:sz w:val="10"/>
                <w:szCs w:val="10"/>
                <w:color w:val="auto"/>
              </w:rPr>
              <w:t xml:space="preserve">Unsecured Line of Credit </w:t>
            </w:r>
            <w:r>
              <w:rPr>
                <w:rFonts w:ascii="Arial" w:cs="Arial" w:eastAsia="Arial" w:hAnsi="Arial"/>
                <w:sz w:val="7"/>
                <w:szCs w:val="7"/>
                <w:color w:val="auto"/>
              </w:rPr>
              <w:t>3</w:t>
            </w:r>
          </w:p>
        </w:tc>
        <w:tc>
          <w:tcPr>
            <w:tcW w:w="1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14,000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6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14,000</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LIBOR+135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3/31/2022</w:t>
            </w:r>
          </w:p>
        </w:tc>
        <w:tc>
          <w:tcPr>
            <w:tcW w:w="1000" w:type="dxa"/>
            <w:vAlign w:val="bottom"/>
          </w:tcPr>
          <w:p>
            <w:pPr>
              <w:ind w:left="120"/>
              <w:spacing w:after="0"/>
              <w:rPr>
                <w:sz w:val="20"/>
                <w:szCs w:val="20"/>
                <w:color w:val="auto"/>
              </w:rPr>
            </w:pPr>
            <w:r>
              <w:rPr>
                <w:rFonts w:ascii="Arial" w:cs="Arial" w:eastAsia="Arial" w:hAnsi="Arial"/>
                <w:sz w:val="10"/>
                <w:szCs w:val="10"/>
                <w:color w:val="auto"/>
              </w:rPr>
              <w:t>2 x 6 mos.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Unsecured Term Loan</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350,000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350,000</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LIBOR+125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3/31/2023</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 xml:space="preserve">Unsecured interest rate swaps </w:t>
            </w:r>
            <w:r>
              <w:rPr>
                <w:rFonts w:ascii="Arial" w:cs="Arial" w:eastAsia="Arial" w:hAnsi="Arial"/>
                <w:sz w:val="7"/>
                <w:szCs w:val="7"/>
                <w:color w:val="auto"/>
              </w:rPr>
              <w:t>1</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(364,000)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100.00%</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(364,000)</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LIBOR+150</w:t>
            </w: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860" w:type="dxa"/>
            <w:vAlign w:val="bottom"/>
            <w:gridSpan w:val="6"/>
          </w:tcPr>
          <w:p>
            <w:pPr>
              <w:spacing w:after="0"/>
              <w:rPr>
                <w:sz w:val="20"/>
                <w:szCs w:val="20"/>
                <w:color w:val="auto"/>
              </w:rPr>
            </w:pPr>
            <w:r>
              <w:rPr>
                <w:rFonts w:ascii="Arial" w:cs="Arial" w:eastAsia="Arial" w:hAnsi="Arial"/>
                <w:sz w:val="10"/>
                <w:szCs w:val="10"/>
                <w:b w:val="1"/>
                <w:bCs w:val="1"/>
                <w:color w:val="auto"/>
              </w:rPr>
              <w:t>Sub-Total Variable-Rate Debt</w:t>
            </w: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170,955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37,368</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LIBOR+209</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860" w:type="dxa"/>
            <w:vAlign w:val="bottom"/>
            <w:gridSpan w:val="6"/>
          </w:tcPr>
          <w:p>
            <w:pPr>
              <w:spacing w:after="0"/>
              <w:rPr>
                <w:sz w:val="20"/>
                <w:szCs w:val="20"/>
                <w:color w:val="auto"/>
              </w:rPr>
            </w:pPr>
            <w:r>
              <w:rPr>
                <w:rFonts w:ascii="Arial" w:cs="Arial" w:eastAsia="Arial" w:hAnsi="Arial"/>
                <w:sz w:val="10"/>
                <w:szCs w:val="10"/>
                <w:b w:val="1"/>
                <w:bCs w:val="1"/>
                <w:color w:val="auto"/>
              </w:rPr>
              <w:t>Total Debt - Core Portfolio</w:t>
            </w:r>
          </w:p>
        </w:tc>
        <w:tc>
          <w:tcPr>
            <w:tcW w:w="266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w:t>
            </w:r>
          </w:p>
        </w:tc>
        <w:tc>
          <w:tcPr>
            <w:tcW w:w="1160" w:type="dxa"/>
            <w:vAlign w:val="bottom"/>
          </w:tcPr>
          <w:p>
            <w:pPr>
              <w:jc w:val="right"/>
              <w:ind w:right="69"/>
              <w:spacing w:after="0"/>
              <w:rPr>
                <w:sz w:val="20"/>
                <w:szCs w:val="20"/>
                <w:color w:val="auto"/>
              </w:rPr>
            </w:pPr>
            <w:r>
              <w:rPr>
                <w:rFonts w:ascii="Arial" w:cs="Arial" w:eastAsia="Arial" w:hAnsi="Arial"/>
                <w:sz w:val="10"/>
                <w:szCs w:val="10"/>
                <w:b w:val="1"/>
                <w:bCs w:val="1"/>
                <w:color w:val="auto"/>
              </w:rPr>
              <w:t>914,529</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jc w:val="right"/>
              <w:ind w:right="29"/>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69"/>
              <w:spacing w:after="0"/>
              <w:rPr>
                <w:sz w:val="20"/>
                <w:szCs w:val="20"/>
                <w:color w:val="auto"/>
              </w:rPr>
            </w:pPr>
            <w:r>
              <w:rPr>
                <w:rFonts w:ascii="Arial" w:cs="Arial" w:eastAsia="Arial" w:hAnsi="Arial"/>
                <w:sz w:val="10"/>
                <w:szCs w:val="10"/>
                <w:b w:val="1"/>
                <w:bCs w:val="1"/>
                <w:color w:val="auto"/>
              </w:rPr>
              <w:t>697,718</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b w:val="1"/>
                <w:bCs w:val="1"/>
                <w:color w:val="auto"/>
              </w:rPr>
              <w:t>3.62%</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0"/>
                <w:szCs w:val="10"/>
                <w:b w:val="1"/>
                <w:bCs w:val="1"/>
                <w:color w:val="auto"/>
                <w:w w:val="99"/>
              </w:rPr>
              <w:t>Funds</w:t>
            </w:r>
          </w:p>
        </w:tc>
        <w:tc>
          <w:tcPr>
            <w:tcW w:w="2540" w:type="dxa"/>
            <w:vAlign w:val="bottom"/>
            <w:gridSpan w:val="5"/>
            <w:vMerge w:val="restart"/>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2540" w:type="dxa"/>
            <w:vAlign w:val="bottom"/>
            <w:gridSpan w:val="5"/>
            <w:vMerge w:val="continue"/>
          </w:tcPr>
          <w:p>
            <w:pPr>
              <w:spacing w:after="0"/>
              <w:rPr>
                <w:sz w:val="22"/>
                <w:szCs w:val="22"/>
                <w:color w:val="auto"/>
              </w:rPr>
            </w:pPr>
          </w:p>
        </w:tc>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gridSpan w:val="6"/>
          </w:tcPr>
          <w:p>
            <w:pPr>
              <w:spacing w:after="0"/>
              <w:rPr>
                <w:sz w:val="20"/>
                <w:szCs w:val="20"/>
                <w:color w:val="auto"/>
              </w:rPr>
            </w:pPr>
            <w:r>
              <w:rPr>
                <w:rFonts w:ascii="Arial" w:cs="Arial" w:eastAsia="Arial" w:hAnsi="Arial"/>
                <w:sz w:val="10"/>
                <w:szCs w:val="10"/>
                <w:b w:val="1"/>
                <w:bCs w:val="1"/>
                <w:color w:val="auto"/>
              </w:rPr>
              <w:t>Fixed-Rate Debt</w:t>
            </w: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xml:space="preserve">CityPoint </w:t>
            </w:r>
            <w:r>
              <w:rPr>
                <w:rFonts w:ascii="Arial" w:cs="Arial" w:eastAsia="Arial" w:hAnsi="Arial"/>
                <w:sz w:val="7"/>
                <w:szCs w:val="7"/>
                <w:color w:val="auto"/>
              </w:rPr>
              <w:t>4</w:t>
            </w:r>
          </w:p>
        </w:tc>
        <w:tc>
          <w:tcPr>
            <w:tcW w:w="2080" w:type="dxa"/>
            <w:vAlign w:val="bottom"/>
            <w:gridSpan w:val="4"/>
          </w:tcPr>
          <w:p>
            <w:pPr>
              <w:spacing w:after="0"/>
              <w:rPr>
                <w:sz w:val="18"/>
                <w:szCs w:val="18"/>
                <w:color w:val="auto"/>
              </w:rPr>
            </w:pPr>
          </w:p>
        </w:tc>
        <w:tc>
          <w:tcPr>
            <w:tcW w:w="2660" w:type="dxa"/>
            <w:vAlign w:val="bottom"/>
            <w:gridSpan w:val="3"/>
          </w:tcPr>
          <w:p>
            <w:pPr>
              <w:jc w:val="center"/>
              <w:ind w:right="20"/>
              <w:spacing w:after="0"/>
              <w:rPr>
                <w:sz w:val="20"/>
                <w:szCs w:val="20"/>
                <w:color w:val="auto"/>
              </w:rPr>
            </w:pPr>
            <w:r>
              <w:rPr>
                <w:rFonts w:ascii="Arial" w:cs="Arial" w:eastAsia="Arial" w:hAnsi="Arial"/>
                <w:sz w:val="10"/>
                <w:szCs w:val="10"/>
                <w:color w:val="auto"/>
              </w:rPr>
              <w:t>Fund II</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200,000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26.67%</w:t>
            </w:r>
          </w:p>
        </w:tc>
        <w:tc>
          <w:tcPr>
            <w:tcW w:w="16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53,341</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4.75%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5/29/2020</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 xml:space="preserve">1964 Union Street </w:t>
            </w:r>
            <w:r>
              <w:rPr>
                <w:rFonts w:ascii="Arial" w:cs="Arial" w:eastAsia="Arial" w:hAnsi="Arial"/>
                <w:sz w:val="7"/>
                <w:szCs w:val="7"/>
                <w:color w:val="auto"/>
              </w:rPr>
              <w:t>4</w:t>
            </w:r>
          </w:p>
        </w:tc>
        <w:tc>
          <w:tcPr>
            <w:tcW w:w="2660" w:type="dxa"/>
            <w:vAlign w:val="bottom"/>
            <w:gridSpan w:val="3"/>
          </w:tcPr>
          <w:p>
            <w:pPr>
              <w:jc w:val="center"/>
              <w:ind w:right="20"/>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1,463</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20.80%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304</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3.80%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10/1/2025</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 xml:space="preserve">2207 Fillmore Street </w:t>
            </w:r>
            <w:r>
              <w:rPr>
                <w:rFonts w:ascii="Arial" w:cs="Arial" w:eastAsia="Arial" w:hAnsi="Arial"/>
                <w:sz w:val="7"/>
                <w:szCs w:val="7"/>
                <w:color w:val="auto"/>
              </w:rPr>
              <w:t>4</w:t>
            </w:r>
          </w:p>
        </w:tc>
        <w:tc>
          <w:tcPr>
            <w:tcW w:w="2660" w:type="dxa"/>
            <w:vAlign w:val="bottom"/>
            <w:gridSpan w:val="3"/>
          </w:tcPr>
          <w:p>
            <w:pPr>
              <w:jc w:val="center"/>
              <w:ind w:right="20"/>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1,120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20.80%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233</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4.50%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10/31/2025</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 xml:space="preserve">2208-2216 Fillmore Street </w:t>
            </w:r>
            <w:r>
              <w:rPr>
                <w:rFonts w:ascii="Arial" w:cs="Arial" w:eastAsia="Arial" w:hAnsi="Arial"/>
                <w:sz w:val="7"/>
                <w:szCs w:val="7"/>
                <w:color w:val="auto"/>
              </w:rPr>
              <w:t>4</w:t>
            </w:r>
          </w:p>
        </w:tc>
        <w:tc>
          <w:tcPr>
            <w:tcW w:w="2660" w:type="dxa"/>
            <w:vAlign w:val="bottom"/>
            <w:gridSpan w:val="3"/>
          </w:tcPr>
          <w:p>
            <w:pPr>
              <w:jc w:val="center"/>
              <w:ind w:right="20"/>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5,606</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20.80%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1,166</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3.40%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6/1/2026</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 xml:space="preserve">1861 Union Street </w:t>
            </w:r>
            <w:r>
              <w:rPr>
                <w:rFonts w:ascii="Arial" w:cs="Arial" w:eastAsia="Arial" w:hAnsi="Arial"/>
                <w:sz w:val="7"/>
                <w:szCs w:val="7"/>
                <w:color w:val="auto"/>
              </w:rPr>
              <w:t>4</w:t>
            </w:r>
          </w:p>
        </w:tc>
        <w:tc>
          <w:tcPr>
            <w:tcW w:w="2660" w:type="dxa"/>
            <w:vAlign w:val="bottom"/>
            <w:gridSpan w:val="3"/>
          </w:tcPr>
          <w:p>
            <w:pPr>
              <w:jc w:val="center"/>
              <w:ind w:right="20"/>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2,315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20.80%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482</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3.40%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6/1/2026</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 xml:space="preserve">CityPoint </w:t>
            </w:r>
            <w:r>
              <w:rPr>
                <w:rFonts w:ascii="Arial" w:cs="Arial" w:eastAsia="Arial" w:hAnsi="Arial"/>
                <w:sz w:val="7"/>
                <w:szCs w:val="7"/>
                <w:color w:val="auto"/>
              </w:rPr>
              <w:t>4,5</w:t>
            </w:r>
          </w:p>
        </w:tc>
        <w:tc>
          <w:tcPr>
            <w:tcW w:w="2660" w:type="dxa"/>
            <w:vAlign w:val="bottom"/>
            <w:gridSpan w:val="3"/>
          </w:tcPr>
          <w:p>
            <w:pPr>
              <w:jc w:val="center"/>
              <w:ind w:right="20"/>
              <w:spacing w:after="0"/>
              <w:rPr>
                <w:sz w:val="20"/>
                <w:szCs w:val="20"/>
                <w:color w:val="auto"/>
              </w:rPr>
            </w:pPr>
            <w:r>
              <w:rPr>
                <w:rFonts w:ascii="Arial" w:cs="Arial" w:eastAsia="Arial" w:hAnsi="Arial"/>
                <w:sz w:val="10"/>
                <w:szCs w:val="10"/>
                <w:color w:val="auto"/>
              </w:rPr>
              <w:t>Fund II</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5,262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26.67%</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1,403</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1.00%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8/23/2042</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0"/>
                <w:szCs w:val="10"/>
                <w:color w:val="auto"/>
              </w:rPr>
              <w:t xml:space="preserve">Interest rate swaps </w:t>
            </w:r>
            <w:r>
              <w:rPr>
                <w:rFonts w:ascii="Arial" w:cs="Arial" w:eastAsia="Arial" w:hAnsi="Arial"/>
                <w:sz w:val="7"/>
                <w:szCs w:val="7"/>
                <w:color w:val="auto"/>
              </w:rPr>
              <w:t>1</w:t>
            </w:r>
          </w:p>
        </w:tc>
        <w:tc>
          <w:tcPr>
            <w:tcW w:w="2660" w:type="dxa"/>
            <w:vAlign w:val="bottom"/>
            <w:gridSpan w:val="3"/>
          </w:tcPr>
          <w:p>
            <w:pPr>
              <w:jc w:val="center"/>
              <w:ind w:right="20"/>
              <w:spacing w:after="0"/>
              <w:rPr>
                <w:sz w:val="20"/>
                <w:szCs w:val="20"/>
                <w:color w:val="auto"/>
              </w:rPr>
            </w:pPr>
            <w:r>
              <w:rPr>
                <w:rFonts w:ascii="Arial" w:cs="Arial" w:eastAsia="Arial" w:hAnsi="Arial"/>
                <w:sz w:val="10"/>
                <w:szCs w:val="10"/>
                <w:color w:val="auto"/>
              </w:rPr>
              <w:t>Funds II &amp;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122,919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23.27%</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28,601</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color w:val="auto"/>
              </w:rPr>
              <w:t>3.82%</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4"/>
              </w:rPr>
              <w:t>Various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gridSpan w:val="6"/>
          </w:tcPr>
          <w:p>
            <w:pPr>
              <w:spacing w:after="0"/>
              <w:rPr>
                <w:sz w:val="20"/>
                <w:szCs w:val="20"/>
                <w:color w:val="auto"/>
              </w:rPr>
            </w:pPr>
            <w:r>
              <w:rPr>
                <w:rFonts w:ascii="Arial" w:cs="Arial" w:eastAsia="Arial" w:hAnsi="Arial"/>
                <w:sz w:val="10"/>
                <w:szCs w:val="10"/>
                <w:b w:val="1"/>
                <w:bCs w:val="1"/>
                <w:color w:val="auto"/>
              </w:rPr>
              <w:t>Sub-Total Fixed-Rate Debt</w:t>
            </w: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338,685</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85,530</w:t>
            </w:r>
          </w:p>
        </w:tc>
        <w:tc>
          <w:tcPr>
            <w:tcW w:w="1000" w:type="dxa"/>
            <w:vAlign w:val="bottom"/>
            <w:gridSpan w:val="2"/>
          </w:tcPr>
          <w:p>
            <w:pPr>
              <w:jc w:val="center"/>
              <w:ind w:left="49"/>
              <w:spacing w:after="0"/>
              <w:rPr>
                <w:sz w:val="20"/>
                <w:szCs w:val="20"/>
                <w:color w:val="auto"/>
              </w:rPr>
            </w:pPr>
            <w:r>
              <w:rPr>
                <w:rFonts w:ascii="Arial" w:cs="Arial" w:eastAsia="Arial" w:hAnsi="Arial"/>
                <w:sz w:val="10"/>
                <w:szCs w:val="10"/>
                <w:b w:val="1"/>
                <w:bCs w:val="1"/>
                <w:color w:val="auto"/>
              </w:rPr>
              <w:t>4.35%</w:t>
            </w: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22</w:t>
            </w:r>
          </w:p>
        </w:tc>
      </w:tr>
    </w:tbl>
    <w:p>
      <w:pPr>
        <w:sectPr>
          <w:pgSz w:w="11900" w:h="16838" w:orient="portrait"/>
          <w:cols w:equalWidth="0" w:num="1">
            <w:col w:w="11460"/>
          </w:cols>
          <w:pgMar w:left="220" w:top="617" w:right="219" w:bottom="1440" w:gutter="0" w:footer="0" w:header="0"/>
        </w:sectPr>
      </w:pPr>
    </w:p>
    <w:bookmarkStart w:id="34" w:name="page35"/>
    <w:bookmarkEnd w:id="34"/>
    <w:p>
      <w:pPr>
        <w:ind w:left="20"/>
        <w:spacing w:after="0"/>
        <w:rPr>
          <w:sz w:val="20"/>
          <w:szCs w:val="20"/>
          <w:color w:val="auto"/>
        </w:rPr>
      </w:pPr>
      <w:r>
        <w:rPr>
          <w:rFonts w:ascii="Arial" w:cs="Arial" w:eastAsia="Arial" w:hAnsi="Arial"/>
          <w:sz w:val="20"/>
          <w:szCs w:val="20"/>
          <w:b w:val="1"/>
          <w:bCs w:val="1"/>
          <w:color w:val="auto"/>
        </w:rPr>
        <w:t>Portfolio Debt -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7265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Arial" w:cs="Arial" w:eastAsia="Arial" w:hAnsi="Arial"/>
                <w:sz w:val="10"/>
                <w:szCs w:val="10"/>
                <w:b w:val="1"/>
                <w:bCs w:val="1"/>
                <w:color w:val="auto"/>
              </w:rPr>
              <w:t>Principal Balance at</w:t>
            </w:r>
          </w:p>
        </w:tc>
        <w:tc>
          <w:tcPr>
            <w:tcW w:w="120" w:type="dxa"/>
            <w:vAlign w:val="bottom"/>
          </w:tcPr>
          <w:p>
            <w:pPr>
              <w:spacing w:after="0"/>
              <w:rPr>
                <w:sz w:val="12"/>
                <w:szCs w:val="12"/>
                <w:color w:val="auto"/>
              </w:rPr>
            </w:pPr>
          </w:p>
        </w:tc>
        <w:tc>
          <w:tcPr>
            <w:tcW w:w="182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0"/>
                <w:szCs w:val="10"/>
                <w:b w:val="1"/>
                <w:bCs w:val="1"/>
                <w:color w:val="auto"/>
              </w:rPr>
              <w:t>Acadia's Pro-rata Share</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Interest</w:t>
            </w:r>
          </w:p>
        </w:tc>
        <w:tc>
          <w:tcPr>
            <w:tcW w:w="820" w:type="dxa"/>
            <w:vAlign w:val="bottom"/>
          </w:tcPr>
          <w:p>
            <w:pPr>
              <w:jc w:val="center"/>
              <w:ind w:left="49"/>
              <w:spacing w:after="0"/>
              <w:rPr>
                <w:sz w:val="20"/>
                <w:szCs w:val="20"/>
                <w:color w:val="auto"/>
              </w:rPr>
            </w:pPr>
            <w:r>
              <w:rPr>
                <w:rFonts w:ascii="Arial" w:cs="Arial" w:eastAsia="Arial" w:hAnsi="Arial"/>
                <w:sz w:val="10"/>
                <w:szCs w:val="10"/>
                <w:b w:val="1"/>
                <w:bCs w:val="1"/>
                <w:color w:val="auto"/>
              </w:rPr>
              <w:t>Maturity</w:t>
            </w:r>
          </w:p>
        </w:tc>
        <w:tc>
          <w:tcPr>
            <w:tcW w:w="1000" w:type="dxa"/>
            <w:vAlign w:val="bottom"/>
          </w:tcPr>
          <w:p>
            <w:pPr>
              <w:ind w:left="300"/>
              <w:spacing w:after="0"/>
              <w:rPr>
                <w:sz w:val="20"/>
                <w:szCs w:val="20"/>
                <w:color w:val="auto"/>
              </w:rPr>
            </w:pPr>
            <w:r>
              <w:rPr>
                <w:rFonts w:ascii="Arial" w:cs="Arial" w:eastAsia="Arial" w:hAnsi="Arial"/>
                <w:sz w:val="10"/>
                <w:szCs w:val="10"/>
                <w:b w:val="1"/>
                <w:bCs w:val="1"/>
                <w:color w:val="auto"/>
              </w:rPr>
              <w:t>Extension</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Property</w:t>
            </w: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29"/>
              <w:spacing w:after="0"/>
              <w:rPr>
                <w:sz w:val="20"/>
                <w:szCs w:val="20"/>
                <w:color w:val="auto"/>
              </w:rPr>
            </w:pPr>
            <w:r>
              <w:rPr>
                <w:rFonts w:ascii="Arial" w:cs="Arial" w:eastAsia="Arial" w:hAnsi="Arial"/>
                <w:sz w:val="10"/>
                <w:szCs w:val="10"/>
                <w:b w:val="1"/>
                <w:bCs w:val="1"/>
                <w:color w:val="auto"/>
              </w:rPr>
              <w:t>March 31, 2018</w:t>
            </w:r>
          </w:p>
        </w:tc>
        <w:tc>
          <w:tcPr>
            <w:tcW w:w="120" w:type="dxa"/>
            <w:vAlign w:val="bottom"/>
          </w:tcPr>
          <w:p>
            <w:pPr>
              <w:spacing w:after="0"/>
              <w:rPr>
                <w:sz w:val="17"/>
                <w:szCs w:val="17"/>
                <w:color w:val="auto"/>
              </w:rPr>
            </w:pPr>
          </w:p>
        </w:tc>
        <w:tc>
          <w:tcPr>
            <w:tcW w:w="1080" w:type="dxa"/>
            <w:vAlign w:val="bottom"/>
            <w:gridSpan w:val="2"/>
          </w:tcPr>
          <w:p>
            <w:pPr>
              <w:jc w:val="right"/>
              <w:ind w:right="389"/>
              <w:spacing w:after="0"/>
              <w:rPr>
                <w:sz w:val="20"/>
                <w:szCs w:val="20"/>
                <w:color w:val="auto"/>
              </w:rPr>
            </w:pPr>
            <w:r>
              <w:rPr>
                <w:rFonts w:ascii="Arial" w:cs="Arial" w:eastAsia="Arial" w:hAnsi="Arial"/>
                <w:sz w:val="10"/>
                <w:szCs w:val="10"/>
                <w:b w:val="1"/>
                <w:bCs w:val="1"/>
                <w:color w:val="auto"/>
              </w:rPr>
              <w:t>Percent</w:t>
            </w:r>
          </w:p>
        </w:tc>
        <w:tc>
          <w:tcPr>
            <w:tcW w:w="840" w:type="dxa"/>
            <w:vAlign w:val="bottom"/>
            <w:gridSpan w:val="2"/>
          </w:tcPr>
          <w:p>
            <w:pPr>
              <w:ind w:left="80"/>
              <w:spacing w:after="0"/>
              <w:rPr>
                <w:sz w:val="20"/>
                <w:szCs w:val="20"/>
                <w:color w:val="auto"/>
              </w:rPr>
            </w:pPr>
            <w:r>
              <w:rPr>
                <w:rFonts w:ascii="Arial" w:cs="Arial" w:eastAsia="Arial" w:hAnsi="Arial"/>
                <w:sz w:val="10"/>
                <w:szCs w:val="10"/>
                <w:b w:val="1"/>
                <w:bCs w:val="1"/>
                <w:color w:val="auto"/>
              </w:rPr>
              <w:t>Amount</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Rate</w:t>
            </w:r>
          </w:p>
        </w:tc>
        <w:tc>
          <w:tcPr>
            <w:tcW w:w="820" w:type="dxa"/>
            <w:vAlign w:val="bottom"/>
          </w:tcPr>
          <w:p>
            <w:pPr>
              <w:jc w:val="center"/>
              <w:ind w:left="49"/>
              <w:spacing w:after="0"/>
              <w:rPr>
                <w:sz w:val="20"/>
                <w:szCs w:val="20"/>
                <w:color w:val="auto"/>
              </w:rPr>
            </w:pPr>
            <w:r>
              <w:rPr>
                <w:rFonts w:ascii="Arial" w:cs="Arial" w:eastAsia="Arial" w:hAnsi="Arial"/>
                <w:sz w:val="10"/>
                <w:szCs w:val="10"/>
                <w:b w:val="1"/>
                <w:bCs w:val="1"/>
                <w:color w:val="auto"/>
              </w:rPr>
              <w:t>Date</w:t>
            </w:r>
          </w:p>
        </w:tc>
        <w:tc>
          <w:tcPr>
            <w:tcW w:w="1000" w:type="dxa"/>
            <w:vAlign w:val="bottom"/>
          </w:tcPr>
          <w:p>
            <w:pPr>
              <w:ind w:left="360"/>
              <w:spacing w:after="0"/>
              <w:rPr>
                <w:sz w:val="20"/>
                <w:szCs w:val="20"/>
                <w:color w:val="auto"/>
              </w:rPr>
            </w:pPr>
            <w:r>
              <w:rPr>
                <w:rFonts w:ascii="Arial" w:cs="Arial" w:eastAsia="Arial" w:hAnsi="Arial"/>
                <w:sz w:val="10"/>
                <w:szCs w:val="10"/>
                <w:b w:val="1"/>
                <w:bCs w:val="1"/>
                <w:color w:val="auto"/>
              </w:rPr>
              <w:t>Options</w:t>
            </w:r>
          </w:p>
        </w:tc>
        <w:tc>
          <w:tcPr>
            <w:tcW w:w="0" w:type="dxa"/>
            <w:vAlign w:val="bottom"/>
          </w:tcPr>
          <w:p>
            <w:pPr>
              <w:spacing w:after="0"/>
              <w:rPr>
                <w:sz w:val="1"/>
                <w:szCs w:val="1"/>
                <w:color w:val="auto"/>
              </w:rPr>
            </w:pPr>
          </w:p>
        </w:tc>
      </w:tr>
      <w:tr>
        <w:trPr>
          <w:trHeight w:val="184"/>
        </w:trPr>
        <w:tc>
          <w:tcPr>
            <w:tcW w:w="2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rPr>
              <w:t>Variable-Rate Debt</w:t>
            </w:r>
          </w:p>
        </w:tc>
        <w:tc>
          <w:tcPr>
            <w:tcW w:w="198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210 Bowery</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11,056</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2,556</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LIBOR+275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4/15/2018</w:t>
            </w:r>
          </w:p>
        </w:tc>
        <w:tc>
          <w:tcPr>
            <w:tcW w:w="1000" w:type="dxa"/>
            <w:vAlign w:val="bottom"/>
          </w:tcPr>
          <w:p>
            <w:pPr>
              <w:ind w:left="120"/>
              <w:spacing w:after="0"/>
              <w:rPr>
                <w:sz w:val="20"/>
                <w:szCs w:val="20"/>
                <w:color w:val="auto"/>
              </w:rPr>
            </w:pPr>
            <w:r>
              <w:rPr>
                <w:rFonts w:ascii="Arial" w:cs="Arial" w:eastAsia="Arial" w:hAnsi="Arial"/>
                <w:sz w:val="10"/>
                <w:szCs w:val="10"/>
                <w:color w:val="auto"/>
              </w:rPr>
              <w:t>1 x 3 mos.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 xml:space="preserve">Promenade at Manassas </w:t>
            </w:r>
            <w:r>
              <w:rPr>
                <w:rFonts w:ascii="Arial" w:cs="Arial" w:eastAsia="Arial" w:hAnsi="Arial"/>
                <w:sz w:val="7"/>
                <w:szCs w:val="7"/>
                <w:color w:val="auto"/>
              </w:rPr>
              <w:t>4</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24,816</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22.78%</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5,654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LIBOR+170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11/19/2018</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Acadia Strategic Opportunity IV LLC</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900" w:type="dxa"/>
            <w:vAlign w:val="bottom"/>
          </w:tcPr>
          <w:p>
            <w:pPr>
              <w:jc w:val="center"/>
              <w:spacing w:after="0"/>
              <w:rPr>
                <w:sz w:val="20"/>
                <w:szCs w:val="20"/>
                <w:color w:val="auto"/>
              </w:rPr>
            </w:pPr>
            <w:r>
              <w:rPr>
                <w:rFonts w:ascii="Arial" w:cs="Arial" w:eastAsia="Arial" w:hAnsi="Arial"/>
                <w:sz w:val="10"/>
                <w:szCs w:val="10"/>
                <w:color w:val="auto"/>
              </w:rPr>
              <w:t>LIBOR+165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12/31/2018</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230/240 W. Broughton</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10,094</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11.56%</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1,167</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LIBOR+300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5/1/2018</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Nostrand Avenue</w:t>
            </w:r>
          </w:p>
        </w:tc>
        <w:tc>
          <w:tcPr>
            <w:tcW w:w="2620" w:type="dxa"/>
            <w:vAlign w:val="bottom"/>
            <w:gridSpan w:val="3"/>
          </w:tcPr>
          <w:p>
            <w:pPr>
              <w:jc w:val="center"/>
              <w:spacing w:after="0"/>
              <w:rPr>
                <w:sz w:val="20"/>
                <w:szCs w:val="20"/>
                <w:color w:val="auto"/>
              </w:rPr>
            </w:pPr>
            <w:r>
              <w:rPr>
                <w:rFonts w:ascii="Arial" w:cs="Arial" w:eastAsia="Arial" w:hAnsi="Arial"/>
                <w:sz w:val="10"/>
                <w:szCs w:val="10"/>
                <w:color w:val="auto"/>
              </w:rPr>
              <w:t>Fund III</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10,487</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24.54%</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2,574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LIBOR+265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5/1/2018</w:t>
            </w:r>
          </w:p>
        </w:tc>
        <w:tc>
          <w:tcPr>
            <w:tcW w:w="1000" w:type="dxa"/>
            <w:vAlign w:val="bottom"/>
          </w:tcPr>
          <w:p>
            <w:pPr>
              <w:ind w:left="120"/>
              <w:spacing w:after="0"/>
              <w:rPr>
                <w:sz w:val="20"/>
                <w:szCs w:val="20"/>
                <w:color w:val="auto"/>
              </w:rPr>
            </w:pPr>
            <w:r>
              <w:rPr>
                <w:rFonts w:ascii="Arial" w:cs="Arial" w:eastAsia="Arial" w:hAnsi="Arial"/>
                <w:sz w:val="10"/>
                <w:szCs w:val="10"/>
                <w:color w:val="auto"/>
              </w:rPr>
              <w:t>2 x 12 mos.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 xml:space="preserve">Paramus Plaza </w:t>
            </w:r>
            <w:r>
              <w:rPr>
                <w:rFonts w:ascii="Arial" w:cs="Arial" w:eastAsia="Arial" w:hAnsi="Arial"/>
                <w:sz w:val="7"/>
                <w:szCs w:val="7"/>
                <w:color w:val="auto"/>
              </w:rPr>
              <w:t>4</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18,182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11.56%</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2,102</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LIBOR+170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2/20/2019</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Lake Montclair</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13,993</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3,235</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LIBOR+215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5/1/2019</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146 Geary Street</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27,700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6,404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LIBOR+340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7/14/2019</w:t>
            </w:r>
          </w:p>
        </w:tc>
        <w:tc>
          <w:tcPr>
            <w:tcW w:w="1000" w:type="dxa"/>
            <w:vAlign w:val="bottom"/>
          </w:tcPr>
          <w:p>
            <w:pPr>
              <w:ind w:left="120"/>
              <w:spacing w:after="0"/>
              <w:rPr>
                <w:sz w:val="20"/>
                <w:szCs w:val="20"/>
                <w:color w:val="auto"/>
              </w:rPr>
            </w:pPr>
            <w:r>
              <w:rPr>
                <w:rFonts w:ascii="Arial" w:cs="Arial" w:eastAsia="Arial" w:hAnsi="Arial"/>
                <w:sz w:val="10"/>
                <w:szCs w:val="10"/>
                <w:color w:val="auto"/>
              </w:rPr>
              <w:t>2 x 12 mos.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938 W. North Avenue</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14,100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3,260</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LIBOR+265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9/1/2019</w:t>
            </w:r>
          </w:p>
        </w:tc>
        <w:tc>
          <w:tcPr>
            <w:tcW w:w="1000" w:type="dxa"/>
            <w:vAlign w:val="bottom"/>
          </w:tcPr>
          <w:p>
            <w:pPr>
              <w:ind w:left="120"/>
              <w:spacing w:after="0"/>
              <w:rPr>
                <w:sz w:val="20"/>
                <w:szCs w:val="20"/>
                <w:color w:val="auto"/>
              </w:rPr>
            </w:pPr>
            <w:r>
              <w:rPr>
                <w:rFonts w:ascii="Arial" w:cs="Arial" w:eastAsia="Arial" w:hAnsi="Arial"/>
                <w:sz w:val="10"/>
                <w:szCs w:val="10"/>
                <w:color w:val="auto"/>
              </w:rPr>
              <w:t>1 x 12 mos.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Acadia Strategic Opportunity IV LLC</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40,825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9,439</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LIBOR+275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10/31/2019</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Broughton Street Portfolio</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21,688</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5,014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LIBOR+300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11/8/2019</w:t>
            </w:r>
          </w:p>
        </w:tc>
        <w:tc>
          <w:tcPr>
            <w:tcW w:w="1000" w:type="dxa"/>
            <w:vAlign w:val="bottom"/>
          </w:tcPr>
          <w:p>
            <w:pPr>
              <w:ind w:left="120"/>
              <w:spacing w:after="0"/>
              <w:rPr>
                <w:sz w:val="20"/>
                <w:szCs w:val="20"/>
                <w:color w:val="auto"/>
              </w:rPr>
            </w:pPr>
            <w:r>
              <w:rPr>
                <w:rFonts w:ascii="Arial" w:cs="Arial" w:eastAsia="Arial" w:hAnsi="Arial"/>
                <w:sz w:val="10"/>
                <w:szCs w:val="10"/>
                <w:color w:val="auto"/>
              </w:rPr>
              <w:t>1 x 12 mos.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717 N. Michigan Avenue</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66,617</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15,402</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LIBOR+395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12/9/2019</w:t>
            </w:r>
          </w:p>
        </w:tc>
        <w:tc>
          <w:tcPr>
            <w:tcW w:w="1000" w:type="dxa"/>
            <w:vAlign w:val="bottom"/>
          </w:tcPr>
          <w:p>
            <w:pPr>
              <w:ind w:left="120"/>
              <w:spacing w:after="0"/>
              <w:rPr>
                <w:sz w:val="20"/>
                <w:szCs w:val="20"/>
                <w:color w:val="auto"/>
              </w:rPr>
            </w:pPr>
            <w:r>
              <w:rPr>
                <w:rFonts w:ascii="Arial" w:cs="Arial" w:eastAsia="Arial" w:hAnsi="Arial"/>
                <w:sz w:val="10"/>
                <w:szCs w:val="10"/>
                <w:color w:val="auto"/>
              </w:rPr>
              <w:t>2 x 12 mos.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 xml:space="preserve">640 Broadway </w:t>
            </w:r>
            <w:r>
              <w:rPr>
                <w:rFonts w:ascii="Arial" w:cs="Arial" w:eastAsia="Arial" w:hAnsi="Arial"/>
                <w:sz w:val="7"/>
                <w:szCs w:val="7"/>
                <w:color w:val="auto"/>
              </w:rPr>
              <w:t>4</w:t>
            </w:r>
          </w:p>
        </w:tc>
        <w:tc>
          <w:tcPr>
            <w:tcW w:w="2620" w:type="dxa"/>
            <w:vAlign w:val="bottom"/>
            <w:gridSpan w:val="3"/>
          </w:tcPr>
          <w:p>
            <w:pPr>
              <w:jc w:val="center"/>
              <w:spacing w:after="0"/>
              <w:rPr>
                <w:sz w:val="20"/>
                <w:szCs w:val="20"/>
                <w:color w:val="auto"/>
              </w:rPr>
            </w:pPr>
            <w:r>
              <w:rPr>
                <w:rFonts w:ascii="Arial" w:cs="Arial" w:eastAsia="Arial" w:hAnsi="Arial"/>
                <w:sz w:val="10"/>
                <w:szCs w:val="10"/>
                <w:color w:val="auto"/>
              </w:rPr>
              <w:t>Fund III</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49,470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15.49%</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7,663</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LIBOR+465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1/9/2020</w:t>
            </w:r>
          </w:p>
        </w:tc>
        <w:tc>
          <w:tcPr>
            <w:tcW w:w="1000" w:type="dxa"/>
            <w:vAlign w:val="bottom"/>
          </w:tcPr>
          <w:p>
            <w:pPr>
              <w:ind w:left="120"/>
              <w:spacing w:after="0"/>
              <w:rPr>
                <w:sz w:val="20"/>
                <w:szCs w:val="20"/>
                <w:color w:val="auto"/>
              </w:rPr>
            </w:pPr>
            <w:r>
              <w:rPr>
                <w:rFonts w:ascii="Arial" w:cs="Arial" w:eastAsia="Arial" w:hAnsi="Arial"/>
                <w:sz w:val="10"/>
                <w:szCs w:val="10"/>
                <w:color w:val="auto"/>
              </w:rPr>
              <w:t>2 x 12 mos.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Wake Forest Crossing</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23,971</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5,542</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LIBOR+160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2/14/2020</w:t>
            </w:r>
          </w:p>
        </w:tc>
        <w:tc>
          <w:tcPr>
            <w:tcW w:w="1000" w:type="dxa"/>
            <w:vAlign w:val="bottom"/>
          </w:tcPr>
          <w:p>
            <w:pPr>
              <w:ind w:left="120"/>
              <w:spacing w:after="0"/>
              <w:rPr>
                <w:sz w:val="20"/>
                <w:szCs w:val="20"/>
                <w:color w:val="auto"/>
              </w:rPr>
            </w:pPr>
            <w:r>
              <w:rPr>
                <w:rFonts w:ascii="Arial" w:cs="Arial" w:eastAsia="Arial" w:hAnsi="Arial"/>
                <w:sz w:val="10"/>
                <w:szCs w:val="10"/>
                <w:color w:val="auto"/>
              </w:rPr>
              <w:t>2 x 12 mos.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Lincoln Place</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23,100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5,341</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LIBOR+185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3/13/2020</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650 Bald Hill Road</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14,671</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20.81%</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3,053</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LIBOR+265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4/27/2020</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Acadia Strategic Opportunity Fund V, LLC</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w w:val="99"/>
              </w:rPr>
              <w:t>Fund 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108,100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20.10%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21,728</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LIBOR+160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5/4/2020</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 xml:space="preserve">Eden Square </w:t>
            </w:r>
            <w:r>
              <w:rPr>
                <w:rFonts w:ascii="Arial" w:cs="Arial" w:eastAsia="Arial" w:hAnsi="Arial"/>
                <w:sz w:val="7"/>
                <w:szCs w:val="7"/>
                <w:color w:val="auto"/>
              </w:rPr>
              <w:t>4</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22,500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22.78%</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5,127</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LIBOR+215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6/1/2020</w:t>
            </w:r>
          </w:p>
        </w:tc>
        <w:tc>
          <w:tcPr>
            <w:tcW w:w="1000" w:type="dxa"/>
            <w:vAlign w:val="bottom"/>
          </w:tcPr>
          <w:p>
            <w:pPr>
              <w:ind w:left="120"/>
              <w:spacing w:after="0"/>
              <w:rPr>
                <w:sz w:val="20"/>
                <w:szCs w:val="20"/>
                <w:color w:val="auto"/>
              </w:rPr>
            </w:pPr>
            <w:r>
              <w:rPr>
                <w:rFonts w:ascii="Arial" w:cs="Arial" w:eastAsia="Arial" w:hAnsi="Arial"/>
                <w:sz w:val="10"/>
                <w:szCs w:val="10"/>
                <w:color w:val="auto"/>
              </w:rPr>
              <w:t>1 x 12 mos.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17 E. 71st Street</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19,000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4,393</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LIBOR+190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6/9/2020</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Cortlandt Crossing</w:t>
            </w:r>
          </w:p>
        </w:tc>
        <w:tc>
          <w:tcPr>
            <w:tcW w:w="2620" w:type="dxa"/>
            <w:vAlign w:val="bottom"/>
            <w:gridSpan w:val="3"/>
          </w:tcPr>
          <w:p>
            <w:pPr>
              <w:jc w:val="center"/>
              <w:spacing w:after="0"/>
              <w:rPr>
                <w:sz w:val="20"/>
                <w:szCs w:val="20"/>
                <w:color w:val="auto"/>
              </w:rPr>
            </w:pPr>
            <w:r>
              <w:rPr>
                <w:rFonts w:ascii="Arial" w:cs="Arial" w:eastAsia="Arial" w:hAnsi="Arial"/>
                <w:sz w:val="10"/>
                <w:szCs w:val="10"/>
                <w:color w:val="auto"/>
              </w:rPr>
              <w:t>Fund III</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5,986</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24.54%</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1,469</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LIBOR+300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6/19/2020</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Acadia Strategic Opportunity Fund II, LLC</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II</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31,500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28.33%</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8,924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LIBOR+165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9/20/2020</w:t>
            </w:r>
          </w:p>
        </w:tc>
        <w:tc>
          <w:tcPr>
            <w:tcW w:w="1000" w:type="dxa"/>
            <w:vAlign w:val="bottom"/>
          </w:tcPr>
          <w:p>
            <w:pPr>
              <w:ind w:left="120"/>
              <w:spacing w:after="0"/>
              <w:rPr>
                <w:sz w:val="20"/>
                <w:szCs w:val="20"/>
                <w:color w:val="auto"/>
              </w:rPr>
            </w:pPr>
            <w:r>
              <w:rPr>
                <w:rFonts w:ascii="Arial" w:cs="Arial" w:eastAsia="Arial" w:hAnsi="Arial"/>
                <w:sz w:val="10"/>
                <w:szCs w:val="10"/>
                <w:color w:val="auto"/>
              </w:rPr>
              <w:t>2 x 12 mos.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Hickory Ridge</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w w:val="99"/>
              </w:rPr>
              <w:t>Fund 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28,613</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20.10%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5,751</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LIBOR+225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10/5/2020</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Santa Fe Plaza</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w w:val="99"/>
              </w:rPr>
              <w:t>Fund 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22,893</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20.10%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4,601</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LIBOR+215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1/24/2021</w:t>
            </w:r>
          </w:p>
        </w:tc>
        <w:tc>
          <w:tcPr>
            <w:tcW w:w="1000" w:type="dxa"/>
            <w:vAlign w:val="bottom"/>
          </w:tcPr>
          <w:p>
            <w:pPr>
              <w:ind w:left="120"/>
              <w:spacing w:after="0"/>
              <w:rPr>
                <w:sz w:val="20"/>
                <w:szCs w:val="20"/>
                <w:color w:val="auto"/>
              </w:rPr>
            </w:pPr>
            <w:r>
              <w:rPr>
                <w:rFonts w:ascii="Arial" w:cs="Arial" w:eastAsia="Arial" w:hAnsi="Arial"/>
                <w:sz w:val="10"/>
                <w:szCs w:val="10"/>
                <w:color w:val="auto"/>
              </w:rPr>
              <w:t>2 x 12 mos.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1035 Third Avenue</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41,272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9,542</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LIBOR+235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1/27/2021</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New Towne Center</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w w:val="99"/>
              </w:rPr>
              <w:t>Fund 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16,900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20.10%</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3,397</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LIBOR+220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2/1/2021</w:t>
            </w:r>
          </w:p>
        </w:tc>
        <w:tc>
          <w:tcPr>
            <w:tcW w:w="1000" w:type="dxa"/>
            <w:vAlign w:val="bottom"/>
          </w:tcPr>
          <w:p>
            <w:pPr>
              <w:ind w:left="120"/>
              <w:spacing w:after="0"/>
              <w:rPr>
                <w:sz w:val="20"/>
                <w:szCs w:val="20"/>
                <w:color w:val="auto"/>
              </w:rPr>
            </w:pPr>
            <w:r>
              <w:rPr>
                <w:rFonts w:ascii="Arial" w:cs="Arial" w:eastAsia="Arial" w:hAnsi="Arial"/>
                <w:sz w:val="10"/>
                <w:szCs w:val="10"/>
                <w:color w:val="auto"/>
              </w:rPr>
              <w:t>2 x 12 mos.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Restaurants at Fort Point</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6,369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1,473</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LIBOR+235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8/25/2021</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 xml:space="preserve">CityPoint </w:t>
            </w:r>
            <w:r>
              <w:rPr>
                <w:rFonts w:ascii="Arial" w:cs="Arial" w:eastAsia="Arial" w:hAnsi="Arial"/>
                <w:sz w:val="7"/>
                <w:szCs w:val="7"/>
                <w:color w:val="auto"/>
              </w:rPr>
              <w:t>4</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II</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19,503</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26.67%</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5,201</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Prime+139</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11/1/2021</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 xml:space="preserve">3104 M Street </w:t>
            </w:r>
            <w:r>
              <w:rPr>
                <w:rFonts w:ascii="Arial" w:cs="Arial" w:eastAsia="Arial" w:hAnsi="Arial"/>
                <w:sz w:val="7"/>
                <w:szCs w:val="7"/>
                <w:color w:val="auto"/>
              </w:rPr>
              <w:t>4,6</w:t>
            </w:r>
          </w:p>
        </w:tc>
        <w:tc>
          <w:tcPr>
            <w:tcW w:w="2620" w:type="dxa"/>
            <w:vAlign w:val="bottom"/>
            <w:gridSpan w:val="3"/>
          </w:tcPr>
          <w:p>
            <w:pPr>
              <w:jc w:val="center"/>
              <w:spacing w:after="0"/>
              <w:rPr>
                <w:sz w:val="20"/>
                <w:szCs w:val="20"/>
                <w:color w:val="auto"/>
              </w:rPr>
            </w:pPr>
            <w:r>
              <w:rPr>
                <w:rFonts w:ascii="Arial" w:cs="Arial" w:eastAsia="Arial" w:hAnsi="Arial"/>
                <w:sz w:val="10"/>
                <w:szCs w:val="10"/>
                <w:color w:val="auto"/>
              </w:rPr>
              <w:t>Fund III</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4,401</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19.63%</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864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Prime+50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12/10/2021</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Airport Mall</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5,578</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1,290</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LIBOR+200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4/1/2022</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Colonie Plaza</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11,890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2,749</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LIBOR+225</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4/1/2022</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Dauphin Plaza</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10,207</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2,360</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LIBOR+200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4/1/2022</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JFK Plaza</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4,462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1,032</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LIBOR+200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4/1/2022</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Shaw's Plaza</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7,986</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1,846</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LIBOR+200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4/1/2022</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Wells Plaza</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3,347</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774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LIBOR+200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rPr>
              <w:t>4/1/2022</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Shaw's Plaza (Windham)</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 IV</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5,953</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23.12%</w:t>
            </w:r>
          </w:p>
        </w:tc>
        <w:tc>
          <w:tcPr>
            <w:tcW w:w="160" w:type="dxa"/>
            <w:vAlign w:val="bottom"/>
          </w:tcPr>
          <w:p>
            <w:pPr>
              <w:spacing w:after="0"/>
              <w:rPr>
                <w:sz w:val="19"/>
                <w:szCs w:val="19"/>
                <w:color w:val="auto"/>
              </w:rPr>
            </w:pPr>
          </w:p>
        </w:tc>
        <w:tc>
          <w:tcPr>
            <w:tcW w:w="740" w:type="dxa"/>
            <w:vAlign w:val="bottom"/>
          </w:tcPr>
          <w:p>
            <w:pPr>
              <w:jc w:val="right"/>
              <w:ind w:right="69"/>
              <w:spacing w:after="0"/>
              <w:rPr>
                <w:sz w:val="20"/>
                <w:szCs w:val="20"/>
                <w:color w:val="auto"/>
              </w:rPr>
            </w:pPr>
            <w:r>
              <w:rPr>
                <w:rFonts w:ascii="Arial" w:cs="Arial" w:eastAsia="Arial" w:hAnsi="Arial"/>
                <w:sz w:val="10"/>
                <w:szCs w:val="10"/>
                <w:color w:val="auto"/>
              </w:rPr>
              <w:t>1,376</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LIBOR+200</w:t>
            </w:r>
          </w:p>
        </w:tc>
        <w:tc>
          <w:tcPr>
            <w:tcW w:w="820" w:type="dxa"/>
            <w:vAlign w:val="bottom"/>
          </w:tcPr>
          <w:p>
            <w:pPr>
              <w:jc w:val="center"/>
              <w:ind w:left="49"/>
              <w:spacing w:after="0"/>
              <w:rPr>
                <w:sz w:val="20"/>
                <w:szCs w:val="20"/>
                <w:color w:val="auto"/>
              </w:rPr>
            </w:pPr>
            <w:r>
              <w:rPr>
                <w:rFonts w:ascii="Arial" w:cs="Arial" w:eastAsia="Arial" w:hAnsi="Arial"/>
                <w:sz w:val="10"/>
                <w:szCs w:val="10"/>
                <w:color w:val="auto"/>
                <w:w w:val="98"/>
              </w:rPr>
              <w:t>12/1/2022</w:t>
            </w:r>
          </w:p>
        </w:tc>
        <w:tc>
          <w:tcPr>
            <w:tcW w:w="1000" w:type="dxa"/>
            <w:vAlign w:val="bottom"/>
          </w:tcPr>
          <w:p>
            <w:pPr>
              <w:ind w:left="120"/>
              <w:spacing w:after="0"/>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0"/>
                <w:szCs w:val="10"/>
                <w:color w:val="auto"/>
              </w:rPr>
              <w:t xml:space="preserve">Interest rate swaps </w:t>
            </w:r>
            <w:r>
              <w:rPr>
                <w:rFonts w:ascii="Arial" w:cs="Arial" w:eastAsia="Arial" w:hAnsi="Arial"/>
                <w:sz w:val="7"/>
                <w:szCs w:val="7"/>
                <w:color w:val="auto"/>
              </w:rPr>
              <w:t>1</w:t>
            </w:r>
          </w:p>
        </w:tc>
        <w:tc>
          <w:tcPr>
            <w:tcW w:w="2620" w:type="dxa"/>
            <w:vAlign w:val="bottom"/>
            <w:gridSpan w:val="3"/>
          </w:tcPr>
          <w:p>
            <w:pPr>
              <w:jc w:val="center"/>
              <w:ind w:right="9"/>
              <w:spacing w:after="0"/>
              <w:rPr>
                <w:sz w:val="20"/>
                <w:szCs w:val="20"/>
                <w:color w:val="auto"/>
              </w:rPr>
            </w:pPr>
            <w:r>
              <w:rPr>
                <w:rFonts w:ascii="Arial" w:cs="Arial" w:eastAsia="Arial" w:hAnsi="Arial"/>
                <w:sz w:val="10"/>
                <w:szCs w:val="10"/>
                <w:color w:val="auto"/>
              </w:rPr>
              <w:t>Funds II &amp; IV</w:t>
            </w:r>
          </w:p>
        </w:tc>
        <w:tc>
          <w:tcPr>
            <w:tcW w:w="1160" w:type="dxa"/>
            <w:vAlign w:val="bottom"/>
          </w:tcPr>
          <w:p>
            <w:pPr>
              <w:jc w:val="right"/>
              <w:ind w:right="49"/>
              <w:spacing w:after="0"/>
              <w:rPr>
                <w:sz w:val="20"/>
                <w:szCs w:val="20"/>
                <w:color w:val="auto"/>
              </w:rPr>
            </w:pPr>
            <w:r>
              <w:rPr>
                <w:rFonts w:ascii="Arial" w:cs="Arial" w:eastAsia="Arial" w:hAnsi="Arial"/>
                <w:sz w:val="10"/>
                <w:szCs w:val="10"/>
                <w:color w:val="auto"/>
              </w:rPr>
              <w:t>(122,919)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23.27%</w:t>
            </w:r>
          </w:p>
        </w:tc>
        <w:tc>
          <w:tcPr>
            <w:tcW w:w="160" w:type="dxa"/>
            <w:vAlign w:val="bottom"/>
          </w:tcPr>
          <w:p>
            <w:pPr>
              <w:spacing w:after="0"/>
              <w:rPr>
                <w:sz w:val="19"/>
                <w:szCs w:val="19"/>
                <w:color w:val="auto"/>
              </w:rPr>
            </w:pPr>
          </w:p>
        </w:tc>
        <w:tc>
          <w:tcPr>
            <w:tcW w:w="740" w:type="dxa"/>
            <w:vAlign w:val="bottom"/>
          </w:tcPr>
          <w:p>
            <w:pPr>
              <w:jc w:val="right"/>
              <w:ind w:right="29"/>
              <w:spacing w:after="0"/>
              <w:rPr>
                <w:sz w:val="20"/>
                <w:szCs w:val="20"/>
                <w:color w:val="auto"/>
              </w:rPr>
            </w:pPr>
            <w:r>
              <w:rPr>
                <w:rFonts w:ascii="Arial" w:cs="Arial" w:eastAsia="Arial" w:hAnsi="Arial"/>
                <w:sz w:val="10"/>
                <w:szCs w:val="10"/>
                <w:color w:val="auto"/>
              </w:rPr>
              <w:t>(28,601)</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0"/>
                <w:szCs w:val="10"/>
                <w:color w:val="auto"/>
              </w:rPr>
              <w:t>LIBOR+215</w:t>
            </w: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Sub-Total Variable-Rate Debt</w:t>
            </w: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624,311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133,702</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b w:val="1"/>
                <w:bCs w:val="1"/>
                <w:color w:val="auto"/>
              </w:rPr>
              <w:t>LIBOR+246</w:t>
            </w: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Total Debt - Funds</w:t>
            </w:r>
          </w:p>
        </w:tc>
        <w:tc>
          <w:tcPr>
            <w:tcW w:w="250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962,996</w:t>
            </w:r>
          </w:p>
        </w:tc>
        <w:tc>
          <w:tcPr>
            <w:tcW w:w="1040" w:type="dxa"/>
            <w:vAlign w:val="bottom"/>
            <w:gridSpan w:val="2"/>
          </w:tcPr>
          <w:p>
            <w:pPr>
              <w:spacing w:after="0"/>
              <w:rPr>
                <w:sz w:val="17"/>
                <w:szCs w:val="17"/>
                <w:color w:val="auto"/>
              </w:rPr>
            </w:pPr>
          </w:p>
        </w:tc>
        <w:tc>
          <w:tcPr>
            <w:tcW w:w="16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219,232</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4.22%</w:t>
            </w: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Total Debt - Core Portfolio and Funds</w:t>
            </w:r>
          </w:p>
        </w:tc>
        <w:tc>
          <w:tcPr>
            <w:tcW w:w="2620" w:type="dxa"/>
            <w:vAlign w:val="bottom"/>
            <w:gridSpan w:val="3"/>
          </w:tcPr>
          <w:p>
            <w:pPr>
              <w:jc w:val="right"/>
              <w:spacing w:after="0"/>
              <w:rPr>
                <w:sz w:val="20"/>
                <w:szCs w:val="20"/>
                <w:color w:val="auto"/>
              </w:rPr>
            </w:pPr>
            <w:r>
              <w:rPr>
                <w:rFonts w:ascii="Arial" w:cs="Arial" w:eastAsia="Arial" w:hAnsi="Arial"/>
                <w:sz w:val="10"/>
                <w:szCs w:val="10"/>
                <w:b w:val="1"/>
                <w:bCs w:val="1"/>
                <w:color w:val="auto"/>
              </w:rPr>
              <w:t>$</w:t>
            </w:r>
          </w:p>
        </w:tc>
        <w:tc>
          <w:tcPr>
            <w:tcW w:w="1160" w:type="dxa"/>
            <w:vAlign w:val="bottom"/>
          </w:tcPr>
          <w:p>
            <w:pPr>
              <w:jc w:val="right"/>
              <w:ind w:right="69"/>
              <w:spacing w:after="0"/>
              <w:rPr>
                <w:sz w:val="20"/>
                <w:szCs w:val="20"/>
                <w:color w:val="auto"/>
              </w:rPr>
            </w:pPr>
            <w:r>
              <w:rPr>
                <w:rFonts w:ascii="Arial" w:cs="Arial" w:eastAsia="Arial" w:hAnsi="Arial"/>
                <w:sz w:val="10"/>
                <w:szCs w:val="10"/>
                <w:b w:val="1"/>
                <w:bCs w:val="1"/>
                <w:color w:val="auto"/>
              </w:rPr>
              <w:t>1,877,525</w:t>
            </w:r>
          </w:p>
        </w:tc>
        <w:tc>
          <w:tcPr>
            <w:tcW w:w="1200" w:type="dxa"/>
            <w:vAlign w:val="bottom"/>
            <w:gridSpan w:val="3"/>
          </w:tcPr>
          <w:p>
            <w:pPr>
              <w:jc w:val="right"/>
              <w:ind w:right="29"/>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69"/>
              <w:spacing w:after="0"/>
              <w:rPr>
                <w:sz w:val="20"/>
                <w:szCs w:val="20"/>
                <w:color w:val="auto"/>
              </w:rPr>
            </w:pPr>
            <w:r>
              <w:rPr>
                <w:rFonts w:ascii="Arial" w:cs="Arial" w:eastAsia="Arial" w:hAnsi="Arial"/>
                <w:sz w:val="10"/>
                <w:szCs w:val="10"/>
                <w:b w:val="1"/>
                <w:bCs w:val="1"/>
                <w:color w:val="auto"/>
              </w:rPr>
              <w:t>916,950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3.76%</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gridSpan w:val="2"/>
            <w:vMerge w:val="restart"/>
          </w:tcPr>
          <w:p>
            <w:pPr>
              <w:jc w:val="right"/>
              <w:ind w:right="309"/>
              <w:spacing w:after="0"/>
              <w:rPr>
                <w:sz w:val="20"/>
                <w:szCs w:val="20"/>
                <w:color w:val="auto"/>
              </w:rPr>
            </w:pPr>
            <w:r>
              <w:rPr>
                <w:rFonts w:ascii="Arial" w:cs="Arial" w:eastAsia="Arial" w:hAnsi="Arial"/>
                <w:sz w:val="12"/>
                <w:szCs w:val="12"/>
                <w:color w:val="auto"/>
                <w:w w:val="83"/>
              </w:rPr>
              <w:t>__________</w:t>
            </w:r>
          </w:p>
        </w:tc>
        <w:tc>
          <w:tcPr>
            <w:tcW w:w="198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40" w:type="dxa"/>
            <w:vAlign w:val="bottom"/>
            <w:gridSpan w:val="2"/>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40" w:hanging="270"/>
        <w:spacing w:after="0"/>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Company has hedged a portion of its variable-rate debt with variable to fixed-rate swap agreements.</w:t>
      </w:r>
    </w:p>
    <w:p>
      <w:pPr>
        <w:ind w:left="540" w:hanging="270"/>
        <w:spacing w:after="0" w:line="228" w:lineRule="auto"/>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This loan is in default as of March 31, 2018 and is accruing interest for accounting purposes at the default rate of 11%.</w:t>
      </w:r>
    </w:p>
    <w:p>
      <w:pPr>
        <w:ind w:left="540" w:right="40" w:hanging="270"/>
        <w:spacing w:after="0" w:line="228" w:lineRule="auto"/>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This is an unsecured revolving facility which has a current capacity up to $150,000 and can be increased to $300,000. The interest rate will vary based on levels of leverage. As of March 31, 2018, the interest rate is LIBOR+135 basis points.</w:t>
      </w:r>
    </w:p>
    <w:p>
      <w:pPr>
        <w:ind w:left="540" w:hanging="270"/>
        <w:spacing w:after="0" w:line="228" w:lineRule="auto"/>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Acadia's interest in this Fund debt is also reflected net of other JV interests at the investment level.</w:t>
      </w:r>
    </w:p>
    <w:p>
      <w:pPr>
        <w:ind w:left="540" w:hanging="270"/>
        <w:spacing w:after="0" w:line="228" w:lineRule="auto"/>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This loan was made in connection with the New Markets Tax Credit and contains a borrower option to purchase the loan for one dollar at the end of the term.</w:t>
      </w:r>
    </w:p>
    <w:p>
      <w:pPr>
        <w:ind w:left="540" w:hanging="270"/>
        <w:spacing w:after="0"/>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Bears interest at the greater of 4% or the Prime Rate plus 50 basis points.</w:t>
      </w:r>
    </w:p>
    <w:p>
      <w:pPr>
        <w:spacing w:after="0" w:line="200" w:lineRule="exact"/>
        <w:rPr>
          <w:sz w:val="20"/>
          <w:szCs w:val="20"/>
          <w:color w:val="auto"/>
        </w:rPr>
      </w:pP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23</w:t>
            </w:r>
          </w:p>
        </w:tc>
      </w:tr>
    </w:tbl>
    <w:p>
      <w:pPr>
        <w:sectPr>
          <w:pgSz w:w="11900" w:h="16838" w:orient="portrait"/>
          <w:cols w:equalWidth="0" w:num="1">
            <w:col w:w="11460"/>
          </w:cols>
          <w:pgMar w:left="220" w:top="617" w:right="219" w:bottom="1440" w:gutter="0" w:footer="0" w:header="0"/>
        </w:sectPr>
      </w:pPr>
    </w:p>
    <w:bookmarkStart w:id="35" w:name="page36"/>
    <w:bookmarkEnd w:id="35"/>
    <w:p>
      <w:pPr>
        <w:ind w:left="280"/>
        <w:spacing w:after="0"/>
        <w:rPr>
          <w:sz w:val="20"/>
          <w:szCs w:val="20"/>
          <w:color w:val="auto"/>
        </w:rPr>
      </w:pPr>
      <w:r>
        <w:rPr>
          <w:rFonts w:ascii="Arial" w:cs="Arial" w:eastAsia="Arial" w:hAnsi="Arial"/>
          <w:sz w:val="20"/>
          <w:szCs w:val="20"/>
          <w:b w:val="1"/>
          <w:bCs w:val="1"/>
          <w:color w:val="auto"/>
        </w:rPr>
        <w:t xml:space="preserve">Future Debt Maturities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14605</wp:posOffset>
            </wp:positionV>
            <wp:extent cx="696023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235" cy="6985"/>
                    </a:xfrm>
                    <a:prstGeom prst="rect">
                      <a:avLst/>
                    </a:prstGeom>
                    <a:noFill/>
                  </pic:spPr>
                </pic:pic>
              </a:graphicData>
            </a:graphic>
          </wp:anchor>
        </w:drawing>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thousands)</w:t>
      </w:r>
    </w:p>
    <w:p>
      <w:pPr>
        <w:spacing w:after="0" w:line="279"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Core Portfolio</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gridSpan w:val="6"/>
            <w:vMerge w:val="restart"/>
          </w:tcPr>
          <w:p>
            <w:pPr>
              <w:jc w:val="center"/>
              <w:ind w:left="567"/>
              <w:spacing w:after="0"/>
              <w:rPr>
                <w:sz w:val="20"/>
                <w:szCs w:val="20"/>
                <w:color w:val="auto"/>
              </w:rPr>
            </w:pPr>
            <w:r>
              <w:rPr>
                <w:rFonts w:ascii="Arial" w:cs="Arial" w:eastAsia="Arial" w:hAnsi="Arial"/>
                <w:sz w:val="15"/>
                <w:szCs w:val="15"/>
                <w:b w:val="1"/>
                <w:bCs w:val="1"/>
                <w:color w:val="auto"/>
                <w:w w:val="97"/>
              </w:rPr>
              <w:t>Total Debt Maturities</w:t>
            </w: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9BDA44"/>
            </w:tcBorders>
          </w:tcPr>
          <w:p>
            <w:pPr>
              <w:spacing w:after="0"/>
              <w:rPr>
                <w:sz w:val="2"/>
                <w:szCs w:val="2"/>
                <w:color w:val="auto"/>
              </w:rPr>
            </w:pPr>
          </w:p>
        </w:tc>
        <w:tc>
          <w:tcPr>
            <w:tcW w:w="860" w:type="dxa"/>
            <w:vAlign w:val="bottom"/>
            <w:tcBorders>
              <w:bottom w:val="single" w:sz="8" w:color="9BDA44"/>
            </w:tcBorders>
          </w:tcPr>
          <w:p>
            <w:pPr>
              <w:spacing w:after="0"/>
              <w:rPr>
                <w:sz w:val="2"/>
                <w:szCs w:val="2"/>
                <w:color w:val="auto"/>
              </w:rPr>
            </w:pPr>
          </w:p>
        </w:tc>
        <w:tc>
          <w:tcPr>
            <w:tcW w:w="120" w:type="dxa"/>
            <w:vAlign w:val="bottom"/>
            <w:tcBorders>
              <w:bottom w:val="single" w:sz="8" w:color="9BDA44"/>
            </w:tcBorders>
          </w:tcPr>
          <w:p>
            <w:pPr>
              <w:spacing w:after="0"/>
              <w:rPr>
                <w:sz w:val="2"/>
                <w:szCs w:val="2"/>
                <w:color w:val="auto"/>
              </w:rPr>
            </w:pPr>
          </w:p>
        </w:tc>
        <w:tc>
          <w:tcPr>
            <w:tcW w:w="120" w:type="dxa"/>
            <w:vAlign w:val="bottom"/>
            <w:tcBorders>
              <w:bottom w:val="single" w:sz="8" w:color="9BDA44"/>
            </w:tcBorders>
          </w:tcPr>
          <w:p>
            <w:pPr>
              <w:spacing w:after="0"/>
              <w:rPr>
                <w:sz w:val="2"/>
                <w:szCs w:val="2"/>
                <w:color w:val="auto"/>
              </w:rPr>
            </w:pPr>
          </w:p>
        </w:tc>
        <w:tc>
          <w:tcPr>
            <w:tcW w:w="860" w:type="dxa"/>
            <w:vAlign w:val="bottom"/>
            <w:tcBorders>
              <w:bottom w:val="single" w:sz="8" w:color="9BDA44"/>
            </w:tcBorders>
          </w:tcPr>
          <w:p>
            <w:pPr>
              <w:spacing w:after="0"/>
              <w:rPr>
                <w:sz w:val="2"/>
                <w:szCs w:val="2"/>
                <w:color w:val="auto"/>
              </w:rPr>
            </w:pPr>
          </w:p>
        </w:tc>
        <w:tc>
          <w:tcPr>
            <w:tcW w:w="100" w:type="dxa"/>
            <w:vAlign w:val="bottom"/>
            <w:tcBorders>
              <w:bottom w:val="single" w:sz="8" w:color="9BDA44"/>
            </w:tcBorders>
          </w:tcPr>
          <w:p>
            <w:pPr>
              <w:spacing w:after="0"/>
              <w:rPr>
                <w:sz w:val="2"/>
                <w:szCs w:val="2"/>
                <w:color w:val="auto"/>
              </w:rPr>
            </w:pPr>
          </w:p>
        </w:tc>
        <w:tc>
          <w:tcPr>
            <w:tcW w:w="280" w:type="dxa"/>
            <w:vAlign w:val="bottom"/>
            <w:tcBorders>
              <w:bottom w:val="single" w:sz="8" w:color="9BDA44"/>
            </w:tcBorders>
          </w:tcPr>
          <w:p>
            <w:pPr>
              <w:spacing w:after="0"/>
              <w:rPr>
                <w:sz w:val="2"/>
                <w:szCs w:val="2"/>
                <w:color w:val="auto"/>
              </w:rPr>
            </w:pPr>
          </w:p>
        </w:tc>
        <w:tc>
          <w:tcPr>
            <w:tcW w:w="740" w:type="dxa"/>
            <w:vAlign w:val="bottom"/>
            <w:tcBorders>
              <w:bottom w:val="single" w:sz="8" w:color="9BDA44"/>
            </w:tcBorders>
          </w:tcPr>
          <w:p>
            <w:pPr>
              <w:spacing w:after="0"/>
              <w:rPr>
                <w:sz w:val="2"/>
                <w:szCs w:val="2"/>
                <w:color w:val="auto"/>
              </w:rPr>
            </w:pPr>
          </w:p>
        </w:tc>
        <w:tc>
          <w:tcPr>
            <w:tcW w:w="80" w:type="dxa"/>
            <w:vAlign w:val="bottom"/>
          </w:tcPr>
          <w:p>
            <w:pPr>
              <w:spacing w:after="0"/>
              <w:rPr>
                <w:sz w:val="2"/>
                <w:szCs w:val="2"/>
                <w:color w:val="auto"/>
              </w:rPr>
            </w:pPr>
          </w:p>
        </w:tc>
        <w:tc>
          <w:tcPr>
            <w:tcW w:w="3260" w:type="dxa"/>
            <w:vAlign w:val="bottom"/>
            <w:gridSpan w:val="5"/>
            <w:vMerge w:val="restart"/>
          </w:tcPr>
          <w:p>
            <w:pPr>
              <w:ind w:left="540"/>
              <w:spacing w:after="0"/>
              <w:rPr>
                <w:sz w:val="20"/>
                <w:szCs w:val="20"/>
                <w:color w:val="auto"/>
              </w:rPr>
            </w:pPr>
            <w:r>
              <w:rPr>
                <w:rFonts w:ascii="Arial" w:cs="Arial" w:eastAsia="Arial" w:hAnsi="Arial"/>
                <w:sz w:val="15"/>
                <w:szCs w:val="15"/>
                <w:b w:val="1"/>
                <w:bCs w:val="1"/>
                <w:color w:val="auto"/>
              </w:rPr>
              <w:t>Weighted Average Interest Rate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right w:val="single" w:sz="8" w:color="9BDA4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center"/>
              <w:ind w:left="527"/>
              <w:spacing w:after="0"/>
              <w:rPr>
                <w:sz w:val="20"/>
                <w:szCs w:val="20"/>
                <w:color w:val="auto"/>
              </w:rPr>
            </w:pPr>
            <w:r>
              <w:rPr>
                <w:rFonts w:ascii="Arial" w:cs="Arial" w:eastAsia="Arial" w:hAnsi="Arial"/>
                <w:sz w:val="15"/>
                <w:szCs w:val="15"/>
                <w:b w:val="1"/>
                <w:bCs w:val="1"/>
                <w:color w:val="auto"/>
                <w:w w:val="96"/>
              </w:rPr>
              <w:t>Acadia's Pro-rata Share</w:t>
            </w:r>
          </w:p>
        </w:tc>
        <w:tc>
          <w:tcPr>
            <w:tcW w:w="740" w:type="dxa"/>
            <w:vAlign w:val="bottom"/>
            <w:tcBorders>
              <w:bottom w:val="single" w:sz="8" w:color="auto"/>
              <w:right w:val="single" w:sz="8" w:color="9BDA44"/>
            </w:tcBorders>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color w:val="auto"/>
                <w:w w:val="95"/>
              </w:rPr>
              <w:t>Scheduled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9BDA44"/>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5"/>
                <w:szCs w:val="15"/>
                <w:color w:val="auto"/>
                <w:w w:val="98"/>
              </w:rPr>
              <w:t>Scheduled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right w:val="single" w:sz="8" w:color="9BDA44"/>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Fixed-Rate</w:t>
            </w:r>
          </w:p>
        </w:tc>
        <w:tc>
          <w:tcPr>
            <w:tcW w:w="1020" w:type="dxa"/>
            <w:vAlign w:val="bottom"/>
            <w:vMerge w:val="restart"/>
          </w:tcPr>
          <w:p>
            <w:pPr>
              <w:jc w:val="center"/>
              <w:spacing w:after="0"/>
              <w:rPr>
                <w:sz w:val="20"/>
                <w:szCs w:val="20"/>
                <w:color w:val="auto"/>
              </w:rPr>
            </w:pPr>
            <w:r>
              <w:rPr>
                <w:rFonts w:ascii="Arial" w:cs="Arial" w:eastAsia="Arial" w:hAnsi="Arial"/>
                <w:sz w:val="15"/>
                <w:szCs w:val="15"/>
                <w:color w:val="auto"/>
                <w:w w:val="95"/>
              </w:rPr>
              <w:t>Variable-Rate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Borders>
              <w:right w:val="single" w:sz="8" w:color="9BDA44"/>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Borders>
              <w:right w:val="single" w:sz="8" w:color="9BDA44"/>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Year</w:t>
            </w:r>
          </w:p>
        </w:tc>
        <w:tc>
          <w:tcPr>
            <w:tcW w:w="12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5"/>
              </w:rPr>
              <w:t>Amortization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7"/>
              <w:spacing w:after="0"/>
              <w:rPr>
                <w:sz w:val="20"/>
                <w:szCs w:val="20"/>
                <w:color w:val="auto"/>
              </w:rPr>
            </w:pPr>
            <w:r>
              <w:rPr>
                <w:rFonts w:ascii="Arial" w:cs="Arial" w:eastAsia="Arial" w:hAnsi="Arial"/>
                <w:sz w:val="15"/>
                <w:szCs w:val="15"/>
                <w:color w:val="auto"/>
                <w:w w:val="95"/>
              </w:rPr>
              <w:t>Maturities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rPr>
              <w:t>Total</w:t>
            </w:r>
          </w:p>
        </w:tc>
        <w:tc>
          <w:tcPr>
            <w:tcW w:w="140" w:type="dxa"/>
            <w:vAlign w:val="bottom"/>
            <w:tcBorders>
              <w:right w:val="single" w:sz="8" w:color="9BDA44"/>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8"/>
              </w:rPr>
              <w:t>Amortization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7"/>
              <w:spacing w:after="0"/>
              <w:rPr>
                <w:sz w:val="20"/>
                <w:szCs w:val="20"/>
                <w:color w:val="auto"/>
              </w:rPr>
            </w:pPr>
            <w:r>
              <w:rPr>
                <w:rFonts w:ascii="Arial" w:cs="Arial" w:eastAsia="Arial" w:hAnsi="Arial"/>
                <w:sz w:val="15"/>
                <w:szCs w:val="15"/>
                <w:color w:val="auto"/>
                <w:w w:val="98"/>
              </w:rPr>
              <w:t>Maturities</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9BDA44"/>
            </w:tcBorders>
          </w:tcPr>
          <w:p>
            <w:pPr>
              <w:jc w:val="right"/>
              <w:ind w:right="307"/>
              <w:spacing w:after="0"/>
              <w:rPr>
                <w:sz w:val="20"/>
                <w:szCs w:val="20"/>
                <w:color w:val="auto"/>
              </w:rPr>
            </w:pPr>
            <w:r>
              <w:rPr>
                <w:rFonts w:ascii="Arial" w:cs="Arial" w:eastAsia="Arial" w:hAnsi="Arial"/>
                <w:sz w:val="15"/>
                <w:szCs w:val="15"/>
                <w:color w:val="auto"/>
              </w:rPr>
              <w:t>Total</w:t>
            </w:r>
          </w:p>
        </w:tc>
        <w:tc>
          <w:tcPr>
            <w:tcW w:w="80" w:type="dxa"/>
            <w:vAlign w:val="bottom"/>
          </w:tcPr>
          <w:p>
            <w:pPr>
              <w:spacing w:after="0"/>
              <w:rPr>
                <w:sz w:val="15"/>
                <w:szCs w:val="15"/>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Total Debt</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rPr>
              <w:t>Debt</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Debt</w:t>
            </w:r>
          </w:p>
        </w:tc>
        <w:tc>
          <w:tcPr>
            <w:tcW w:w="0" w:type="dxa"/>
            <w:vAlign w:val="bottom"/>
          </w:tcPr>
          <w:p>
            <w:pPr>
              <w:spacing w:after="0"/>
              <w:rPr>
                <w:sz w:val="1"/>
                <w:szCs w:val="1"/>
                <w:color w:val="auto"/>
              </w:rPr>
            </w:pPr>
          </w:p>
        </w:tc>
      </w:tr>
      <w:tr>
        <w:trPr>
          <w:trHeight w:val="465"/>
        </w:trPr>
        <w:tc>
          <w:tcPr>
            <w:tcW w:w="460" w:type="dxa"/>
            <w:vAlign w:val="bottom"/>
            <w:gridSpan w:val="2"/>
          </w:tcPr>
          <w:p>
            <w:pPr>
              <w:ind w:left="20"/>
              <w:spacing w:after="0"/>
              <w:rPr>
                <w:sz w:val="20"/>
                <w:szCs w:val="20"/>
                <w:color w:val="auto"/>
              </w:rPr>
            </w:pPr>
            <w:r>
              <w:rPr>
                <w:rFonts w:ascii="Arial" w:cs="Arial" w:eastAsia="Arial" w:hAnsi="Arial"/>
                <w:sz w:val="15"/>
                <w:szCs w:val="15"/>
                <w:color w:val="auto"/>
              </w:rPr>
              <w:t>2018</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3,436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26,250</w:t>
            </w:r>
          </w:p>
        </w:tc>
        <w:tc>
          <w:tcPr>
            <w:tcW w:w="120" w:type="dxa"/>
            <w:vAlign w:val="bottom"/>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29,686</w:t>
            </w:r>
          </w:p>
        </w:tc>
        <w:tc>
          <w:tcPr>
            <w:tcW w:w="140" w:type="dxa"/>
            <w:vAlign w:val="bottom"/>
            <w:tcBorders>
              <w:right w:val="single" w:sz="8" w:color="9BDA44"/>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2,659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5,833</w:t>
            </w:r>
          </w:p>
        </w:tc>
        <w:tc>
          <w:tcPr>
            <w:tcW w:w="100" w:type="dxa"/>
            <w:vAlign w:val="bottom"/>
          </w:tcPr>
          <w:p>
            <w:pPr>
              <w:spacing w:after="0"/>
              <w:rPr>
                <w:sz w:val="24"/>
                <w:szCs w:val="24"/>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740" w:type="dxa"/>
            <w:vAlign w:val="bottom"/>
            <w:tcBorders>
              <w:right w:val="single" w:sz="8" w:color="9BDA44"/>
            </w:tcBorders>
          </w:tcPr>
          <w:p>
            <w:pPr>
              <w:jc w:val="right"/>
              <w:ind w:right="87"/>
              <w:spacing w:after="0"/>
              <w:rPr>
                <w:sz w:val="20"/>
                <w:szCs w:val="20"/>
                <w:color w:val="auto"/>
              </w:rPr>
            </w:pPr>
            <w:r>
              <w:rPr>
                <w:rFonts w:ascii="Arial" w:cs="Arial" w:eastAsia="Arial" w:hAnsi="Arial"/>
                <w:sz w:val="15"/>
                <w:szCs w:val="15"/>
                <w:color w:val="auto"/>
              </w:rPr>
              <w:t>8,492</w:t>
            </w:r>
          </w:p>
        </w:tc>
        <w:tc>
          <w:tcPr>
            <w:tcW w:w="1080" w:type="dxa"/>
            <w:vAlign w:val="bottom"/>
            <w:gridSpan w:val="2"/>
          </w:tcPr>
          <w:p>
            <w:pPr>
              <w:ind w:left="640"/>
              <w:spacing w:after="0"/>
              <w:rPr>
                <w:sz w:val="20"/>
                <w:szCs w:val="20"/>
                <w:color w:val="auto"/>
              </w:rPr>
            </w:pPr>
            <w:r>
              <w:rPr>
                <w:rFonts w:ascii="Arial" w:cs="Arial" w:eastAsia="Arial" w:hAnsi="Arial"/>
                <w:sz w:val="15"/>
                <w:szCs w:val="15"/>
                <w:color w:val="auto"/>
                <w:w w:val="98"/>
              </w:rPr>
              <w:t>6.00%</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6.00%</w:t>
            </w:r>
          </w:p>
        </w:tc>
        <w:tc>
          <w:tcPr>
            <w:tcW w:w="120" w:type="dxa"/>
            <w:vAlign w:val="bottom"/>
          </w:tcPr>
          <w:p>
            <w:pPr>
              <w:spacing w:after="0"/>
              <w:rPr>
                <w:sz w:val="24"/>
                <w:szCs w:val="24"/>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19"/>
        </w:trPr>
        <w:tc>
          <w:tcPr>
            <w:tcW w:w="460" w:type="dxa"/>
            <w:vAlign w:val="bottom"/>
            <w:gridSpan w:val="2"/>
          </w:tcPr>
          <w:p>
            <w:pPr>
              <w:ind w:left="20"/>
              <w:spacing w:after="0"/>
              <w:rPr>
                <w:sz w:val="20"/>
                <w:szCs w:val="20"/>
                <w:color w:val="auto"/>
              </w:rPr>
            </w:pPr>
            <w:r>
              <w:rPr>
                <w:rFonts w:ascii="Arial" w:cs="Arial" w:eastAsia="Arial" w:hAnsi="Arial"/>
                <w:sz w:val="15"/>
                <w:szCs w:val="15"/>
                <w:color w:val="auto"/>
              </w:rPr>
              <w:t>2019</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5,193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5,193</w:t>
            </w:r>
          </w:p>
        </w:tc>
        <w:tc>
          <w:tcPr>
            <w:tcW w:w="140" w:type="dxa"/>
            <w:vAlign w:val="bottom"/>
            <w:tcBorders>
              <w:right w:val="single" w:sz="8" w:color="9BDA44"/>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4,002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740" w:type="dxa"/>
            <w:vAlign w:val="bottom"/>
            <w:tcBorders>
              <w:right w:val="single" w:sz="8" w:color="9BDA44"/>
            </w:tcBorders>
          </w:tcPr>
          <w:p>
            <w:pPr>
              <w:jc w:val="right"/>
              <w:ind w:right="87"/>
              <w:spacing w:after="0"/>
              <w:rPr>
                <w:sz w:val="20"/>
                <w:szCs w:val="20"/>
                <w:color w:val="auto"/>
              </w:rPr>
            </w:pPr>
            <w:r>
              <w:rPr>
                <w:rFonts w:ascii="Arial" w:cs="Arial" w:eastAsia="Arial" w:hAnsi="Arial"/>
                <w:sz w:val="15"/>
                <w:szCs w:val="15"/>
                <w:color w:val="auto"/>
              </w:rPr>
              <w:t>4,002</w:t>
            </w:r>
          </w:p>
        </w:tc>
        <w:tc>
          <w:tcPr>
            <w:tcW w:w="80" w:type="dxa"/>
            <w:vAlign w:val="bottom"/>
          </w:tcPr>
          <w:p>
            <w:pPr>
              <w:spacing w:after="0"/>
              <w:rPr>
                <w:sz w:val="19"/>
                <w:szCs w:val="19"/>
                <w:color w:val="auto"/>
              </w:rPr>
            </w:pPr>
          </w:p>
        </w:tc>
        <w:tc>
          <w:tcPr>
            <w:tcW w:w="1000" w:type="dxa"/>
            <w:vAlign w:val="bottom"/>
          </w:tcPr>
          <w:p>
            <w:pPr>
              <w:ind w:left="640"/>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020" w:type="dxa"/>
            <w:vAlign w:val="bottom"/>
          </w:tcPr>
          <w:p>
            <w:pPr>
              <w:jc w:val="right"/>
              <w:ind w:right="87"/>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19"/>
        </w:trPr>
        <w:tc>
          <w:tcPr>
            <w:tcW w:w="460" w:type="dxa"/>
            <w:vAlign w:val="bottom"/>
            <w:gridSpan w:val="2"/>
          </w:tcPr>
          <w:p>
            <w:pPr>
              <w:ind w:left="20"/>
              <w:spacing w:after="0"/>
              <w:rPr>
                <w:sz w:val="20"/>
                <w:szCs w:val="20"/>
                <w:color w:val="auto"/>
              </w:rPr>
            </w:pPr>
            <w:r>
              <w:rPr>
                <w:rFonts w:ascii="Arial" w:cs="Arial" w:eastAsia="Arial" w:hAnsi="Arial"/>
                <w:sz w:val="15"/>
                <w:szCs w:val="15"/>
                <w:color w:val="auto"/>
              </w:rPr>
              <w:t>2020</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5,432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5,432</w:t>
            </w:r>
          </w:p>
        </w:tc>
        <w:tc>
          <w:tcPr>
            <w:tcW w:w="140" w:type="dxa"/>
            <w:vAlign w:val="bottom"/>
            <w:tcBorders>
              <w:right w:val="single" w:sz="8" w:color="9BDA44"/>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4,188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740" w:type="dxa"/>
            <w:vAlign w:val="bottom"/>
            <w:tcBorders>
              <w:right w:val="single" w:sz="8" w:color="9BDA44"/>
            </w:tcBorders>
          </w:tcPr>
          <w:p>
            <w:pPr>
              <w:jc w:val="right"/>
              <w:ind w:right="87"/>
              <w:spacing w:after="0"/>
              <w:rPr>
                <w:sz w:val="20"/>
                <w:szCs w:val="20"/>
                <w:color w:val="auto"/>
              </w:rPr>
            </w:pPr>
            <w:r>
              <w:rPr>
                <w:rFonts w:ascii="Arial" w:cs="Arial" w:eastAsia="Arial" w:hAnsi="Arial"/>
                <w:sz w:val="15"/>
                <w:szCs w:val="15"/>
                <w:color w:val="auto"/>
              </w:rPr>
              <w:t>4,188</w:t>
            </w:r>
          </w:p>
        </w:tc>
        <w:tc>
          <w:tcPr>
            <w:tcW w:w="80" w:type="dxa"/>
            <w:vAlign w:val="bottom"/>
          </w:tcPr>
          <w:p>
            <w:pPr>
              <w:spacing w:after="0"/>
              <w:rPr>
                <w:sz w:val="19"/>
                <w:szCs w:val="19"/>
                <w:color w:val="auto"/>
              </w:rPr>
            </w:pPr>
          </w:p>
        </w:tc>
        <w:tc>
          <w:tcPr>
            <w:tcW w:w="1000" w:type="dxa"/>
            <w:vAlign w:val="bottom"/>
          </w:tcPr>
          <w:p>
            <w:pPr>
              <w:ind w:left="640"/>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020" w:type="dxa"/>
            <w:vAlign w:val="bottom"/>
          </w:tcPr>
          <w:p>
            <w:pPr>
              <w:jc w:val="right"/>
              <w:ind w:right="87"/>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19"/>
        </w:trPr>
        <w:tc>
          <w:tcPr>
            <w:tcW w:w="460" w:type="dxa"/>
            <w:vAlign w:val="bottom"/>
            <w:gridSpan w:val="2"/>
          </w:tcPr>
          <w:p>
            <w:pPr>
              <w:ind w:left="20"/>
              <w:spacing w:after="0"/>
              <w:rPr>
                <w:sz w:val="20"/>
                <w:szCs w:val="20"/>
                <w:color w:val="auto"/>
              </w:rPr>
            </w:pPr>
            <w:r>
              <w:rPr>
                <w:rFonts w:ascii="Arial" w:cs="Arial" w:eastAsia="Arial" w:hAnsi="Arial"/>
                <w:sz w:val="15"/>
                <w:szCs w:val="15"/>
                <w:color w:val="auto"/>
              </w:rPr>
              <w:t>2021</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5,670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5,670</w:t>
            </w:r>
          </w:p>
        </w:tc>
        <w:tc>
          <w:tcPr>
            <w:tcW w:w="140" w:type="dxa"/>
            <w:vAlign w:val="bottom"/>
            <w:tcBorders>
              <w:right w:val="single" w:sz="8" w:color="9BDA44"/>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4,370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740" w:type="dxa"/>
            <w:vAlign w:val="bottom"/>
            <w:tcBorders>
              <w:right w:val="single" w:sz="8" w:color="9BDA44"/>
            </w:tcBorders>
          </w:tcPr>
          <w:p>
            <w:pPr>
              <w:jc w:val="right"/>
              <w:ind w:right="87"/>
              <w:spacing w:after="0"/>
              <w:rPr>
                <w:sz w:val="20"/>
                <w:szCs w:val="20"/>
                <w:color w:val="auto"/>
              </w:rPr>
            </w:pPr>
            <w:r>
              <w:rPr>
                <w:rFonts w:ascii="Arial" w:cs="Arial" w:eastAsia="Arial" w:hAnsi="Arial"/>
                <w:sz w:val="15"/>
                <w:szCs w:val="15"/>
                <w:color w:val="auto"/>
              </w:rPr>
              <w:t>4,370</w:t>
            </w:r>
          </w:p>
        </w:tc>
        <w:tc>
          <w:tcPr>
            <w:tcW w:w="80" w:type="dxa"/>
            <w:vAlign w:val="bottom"/>
          </w:tcPr>
          <w:p>
            <w:pPr>
              <w:spacing w:after="0"/>
              <w:rPr>
                <w:sz w:val="19"/>
                <w:szCs w:val="19"/>
                <w:color w:val="auto"/>
              </w:rPr>
            </w:pPr>
          </w:p>
        </w:tc>
        <w:tc>
          <w:tcPr>
            <w:tcW w:w="1000" w:type="dxa"/>
            <w:vAlign w:val="bottom"/>
          </w:tcPr>
          <w:p>
            <w:pPr>
              <w:ind w:left="640"/>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020" w:type="dxa"/>
            <w:vAlign w:val="bottom"/>
          </w:tcPr>
          <w:p>
            <w:pPr>
              <w:jc w:val="right"/>
              <w:ind w:right="87"/>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19"/>
        </w:trPr>
        <w:tc>
          <w:tcPr>
            <w:tcW w:w="460" w:type="dxa"/>
            <w:vAlign w:val="bottom"/>
            <w:gridSpan w:val="2"/>
          </w:tcPr>
          <w:p>
            <w:pPr>
              <w:ind w:left="20"/>
              <w:spacing w:after="0"/>
              <w:rPr>
                <w:sz w:val="20"/>
                <w:szCs w:val="20"/>
                <w:color w:val="auto"/>
              </w:rPr>
            </w:pPr>
            <w:r>
              <w:rPr>
                <w:rFonts w:ascii="Arial" w:cs="Arial" w:eastAsia="Arial" w:hAnsi="Arial"/>
                <w:sz w:val="15"/>
                <w:szCs w:val="15"/>
                <w:color w:val="auto"/>
              </w:rPr>
              <w:t>2022</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5,890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14,000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19,890</w:t>
            </w:r>
          </w:p>
        </w:tc>
        <w:tc>
          <w:tcPr>
            <w:tcW w:w="140" w:type="dxa"/>
            <w:vAlign w:val="bottom"/>
            <w:tcBorders>
              <w:right w:val="single" w:sz="8" w:color="9BDA44"/>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4,537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14,000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right w:val="single" w:sz="8" w:color="9BDA44"/>
            </w:tcBorders>
          </w:tcPr>
          <w:p>
            <w:pPr>
              <w:jc w:val="right"/>
              <w:ind w:right="87"/>
              <w:spacing w:after="0"/>
              <w:rPr>
                <w:sz w:val="20"/>
                <w:szCs w:val="20"/>
                <w:color w:val="auto"/>
              </w:rPr>
            </w:pPr>
            <w:r>
              <w:rPr>
                <w:rFonts w:ascii="Arial" w:cs="Arial" w:eastAsia="Arial" w:hAnsi="Arial"/>
                <w:sz w:val="15"/>
                <w:szCs w:val="15"/>
                <w:color w:val="auto"/>
              </w:rPr>
              <w:t>18,537</w:t>
            </w:r>
          </w:p>
        </w:tc>
        <w:tc>
          <w:tcPr>
            <w:tcW w:w="1080" w:type="dxa"/>
            <w:vAlign w:val="bottom"/>
            <w:gridSpan w:val="2"/>
          </w:tcPr>
          <w:p>
            <w:pPr>
              <w:ind w:left="640"/>
              <w:spacing w:after="0"/>
              <w:rPr>
                <w:sz w:val="20"/>
                <w:szCs w:val="20"/>
                <w:color w:val="auto"/>
              </w:rPr>
            </w:pPr>
            <w:r>
              <w:rPr>
                <w:rFonts w:ascii="Arial" w:cs="Arial" w:eastAsia="Arial" w:hAnsi="Arial"/>
                <w:sz w:val="15"/>
                <w:szCs w:val="15"/>
                <w:color w:val="auto"/>
                <w:w w:val="98"/>
              </w:rPr>
              <w:t>3.02%</w:t>
            </w: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020" w:type="dxa"/>
            <w:vAlign w:val="bottom"/>
          </w:tcPr>
          <w:p>
            <w:pPr>
              <w:jc w:val="right"/>
              <w:spacing w:after="0"/>
              <w:rPr>
                <w:sz w:val="20"/>
                <w:szCs w:val="20"/>
                <w:color w:val="auto"/>
              </w:rPr>
            </w:pPr>
            <w:r>
              <w:rPr>
                <w:rFonts w:ascii="Arial" w:cs="Arial" w:eastAsia="Arial" w:hAnsi="Arial"/>
                <w:sz w:val="15"/>
                <w:szCs w:val="15"/>
                <w:color w:val="auto"/>
              </w:rPr>
              <w:t>3.02%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Thereafter</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23,688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824,970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848,658</w:t>
            </w:r>
          </w:p>
        </w:tc>
        <w:tc>
          <w:tcPr>
            <w:tcW w:w="140" w:type="dxa"/>
            <w:vAlign w:val="bottom"/>
            <w:tcBorders>
              <w:right w:val="single" w:sz="8" w:color="9BDA4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20,046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638,083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9BDA44"/>
            </w:tcBorders>
          </w:tcPr>
          <w:p>
            <w:pPr>
              <w:jc w:val="right"/>
              <w:ind w:right="87"/>
              <w:spacing w:after="0"/>
              <w:rPr>
                <w:sz w:val="20"/>
                <w:szCs w:val="20"/>
                <w:color w:val="auto"/>
              </w:rPr>
            </w:pPr>
            <w:r>
              <w:rPr>
                <w:rFonts w:ascii="Arial" w:cs="Arial" w:eastAsia="Arial" w:hAnsi="Arial"/>
                <w:sz w:val="15"/>
                <w:szCs w:val="15"/>
                <w:color w:val="auto"/>
              </w:rPr>
              <w:t>658,129</w:t>
            </w:r>
          </w:p>
        </w:tc>
        <w:tc>
          <w:tcPr>
            <w:tcW w:w="1080" w:type="dxa"/>
            <w:vAlign w:val="bottom"/>
            <w:gridSpan w:val="2"/>
          </w:tcPr>
          <w:p>
            <w:pPr>
              <w:ind w:left="640"/>
              <w:spacing w:after="0"/>
              <w:rPr>
                <w:sz w:val="20"/>
                <w:szCs w:val="20"/>
                <w:color w:val="auto"/>
              </w:rPr>
            </w:pPr>
            <w:r>
              <w:rPr>
                <w:rFonts w:ascii="Arial" w:cs="Arial" w:eastAsia="Arial" w:hAnsi="Arial"/>
                <w:sz w:val="15"/>
                <w:szCs w:val="15"/>
                <w:color w:val="auto"/>
                <w:w w:val="98"/>
              </w:rPr>
              <w:t>3.40%</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4.17%</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49,309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865,220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914,529</w:t>
            </w:r>
          </w:p>
        </w:tc>
        <w:tc>
          <w:tcPr>
            <w:tcW w:w="140" w:type="dxa"/>
            <w:vAlign w:val="bottom"/>
            <w:tcBorders>
              <w:right w:val="single" w:sz="8" w:color="9BDA44"/>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39,802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657,916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right w:val="single" w:sz="8" w:color="9BDA44"/>
            </w:tcBorders>
          </w:tcPr>
          <w:p>
            <w:pPr>
              <w:jc w:val="right"/>
              <w:ind w:right="87"/>
              <w:spacing w:after="0"/>
              <w:rPr>
                <w:sz w:val="20"/>
                <w:szCs w:val="20"/>
                <w:color w:val="auto"/>
              </w:rPr>
            </w:pPr>
            <w:r>
              <w:rPr>
                <w:rFonts w:ascii="Arial" w:cs="Arial" w:eastAsia="Arial" w:hAnsi="Arial"/>
                <w:sz w:val="15"/>
                <w:szCs w:val="15"/>
                <w:b w:val="1"/>
                <w:bCs w:val="1"/>
                <w:color w:val="auto"/>
              </w:rPr>
              <w:t>697,718</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4"/>
            <w:vMerge w:val="restart"/>
          </w:tcPr>
          <w:p>
            <w:pPr>
              <w:spacing w:after="0"/>
              <w:rPr>
                <w:sz w:val="20"/>
                <w:szCs w:val="20"/>
                <w:color w:val="auto"/>
              </w:rPr>
            </w:pPr>
            <w:r>
              <w:rPr>
                <w:rFonts w:ascii="Arial" w:cs="Arial" w:eastAsia="Arial" w:hAnsi="Arial"/>
                <w:sz w:val="15"/>
                <w:szCs w:val="15"/>
                <w:b w:val="1"/>
                <w:bCs w:val="1"/>
                <w:color w:val="auto"/>
              </w:rPr>
              <w:t>Funds</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right w:val="single" w:sz="8" w:color="9BDA44"/>
            </w:tcBorders>
          </w:tcPr>
          <w:p>
            <w:pPr>
              <w:spacing w:after="0"/>
              <w:rPr>
                <w:sz w:val="20"/>
                <w:szCs w:val="20"/>
                <w:color w:val="auto"/>
              </w:rPr>
            </w:pPr>
          </w:p>
        </w:tc>
        <w:tc>
          <w:tcPr>
            <w:tcW w:w="100" w:type="dxa"/>
            <w:vAlign w:val="bottom"/>
            <w:tcBorders>
              <w:bottom w:val="single" w:sz="8" w:color="9BDA44"/>
            </w:tcBorders>
          </w:tcPr>
          <w:p>
            <w:pPr>
              <w:spacing w:after="0"/>
              <w:rPr>
                <w:sz w:val="20"/>
                <w:szCs w:val="20"/>
                <w:color w:val="auto"/>
              </w:rPr>
            </w:pPr>
          </w:p>
        </w:tc>
        <w:tc>
          <w:tcPr>
            <w:tcW w:w="860" w:type="dxa"/>
            <w:vAlign w:val="bottom"/>
            <w:tcBorders>
              <w:bottom w:val="single" w:sz="8" w:color="9BDA44"/>
            </w:tcBorders>
          </w:tcPr>
          <w:p>
            <w:pPr>
              <w:spacing w:after="0"/>
              <w:rPr>
                <w:sz w:val="20"/>
                <w:szCs w:val="20"/>
                <w:color w:val="auto"/>
              </w:rPr>
            </w:pPr>
          </w:p>
        </w:tc>
        <w:tc>
          <w:tcPr>
            <w:tcW w:w="120" w:type="dxa"/>
            <w:vAlign w:val="bottom"/>
            <w:tcBorders>
              <w:bottom w:val="single" w:sz="8" w:color="9BDA44"/>
            </w:tcBorders>
          </w:tcPr>
          <w:p>
            <w:pPr>
              <w:spacing w:after="0"/>
              <w:rPr>
                <w:sz w:val="20"/>
                <w:szCs w:val="20"/>
                <w:color w:val="auto"/>
              </w:rPr>
            </w:pPr>
          </w:p>
        </w:tc>
        <w:tc>
          <w:tcPr>
            <w:tcW w:w="120" w:type="dxa"/>
            <w:vAlign w:val="bottom"/>
            <w:tcBorders>
              <w:bottom w:val="single" w:sz="8" w:color="9BDA44"/>
            </w:tcBorders>
          </w:tcPr>
          <w:p>
            <w:pPr>
              <w:spacing w:after="0"/>
              <w:rPr>
                <w:sz w:val="20"/>
                <w:szCs w:val="20"/>
                <w:color w:val="auto"/>
              </w:rPr>
            </w:pPr>
          </w:p>
        </w:tc>
        <w:tc>
          <w:tcPr>
            <w:tcW w:w="860" w:type="dxa"/>
            <w:vAlign w:val="bottom"/>
            <w:tcBorders>
              <w:bottom w:val="single" w:sz="8" w:color="9BDA44"/>
            </w:tcBorders>
          </w:tcPr>
          <w:p>
            <w:pPr>
              <w:spacing w:after="0"/>
              <w:rPr>
                <w:sz w:val="20"/>
                <w:szCs w:val="20"/>
                <w:color w:val="auto"/>
              </w:rPr>
            </w:pPr>
          </w:p>
        </w:tc>
        <w:tc>
          <w:tcPr>
            <w:tcW w:w="100" w:type="dxa"/>
            <w:vAlign w:val="bottom"/>
            <w:tcBorders>
              <w:bottom w:val="single" w:sz="8" w:color="9BDA44"/>
            </w:tcBorders>
          </w:tcPr>
          <w:p>
            <w:pPr>
              <w:spacing w:after="0"/>
              <w:rPr>
                <w:sz w:val="20"/>
                <w:szCs w:val="20"/>
                <w:color w:val="auto"/>
              </w:rPr>
            </w:pPr>
          </w:p>
        </w:tc>
        <w:tc>
          <w:tcPr>
            <w:tcW w:w="280" w:type="dxa"/>
            <w:vAlign w:val="bottom"/>
            <w:tcBorders>
              <w:bottom w:val="single" w:sz="8" w:color="9BDA44"/>
            </w:tcBorders>
          </w:tcPr>
          <w:p>
            <w:pPr>
              <w:spacing w:after="0"/>
              <w:rPr>
                <w:sz w:val="20"/>
                <w:szCs w:val="20"/>
                <w:color w:val="auto"/>
              </w:rPr>
            </w:pPr>
          </w:p>
        </w:tc>
        <w:tc>
          <w:tcPr>
            <w:tcW w:w="740" w:type="dxa"/>
            <w:vAlign w:val="bottom"/>
            <w:tcBorders>
              <w:bottom w:val="single" w:sz="8" w:color="9BDA44"/>
              <w:right w:val="single" w:sz="8" w:color="9BDA44"/>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11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gridSpan w:val="6"/>
            <w:vMerge w:val="restart"/>
          </w:tcPr>
          <w:p>
            <w:pPr>
              <w:jc w:val="center"/>
              <w:ind w:left="567"/>
              <w:spacing w:after="0"/>
              <w:rPr>
                <w:sz w:val="20"/>
                <w:szCs w:val="20"/>
                <w:color w:val="auto"/>
              </w:rPr>
            </w:pPr>
            <w:r>
              <w:rPr>
                <w:rFonts w:ascii="Arial" w:cs="Arial" w:eastAsia="Arial" w:hAnsi="Arial"/>
                <w:sz w:val="15"/>
                <w:szCs w:val="15"/>
                <w:b w:val="1"/>
                <w:bCs w:val="1"/>
                <w:color w:val="auto"/>
                <w:w w:val="97"/>
              </w:rPr>
              <w:t>Total Debt Maturities</w:t>
            </w: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9BDA44"/>
            </w:tcBorders>
          </w:tcPr>
          <w:p>
            <w:pPr>
              <w:spacing w:after="0"/>
              <w:rPr>
                <w:sz w:val="2"/>
                <w:szCs w:val="2"/>
                <w:color w:val="auto"/>
              </w:rPr>
            </w:pPr>
          </w:p>
        </w:tc>
        <w:tc>
          <w:tcPr>
            <w:tcW w:w="860" w:type="dxa"/>
            <w:vAlign w:val="bottom"/>
            <w:tcBorders>
              <w:bottom w:val="single" w:sz="8" w:color="9BDA44"/>
            </w:tcBorders>
          </w:tcPr>
          <w:p>
            <w:pPr>
              <w:spacing w:after="0"/>
              <w:rPr>
                <w:sz w:val="2"/>
                <w:szCs w:val="2"/>
                <w:color w:val="auto"/>
              </w:rPr>
            </w:pPr>
          </w:p>
        </w:tc>
        <w:tc>
          <w:tcPr>
            <w:tcW w:w="120" w:type="dxa"/>
            <w:vAlign w:val="bottom"/>
            <w:tcBorders>
              <w:bottom w:val="single" w:sz="8" w:color="9BDA44"/>
            </w:tcBorders>
          </w:tcPr>
          <w:p>
            <w:pPr>
              <w:spacing w:after="0"/>
              <w:rPr>
                <w:sz w:val="2"/>
                <w:szCs w:val="2"/>
                <w:color w:val="auto"/>
              </w:rPr>
            </w:pPr>
          </w:p>
        </w:tc>
        <w:tc>
          <w:tcPr>
            <w:tcW w:w="120" w:type="dxa"/>
            <w:vAlign w:val="bottom"/>
            <w:tcBorders>
              <w:bottom w:val="single" w:sz="8" w:color="9BDA44"/>
            </w:tcBorders>
          </w:tcPr>
          <w:p>
            <w:pPr>
              <w:spacing w:after="0"/>
              <w:rPr>
                <w:sz w:val="2"/>
                <w:szCs w:val="2"/>
                <w:color w:val="auto"/>
              </w:rPr>
            </w:pPr>
          </w:p>
        </w:tc>
        <w:tc>
          <w:tcPr>
            <w:tcW w:w="860" w:type="dxa"/>
            <w:vAlign w:val="bottom"/>
            <w:tcBorders>
              <w:bottom w:val="single" w:sz="8" w:color="9BDA44"/>
            </w:tcBorders>
          </w:tcPr>
          <w:p>
            <w:pPr>
              <w:spacing w:after="0"/>
              <w:rPr>
                <w:sz w:val="2"/>
                <w:szCs w:val="2"/>
                <w:color w:val="auto"/>
              </w:rPr>
            </w:pPr>
          </w:p>
        </w:tc>
        <w:tc>
          <w:tcPr>
            <w:tcW w:w="100" w:type="dxa"/>
            <w:vAlign w:val="bottom"/>
            <w:tcBorders>
              <w:bottom w:val="single" w:sz="8" w:color="9BDA44"/>
            </w:tcBorders>
          </w:tcPr>
          <w:p>
            <w:pPr>
              <w:spacing w:after="0"/>
              <w:rPr>
                <w:sz w:val="2"/>
                <w:szCs w:val="2"/>
                <w:color w:val="auto"/>
              </w:rPr>
            </w:pPr>
          </w:p>
        </w:tc>
        <w:tc>
          <w:tcPr>
            <w:tcW w:w="280" w:type="dxa"/>
            <w:vAlign w:val="bottom"/>
            <w:tcBorders>
              <w:bottom w:val="single" w:sz="8" w:color="9BDA44"/>
            </w:tcBorders>
          </w:tcPr>
          <w:p>
            <w:pPr>
              <w:spacing w:after="0"/>
              <w:rPr>
                <w:sz w:val="2"/>
                <w:szCs w:val="2"/>
                <w:color w:val="auto"/>
              </w:rPr>
            </w:pPr>
          </w:p>
        </w:tc>
        <w:tc>
          <w:tcPr>
            <w:tcW w:w="740" w:type="dxa"/>
            <w:vAlign w:val="bottom"/>
            <w:tcBorders>
              <w:bottom w:val="single" w:sz="8" w:color="9BDA44"/>
            </w:tcBorders>
          </w:tcPr>
          <w:p>
            <w:pPr>
              <w:spacing w:after="0"/>
              <w:rPr>
                <w:sz w:val="2"/>
                <w:szCs w:val="2"/>
                <w:color w:val="auto"/>
              </w:rPr>
            </w:pPr>
          </w:p>
        </w:tc>
        <w:tc>
          <w:tcPr>
            <w:tcW w:w="80" w:type="dxa"/>
            <w:vAlign w:val="bottom"/>
          </w:tcPr>
          <w:p>
            <w:pPr>
              <w:spacing w:after="0"/>
              <w:rPr>
                <w:sz w:val="2"/>
                <w:szCs w:val="2"/>
                <w:color w:val="auto"/>
              </w:rPr>
            </w:pPr>
          </w:p>
        </w:tc>
        <w:tc>
          <w:tcPr>
            <w:tcW w:w="3260" w:type="dxa"/>
            <w:vAlign w:val="bottom"/>
            <w:gridSpan w:val="5"/>
            <w:vMerge w:val="restart"/>
          </w:tcPr>
          <w:p>
            <w:pPr>
              <w:ind w:left="540"/>
              <w:spacing w:after="0"/>
              <w:rPr>
                <w:sz w:val="20"/>
                <w:szCs w:val="20"/>
                <w:color w:val="auto"/>
              </w:rPr>
            </w:pPr>
            <w:r>
              <w:rPr>
                <w:rFonts w:ascii="Arial" w:cs="Arial" w:eastAsia="Arial" w:hAnsi="Arial"/>
                <w:sz w:val="15"/>
                <w:szCs w:val="15"/>
                <w:b w:val="1"/>
                <w:bCs w:val="1"/>
                <w:color w:val="auto"/>
              </w:rPr>
              <w:t>Weighted Average Interest Rate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right w:val="single" w:sz="8" w:color="9BDA4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center"/>
              <w:ind w:left="527"/>
              <w:spacing w:after="0"/>
              <w:rPr>
                <w:sz w:val="20"/>
                <w:szCs w:val="20"/>
                <w:color w:val="auto"/>
              </w:rPr>
            </w:pPr>
            <w:r>
              <w:rPr>
                <w:rFonts w:ascii="Arial" w:cs="Arial" w:eastAsia="Arial" w:hAnsi="Arial"/>
                <w:sz w:val="15"/>
                <w:szCs w:val="15"/>
                <w:b w:val="1"/>
                <w:bCs w:val="1"/>
                <w:color w:val="auto"/>
                <w:w w:val="96"/>
              </w:rPr>
              <w:t>Acadia's Pro-rata Share</w:t>
            </w:r>
          </w:p>
        </w:tc>
        <w:tc>
          <w:tcPr>
            <w:tcW w:w="740" w:type="dxa"/>
            <w:vAlign w:val="bottom"/>
            <w:tcBorders>
              <w:bottom w:val="single" w:sz="8" w:color="auto"/>
              <w:right w:val="single" w:sz="8" w:color="9BDA44"/>
            </w:tcBorders>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color w:val="auto"/>
                <w:w w:val="95"/>
              </w:rPr>
              <w:t>Scheduled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9BDA44"/>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5"/>
                <w:szCs w:val="15"/>
                <w:color w:val="auto"/>
                <w:w w:val="98"/>
              </w:rPr>
              <w:t>Scheduled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right w:val="single" w:sz="8" w:color="9BDA44"/>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Fixed-Rate</w:t>
            </w:r>
          </w:p>
        </w:tc>
        <w:tc>
          <w:tcPr>
            <w:tcW w:w="1020" w:type="dxa"/>
            <w:vAlign w:val="bottom"/>
            <w:vMerge w:val="restart"/>
          </w:tcPr>
          <w:p>
            <w:pPr>
              <w:jc w:val="center"/>
              <w:spacing w:after="0"/>
              <w:rPr>
                <w:sz w:val="20"/>
                <w:szCs w:val="20"/>
                <w:color w:val="auto"/>
              </w:rPr>
            </w:pPr>
            <w:r>
              <w:rPr>
                <w:rFonts w:ascii="Arial" w:cs="Arial" w:eastAsia="Arial" w:hAnsi="Arial"/>
                <w:sz w:val="15"/>
                <w:szCs w:val="15"/>
                <w:color w:val="auto"/>
                <w:w w:val="95"/>
              </w:rPr>
              <w:t>Variable-Rate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Borders>
              <w:right w:val="single" w:sz="8" w:color="9BDA44"/>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Borders>
              <w:right w:val="single" w:sz="8" w:color="9BDA44"/>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Year</w:t>
            </w:r>
          </w:p>
        </w:tc>
        <w:tc>
          <w:tcPr>
            <w:tcW w:w="12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5"/>
              </w:rPr>
              <w:t>Amortization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7"/>
              <w:spacing w:after="0"/>
              <w:rPr>
                <w:sz w:val="20"/>
                <w:szCs w:val="20"/>
                <w:color w:val="auto"/>
              </w:rPr>
            </w:pPr>
            <w:r>
              <w:rPr>
                <w:rFonts w:ascii="Arial" w:cs="Arial" w:eastAsia="Arial" w:hAnsi="Arial"/>
                <w:sz w:val="15"/>
                <w:szCs w:val="15"/>
                <w:color w:val="auto"/>
                <w:w w:val="95"/>
              </w:rPr>
              <w:t>Maturities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rPr>
              <w:t>Total</w:t>
            </w:r>
          </w:p>
        </w:tc>
        <w:tc>
          <w:tcPr>
            <w:tcW w:w="140" w:type="dxa"/>
            <w:vAlign w:val="bottom"/>
            <w:tcBorders>
              <w:right w:val="single" w:sz="8" w:color="9BDA44"/>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8"/>
              </w:rPr>
              <w:t>Amortization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7"/>
              <w:spacing w:after="0"/>
              <w:rPr>
                <w:sz w:val="20"/>
                <w:szCs w:val="20"/>
                <w:color w:val="auto"/>
              </w:rPr>
            </w:pPr>
            <w:r>
              <w:rPr>
                <w:rFonts w:ascii="Arial" w:cs="Arial" w:eastAsia="Arial" w:hAnsi="Arial"/>
                <w:sz w:val="15"/>
                <w:szCs w:val="15"/>
                <w:color w:val="auto"/>
                <w:w w:val="98"/>
              </w:rPr>
              <w:t>Maturities</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9BDA44"/>
            </w:tcBorders>
          </w:tcPr>
          <w:p>
            <w:pPr>
              <w:jc w:val="right"/>
              <w:ind w:right="307"/>
              <w:spacing w:after="0"/>
              <w:rPr>
                <w:sz w:val="20"/>
                <w:szCs w:val="20"/>
                <w:color w:val="auto"/>
              </w:rPr>
            </w:pPr>
            <w:r>
              <w:rPr>
                <w:rFonts w:ascii="Arial" w:cs="Arial" w:eastAsia="Arial" w:hAnsi="Arial"/>
                <w:sz w:val="15"/>
                <w:szCs w:val="15"/>
                <w:color w:val="auto"/>
              </w:rPr>
              <w:t>Total</w:t>
            </w:r>
          </w:p>
        </w:tc>
        <w:tc>
          <w:tcPr>
            <w:tcW w:w="80" w:type="dxa"/>
            <w:vAlign w:val="bottom"/>
          </w:tcPr>
          <w:p>
            <w:pPr>
              <w:spacing w:after="0"/>
              <w:rPr>
                <w:sz w:val="15"/>
                <w:szCs w:val="15"/>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Total Debt</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rPr>
              <w:t>Debt</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Debt</w:t>
            </w:r>
          </w:p>
        </w:tc>
        <w:tc>
          <w:tcPr>
            <w:tcW w:w="0" w:type="dxa"/>
            <w:vAlign w:val="bottom"/>
          </w:tcPr>
          <w:p>
            <w:pPr>
              <w:spacing w:after="0"/>
              <w:rPr>
                <w:sz w:val="1"/>
                <w:szCs w:val="1"/>
                <w:color w:val="auto"/>
              </w:rPr>
            </w:pPr>
          </w:p>
        </w:tc>
      </w:tr>
      <w:tr>
        <w:trPr>
          <w:trHeight w:val="465"/>
        </w:trPr>
        <w:tc>
          <w:tcPr>
            <w:tcW w:w="460" w:type="dxa"/>
            <w:vAlign w:val="bottom"/>
            <w:gridSpan w:val="2"/>
          </w:tcPr>
          <w:p>
            <w:pPr>
              <w:ind w:left="20"/>
              <w:spacing w:after="0"/>
              <w:rPr>
                <w:sz w:val="20"/>
                <w:szCs w:val="20"/>
                <w:color w:val="auto"/>
              </w:rPr>
            </w:pPr>
            <w:r>
              <w:rPr>
                <w:rFonts w:ascii="Arial" w:cs="Arial" w:eastAsia="Arial" w:hAnsi="Arial"/>
                <w:sz w:val="15"/>
                <w:szCs w:val="15"/>
                <w:color w:val="auto"/>
              </w:rPr>
              <w:t>2018</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2,687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56,452</w:t>
            </w:r>
          </w:p>
        </w:tc>
        <w:tc>
          <w:tcPr>
            <w:tcW w:w="120" w:type="dxa"/>
            <w:vAlign w:val="bottom"/>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59,139</w:t>
            </w:r>
          </w:p>
        </w:tc>
        <w:tc>
          <w:tcPr>
            <w:tcW w:w="140" w:type="dxa"/>
            <w:vAlign w:val="bottom"/>
            <w:tcBorders>
              <w:right w:val="single" w:sz="8" w:color="9BDA44"/>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556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11,951</w:t>
            </w:r>
          </w:p>
        </w:tc>
        <w:tc>
          <w:tcPr>
            <w:tcW w:w="100" w:type="dxa"/>
            <w:vAlign w:val="bottom"/>
          </w:tcPr>
          <w:p>
            <w:pPr>
              <w:spacing w:after="0"/>
              <w:rPr>
                <w:sz w:val="24"/>
                <w:szCs w:val="24"/>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740" w:type="dxa"/>
            <w:vAlign w:val="bottom"/>
            <w:tcBorders>
              <w:right w:val="single" w:sz="8" w:color="9BDA44"/>
            </w:tcBorders>
          </w:tcPr>
          <w:p>
            <w:pPr>
              <w:jc w:val="right"/>
              <w:ind w:right="87"/>
              <w:spacing w:after="0"/>
              <w:rPr>
                <w:sz w:val="20"/>
                <w:szCs w:val="20"/>
                <w:color w:val="auto"/>
              </w:rPr>
            </w:pPr>
            <w:r>
              <w:rPr>
                <w:rFonts w:ascii="Arial" w:cs="Arial" w:eastAsia="Arial" w:hAnsi="Arial"/>
                <w:sz w:val="15"/>
                <w:szCs w:val="15"/>
                <w:color w:val="auto"/>
              </w:rPr>
              <w:t>12,507</w:t>
            </w:r>
          </w:p>
        </w:tc>
        <w:tc>
          <w:tcPr>
            <w:tcW w:w="1080" w:type="dxa"/>
            <w:vAlign w:val="bottom"/>
            <w:gridSpan w:val="2"/>
          </w:tcPr>
          <w:p>
            <w:pPr>
              <w:ind w:left="640"/>
              <w:spacing w:after="0"/>
              <w:rPr>
                <w:sz w:val="20"/>
                <w:szCs w:val="20"/>
                <w:color w:val="auto"/>
              </w:rPr>
            </w:pPr>
            <w:r>
              <w:rPr>
                <w:rFonts w:ascii="Arial" w:cs="Arial" w:eastAsia="Arial" w:hAnsi="Arial"/>
                <w:sz w:val="15"/>
                <w:szCs w:val="15"/>
                <w:color w:val="auto"/>
                <w:w w:val="98"/>
              </w:rPr>
              <w:t>3.94%</w:t>
            </w:r>
          </w:p>
        </w:tc>
        <w:tc>
          <w:tcPr>
            <w:tcW w:w="10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020" w:type="dxa"/>
            <w:vAlign w:val="bottom"/>
          </w:tcPr>
          <w:p>
            <w:pPr>
              <w:jc w:val="right"/>
              <w:spacing w:after="0"/>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219"/>
        </w:trPr>
        <w:tc>
          <w:tcPr>
            <w:tcW w:w="460" w:type="dxa"/>
            <w:vAlign w:val="bottom"/>
            <w:gridSpan w:val="2"/>
          </w:tcPr>
          <w:p>
            <w:pPr>
              <w:ind w:left="20"/>
              <w:spacing w:after="0"/>
              <w:rPr>
                <w:sz w:val="20"/>
                <w:szCs w:val="20"/>
                <w:color w:val="auto"/>
              </w:rPr>
            </w:pPr>
            <w:r>
              <w:rPr>
                <w:rFonts w:ascii="Arial" w:cs="Arial" w:eastAsia="Arial" w:hAnsi="Arial"/>
                <w:sz w:val="15"/>
                <w:szCs w:val="15"/>
                <w:color w:val="auto"/>
              </w:rPr>
              <w:t>2019</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6,622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198,257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204,879</w:t>
            </w:r>
          </w:p>
        </w:tc>
        <w:tc>
          <w:tcPr>
            <w:tcW w:w="140" w:type="dxa"/>
            <w:vAlign w:val="bottom"/>
            <w:tcBorders>
              <w:right w:val="single" w:sz="8" w:color="9BDA44"/>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1,452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43,895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right w:val="single" w:sz="8" w:color="9BDA44"/>
            </w:tcBorders>
          </w:tcPr>
          <w:p>
            <w:pPr>
              <w:jc w:val="right"/>
              <w:ind w:right="87"/>
              <w:spacing w:after="0"/>
              <w:rPr>
                <w:sz w:val="20"/>
                <w:szCs w:val="20"/>
                <w:color w:val="auto"/>
              </w:rPr>
            </w:pPr>
            <w:r>
              <w:rPr>
                <w:rFonts w:ascii="Arial" w:cs="Arial" w:eastAsia="Arial" w:hAnsi="Arial"/>
                <w:sz w:val="15"/>
                <w:szCs w:val="15"/>
                <w:color w:val="auto"/>
              </w:rPr>
              <w:t>45,347</w:t>
            </w:r>
          </w:p>
        </w:tc>
        <w:tc>
          <w:tcPr>
            <w:tcW w:w="1080" w:type="dxa"/>
            <w:vAlign w:val="bottom"/>
            <w:gridSpan w:val="2"/>
          </w:tcPr>
          <w:p>
            <w:pPr>
              <w:ind w:left="640"/>
              <w:spacing w:after="0"/>
              <w:rPr>
                <w:sz w:val="20"/>
                <w:szCs w:val="20"/>
                <w:color w:val="auto"/>
              </w:rPr>
            </w:pPr>
            <w:r>
              <w:rPr>
                <w:rFonts w:ascii="Arial" w:cs="Arial" w:eastAsia="Arial" w:hAnsi="Arial"/>
                <w:sz w:val="15"/>
                <w:szCs w:val="15"/>
                <w:color w:val="auto"/>
                <w:w w:val="98"/>
              </w:rPr>
              <w:t>4.59%</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4.70%</w:t>
            </w:r>
          </w:p>
        </w:tc>
        <w:tc>
          <w:tcPr>
            <w:tcW w:w="0" w:type="dxa"/>
            <w:vAlign w:val="bottom"/>
          </w:tcPr>
          <w:p>
            <w:pPr>
              <w:spacing w:after="0"/>
              <w:rPr>
                <w:sz w:val="1"/>
                <w:szCs w:val="1"/>
                <w:color w:val="auto"/>
              </w:rPr>
            </w:pPr>
          </w:p>
        </w:tc>
      </w:tr>
      <w:tr>
        <w:trPr>
          <w:trHeight w:val="219"/>
        </w:trPr>
        <w:tc>
          <w:tcPr>
            <w:tcW w:w="460" w:type="dxa"/>
            <w:vAlign w:val="bottom"/>
            <w:gridSpan w:val="2"/>
          </w:tcPr>
          <w:p>
            <w:pPr>
              <w:ind w:left="20"/>
              <w:spacing w:after="0"/>
              <w:rPr>
                <w:sz w:val="20"/>
                <w:szCs w:val="20"/>
                <w:color w:val="auto"/>
              </w:rPr>
            </w:pPr>
            <w:r>
              <w:rPr>
                <w:rFonts w:ascii="Arial" w:cs="Arial" w:eastAsia="Arial" w:hAnsi="Arial"/>
                <w:sz w:val="15"/>
                <w:szCs w:val="15"/>
                <w:color w:val="auto"/>
              </w:rPr>
              <w:t>2020</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3,427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525,119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528,546</w:t>
            </w:r>
          </w:p>
        </w:tc>
        <w:tc>
          <w:tcPr>
            <w:tcW w:w="140" w:type="dxa"/>
            <w:vAlign w:val="bottom"/>
            <w:tcBorders>
              <w:right w:val="single" w:sz="8" w:color="9BDA44"/>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775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121,935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right w:val="single" w:sz="8" w:color="9BDA44"/>
            </w:tcBorders>
          </w:tcPr>
          <w:p>
            <w:pPr>
              <w:jc w:val="right"/>
              <w:ind w:right="87"/>
              <w:spacing w:after="0"/>
              <w:rPr>
                <w:sz w:val="20"/>
                <w:szCs w:val="20"/>
                <w:color w:val="auto"/>
              </w:rPr>
            </w:pPr>
            <w:r>
              <w:rPr>
                <w:rFonts w:ascii="Arial" w:cs="Arial" w:eastAsia="Arial" w:hAnsi="Arial"/>
                <w:sz w:val="15"/>
                <w:szCs w:val="15"/>
                <w:color w:val="auto"/>
              </w:rPr>
              <w:t>122,710</w:t>
            </w:r>
          </w:p>
        </w:tc>
        <w:tc>
          <w:tcPr>
            <w:tcW w:w="1080" w:type="dxa"/>
            <w:vAlign w:val="bottom"/>
            <w:gridSpan w:val="2"/>
          </w:tcPr>
          <w:p>
            <w:pPr>
              <w:ind w:left="640"/>
              <w:spacing w:after="0"/>
              <w:rPr>
                <w:sz w:val="20"/>
                <w:szCs w:val="20"/>
                <w:color w:val="auto"/>
              </w:rPr>
            </w:pPr>
            <w:r>
              <w:rPr>
                <w:rFonts w:ascii="Arial" w:cs="Arial" w:eastAsia="Arial" w:hAnsi="Arial"/>
                <w:sz w:val="15"/>
                <w:szCs w:val="15"/>
                <w:color w:val="auto"/>
                <w:w w:val="98"/>
              </w:rPr>
              <w:t>4.10%</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4.75%</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3.76%</w:t>
            </w:r>
          </w:p>
        </w:tc>
        <w:tc>
          <w:tcPr>
            <w:tcW w:w="0" w:type="dxa"/>
            <w:vAlign w:val="bottom"/>
          </w:tcPr>
          <w:p>
            <w:pPr>
              <w:spacing w:after="0"/>
              <w:rPr>
                <w:sz w:val="1"/>
                <w:szCs w:val="1"/>
                <w:color w:val="auto"/>
              </w:rPr>
            </w:pPr>
          </w:p>
        </w:tc>
      </w:tr>
      <w:tr>
        <w:trPr>
          <w:trHeight w:val="219"/>
        </w:trPr>
        <w:tc>
          <w:tcPr>
            <w:tcW w:w="460" w:type="dxa"/>
            <w:vAlign w:val="bottom"/>
            <w:gridSpan w:val="2"/>
          </w:tcPr>
          <w:p>
            <w:pPr>
              <w:ind w:left="20"/>
              <w:spacing w:after="0"/>
              <w:rPr>
                <w:sz w:val="20"/>
                <w:szCs w:val="20"/>
                <w:color w:val="auto"/>
              </w:rPr>
            </w:pPr>
            <w:r>
              <w:rPr>
                <w:rFonts w:ascii="Arial" w:cs="Arial" w:eastAsia="Arial" w:hAnsi="Arial"/>
                <w:sz w:val="15"/>
                <w:szCs w:val="15"/>
                <w:color w:val="auto"/>
              </w:rPr>
              <w:t>2021</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2,152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107,487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109,639</w:t>
            </w:r>
          </w:p>
        </w:tc>
        <w:tc>
          <w:tcPr>
            <w:tcW w:w="140" w:type="dxa"/>
            <w:vAlign w:val="bottom"/>
            <w:tcBorders>
              <w:right w:val="single" w:sz="8" w:color="9BDA44"/>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505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24,165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right w:val="single" w:sz="8" w:color="9BDA44"/>
            </w:tcBorders>
          </w:tcPr>
          <w:p>
            <w:pPr>
              <w:jc w:val="right"/>
              <w:ind w:right="87"/>
              <w:spacing w:after="0"/>
              <w:rPr>
                <w:sz w:val="20"/>
                <w:szCs w:val="20"/>
                <w:color w:val="auto"/>
              </w:rPr>
            </w:pPr>
            <w:r>
              <w:rPr>
                <w:rFonts w:ascii="Arial" w:cs="Arial" w:eastAsia="Arial" w:hAnsi="Arial"/>
                <w:sz w:val="15"/>
                <w:szCs w:val="15"/>
                <w:color w:val="auto"/>
              </w:rPr>
              <w:t>24,670</w:t>
            </w:r>
          </w:p>
        </w:tc>
        <w:tc>
          <w:tcPr>
            <w:tcW w:w="1080" w:type="dxa"/>
            <w:vAlign w:val="bottom"/>
            <w:gridSpan w:val="2"/>
          </w:tcPr>
          <w:p>
            <w:pPr>
              <w:ind w:left="640"/>
              <w:spacing w:after="0"/>
              <w:rPr>
                <w:sz w:val="20"/>
                <w:szCs w:val="20"/>
                <w:color w:val="auto"/>
              </w:rPr>
            </w:pPr>
            <w:r>
              <w:rPr>
                <w:rFonts w:ascii="Arial" w:cs="Arial" w:eastAsia="Arial" w:hAnsi="Arial"/>
                <w:sz w:val="15"/>
                <w:szCs w:val="15"/>
                <w:color w:val="auto"/>
                <w:w w:val="98"/>
              </w:rPr>
              <w:t>3.79%</w:t>
            </w: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020" w:type="dxa"/>
            <w:vAlign w:val="bottom"/>
          </w:tcPr>
          <w:p>
            <w:pPr>
              <w:jc w:val="right"/>
              <w:spacing w:after="0"/>
              <w:rPr>
                <w:sz w:val="20"/>
                <w:szCs w:val="20"/>
                <w:color w:val="auto"/>
              </w:rPr>
            </w:pPr>
            <w:r>
              <w:rPr>
                <w:rFonts w:ascii="Arial" w:cs="Arial" w:eastAsia="Arial" w:hAnsi="Arial"/>
                <w:sz w:val="15"/>
                <w:szCs w:val="15"/>
                <w:color w:val="auto"/>
              </w:rPr>
              <w:t>3.79%</w:t>
            </w:r>
          </w:p>
        </w:tc>
        <w:tc>
          <w:tcPr>
            <w:tcW w:w="0" w:type="dxa"/>
            <w:vAlign w:val="bottom"/>
          </w:tcPr>
          <w:p>
            <w:pPr>
              <w:spacing w:after="0"/>
              <w:rPr>
                <w:sz w:val="1"/>
                <w:szCs w:val="1"/>
                <w:color w:val="auto"/>
              </w:rPr>
            </w:pPr>
          </w:p>
        </w:tc>
      </w:tr>
      <w:tr>
        <w:trPr>
          <w:trHeight w:val="219"/>
        </w:trPr>
        <w:tc>
          <w:tcPr>
            <w:tcW w:w="460" w:type="dxa"/>
            <w:vAlign w:val="bottom"/>
            <w:gridSpan w:val="2"/>
          </w:tcPr>
          <w:p>
            <w:pPr>
              <w:ind w:left="20"/>
              <w:spacing w:after="0"/>
              <w:rPr>
                <w:sz w:val="20"/>
                <w:szCs w:val="20"/>
                <w:color w:val="auto"/>
              </w:rPr>
            </w:pPr>
            <w:r>
              <w:rPr>
                <w:rFonts w:ascii="Arial" w:cs="Arial" w:eastAsia="Arial" w:hAnsi="Arial"/>
                <w:sz w:val="15"/>
                <w:szCs w:val="15"/>
                <w:color w:val="auto"/>
              </w:rPr>
              <w:t>2022</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1,296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43,731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45,027</w:t>
            </w:r>
          </w:p>
        </w:tc>
        <w:tc>
          <w:tcPr>
            <w:tcW w:w="140" w:type="dxa"/>
            <w:vAlign w:val="bottom"/>
            <w:tcBorders>
              <w:right w:val="single" w:sz="8" w:color="9BDA44"/>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298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10,111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right w:val="single" w:sz="8" w:color="9BDA44"/>
            </w:tcBorders>
          </w:tcPr>
          <w:p>
            <w:pPr>
              <w:jc w:val="right"/>
              <w:ind w:right="87"/>
              <w:spacing w:after="0"/>
              <w:rPr>
                <w:sz w:val="20"/>
                <w:szCs w:val="20"/>
                <w:color w:val="auto"/>
              </w:rPr>
            </w:pPr>
            <w:r>
              <w:rPr>
                <w:rFonts w:ascii="Arial" w:cs="Arial" w:eastAsia="Arial" w:hAnsi="Arial"/>
                <w:sz w:val="15"/>
                <w:szCs w:val="15"/>
                <w:color w:val="auto"/>
              </w:rPr>
              <w:t>10,409</w:t>
            </w:r>
          </w:p>
        </w:tc>
        <w:tc>
          <w:tcPr>
            <w:tcW w:w="1080" w:type="dxa"/>
            <w:vAlign w:val="bottom"/>
            <w:gridSpan w:val="2"/>
          </w:tcPr>
          <w:p>
            <w:pPr>
              <w:ind w:left="640"/>
              <w:spacing w:after="0"/>
              <w:rPr>
                <w:sz w:val="20"/>
                <w:szCs w:val="20"/>
                <w:color w:val="auto"/>
              </w:rPr>
            </w:pPr>
            <w:r>
              <w:rPr>
                <w:rFonts w:ascii="Arial" w:cs="Arial" w:eastAsia="Arial" w:hAnsi="Arial"/>
                <w:sz w:val="15"/>
                <w:szCs w:val="15"/>
                <w:color w:val="auto"/>
                <w:w w:val="98"/>
              </w:rPr>
              <w:t>3.73%</w:t>
            </w: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020" w:type="dxa"/>
            <w:vAlign w:val="bottom"/>
          </w:tcPr>
          <w:p>
            <w:pPr>
              <w:jc w:val="right"/>
              <w:spacing w:after="0"/>
              <w:rPr>
                <w:sz w:val="20"/>
                <w:szCs w:val="20"/>
                <w:color w:val="auto"/>
              </w:rPr>
            </w:pPr>
            <w:r>
              <w:rPr>
                <w:rFonts w:ascii="Arial" w:cs="Arial" w:eastAsia="Arial" w:hAnsi="Arial"/>
                <w:sz w:val="15"/>
                <w:szCs w:val="15"/>
                <w:color w:val="auto"/>
              </w:rPr>
              <w:t>3.73%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Thereafter</w:t>
            </w: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15,766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15,766</w:t>
            </w:r>
          </w:p>
        </w:tc>
        <w:tc>
          <w:tcPr>
            <w:tcW w:w="140" w:type="dxa"/>
            <w:vAlign w:val="bottom"/>
            <w:tcBorders>
              <w:right w:val="single" w:sz="8" w:color="9BDA44"/>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3,589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right w:val="single" w:sz="8" w:color="9BDA44"/>
            </w:tcBorders>
          </w:tcPr>
          <w:p>
            <w:pPr>
              <w:jc w:val="right"/>
              <w:ind w:right="87"/>
              <w:spacing w:after="0"/>
              <w:rPr>
                <w:sz w:val="20"/>
                <w:szCs w:val="20"/>
                <w:color w:val="auto"/>
              </w:rPr>
            </w:pPr>
            <w:r>
              <w:rPr>
                <w:rFonts w:ascii="Arial" w:cs="Arial" w:eastAsia="Arial" w:hAnsi="Arial"/>
                <w:sz w:val="15"/>
                <w:szCs w:val="15"/>
                <w:color w:val="auto"/>
              </w:rPr>
              <w:t>3,589</w:t>
            </w:r>
          </w:p>
        </w:tc>
        <w:tc>
          <w:tcPr>
            <w:tcW w:w="1080" w:type="dxa"/>
            <w:vAlign w:val="bottom"/>
            <w:gridSpan w:val="2"/>
          </w:tcPr>
          <w:p>
            <w:pPr>
              <w:ind w:left="640"/>
              <w:spacing w:after="0"/>
              <w:rPr>
                <w:sz w:val="20"/>
                <w:szCs w:val="20"/>
                <w:color w:val="auto"/>
              </w:rPr>
            </w:pPr>
            <w:r>
              <w:rPr>
                <w:rFonts w:ascii="Arial" w:cs="Arial" w:eastAsia="Arial" w:hAnsi="Arial"/>
                <w:sz w:val="15"/>
                <w:szCs w:val="15"/>
                <w:color w:val="auto"/>
                <w:w w:val="98"/>
              </w:rPr>
              <w:t>3.57%</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3.57%</w:t>
            </w:r>
          </w:p>
        </w:tc>
        <w:tc>
          <w:tcPr>
            <w:tcW w:w="120" w:type="dxa"/>
            <w:vAlign w:val="bottom"/>
          </w:tcPr>
          <w:p>
            <w:pPr>
              <w:spacing w:after="0"/>
              <w:rPr>
                <w:sz w:val="19"/>
                <w:szCs w:val="19"/>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16,184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946,812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962,996</w:t>
            </w:r>
          </w:p>
        </w:tc>
        <w:tc>
          <w:tcPr>
            <w:tcW w:w="140" w:type="dxa"/>
            <w:vAlign w:val="bottom"/>
            <w:tcBorders>
              <w:right w:val="single" w:sz="8" w:color="9BDA44"/>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3,586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215,646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right w:val="single" w:sz="8" w:color="9BDA44"/>
            </w:tcBorders>
          </w:tcPr>
          <w:p>
            <w:pPr>
              <w:jc w:val="right"/>
              <w:ind w:right="87"/>
              <w:spacing w:after="0"/>
              <w:rPr>
                <w:sz w:val="20"/>
                <w:szCs w:val="20"/>
                <w:color w:val="auto"/>
              </w:rPr>
            </w:pPr>
            <w:r>
              <w:rPr>
                <w:rFonts w:ascii="Arial" w:cs="Arial" w:eastAsia="Arial" w:hAnsi="Arial"/>
                <w:sz w:val="15"/>
                <w:szCs w:val="15"/>
                <w:b w:val="1"/>
                <w:bCs w:val="1"/>
                <w:color w:val="auto"/>
              </w:rPr>
              <w:t>219,232</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0</wp:posOffset>
            </wp:positionV>
            <wp:extent cx="2019300" cy="173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19300" cy="1733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p>
    <w:p>
      <w:pPr>
        <w:spacing w:after="0" w:line="192" w:lineRule="exact"/>
        <w:rPr>
          <w:sz w:val="20"/>
          <w:szCs w:val="20"/>
          <w:color w:val="auto"/>
        </w:rPr>
      </w:pPr>
    </w:p>
    <w:p>
      <w:pPr>
        <w:ind w:left="540" w:hanging="270"/>
        <w:spacing w:after="0"/>
        <w:tabs>
          <w:tab w:leader="none" w:pos="5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Does not include any applicable extension options or subsequent refinancings.</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24</w:t>
            </w:r>
          </w:p>
        </w:tc>
      </w:tr>
    </w:tbl>
    <w:p>
      <w:pPr>
        <w:sectPr>
          <w:pgSz w:w="11900" w:h="16838" w:orient="portrait"/>
          <w:cols w:equalWidth="0" w:num="1">
            <w:col w:w="11220"/>
          </w:cols>
          <w:pgMar w:left="220" w:top="617" w:right="459" w:bottom="1440" w:gutter="0" w:footer="0" w:header="0"/>
        </w:sectPr>
      </w:pPr>
    </w:p>
    <w:bookmarkStart w:id="36" w:name="page37"/>
    <w:bookmarkEnd w:id="36"/>
    <w:p>
      <w:pPr>
        <w:ind w:left="20"/>
        <w:spacing w:after="0"/>
        <w:rPr>
          <w:sz w:val="20"/>
          <w:szCs w:val="20"/>
          <w:color w:val="auto"/>
        </w:rPr>
      </w:pPr>
      <w:r>
        <w:rPr>
          <w:rFonts w:ascii="Arial" w:cs="Arial" w:eastAsia="Arial" w:hAnsi="Arial"/>
          <w:sz w:val="20"/>
          <w:szCs w:val="20"/>
          <w:b w:val="1"/>
          <w:bCs w:val="1"/>
          <w:color w:val="auto"/>
        </w:rPr>
        <w:t xml:space="preserve">Core Portfolio Retail Properties - Detail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7265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96"/>
              </w:rPr>
              <w:t>Leased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227"/>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0" w:type="dxa"/>
            <w:vAlign w:val="bottom"/>
          </w:tcPr>
          <w:p>
            <w:pPr>
              <w:jc w:val="center"/>
              <w:ind w:left="116"/>
              <w:spacing w:after="0"/>
              <w:rPr>
                <w:sz w:val="20"/>
                <w:szCs w:val="20"/>
                <w:color w:val="auto"/>
              </w:rPr>
            </w:pPr>
            <w:r>
              <w:rPr>
                <w:rFonts w:ascii="Arial" w:cs="Arial" w:eastAsia="Arial" w:hAnsi="Arial"/>
                <w:sz w:val="9"/>
                <w:szCs w:val="9"/>
                <w:b w:val="1"/>
                <w:bCs w:val="1"/>
                <w:color w:val="auto"/>
                <w:w w:val="91"/>
              </w:rPr>
              <w:t>Year</w:t>
            </w:r>
          </w:p>
        </w:tc>
        <w:tc>
          <w:tcPr>
            <w:tcW w:w="560" w:type="dxa"/>
            <w:vAlign w:val="bottom"/>
          </w:tcPr>
          <w:p>
            <w:pPr>
              <w:jc w:val="right"/>
              <w:ind w:right="116"/>
              <w:spacing w:after="0"/>
              <w:rPr>
                <w:sz w:val="20"/>
                <w:szCs w:val="20"/>
                <w:color w:val="auto"/>
              </w:rPr>
            </w:pPr>
            <w:r>
              <w:rPr>
                <w:rFonts w:ascii="Arial" w:cs="Arial" w:eastAsia="Arial" w:hAnsi="Arial"/>
                <w:sz w:val="9"/>
                <w:szCs w:val="9"/>
                <w:b w:val="1"/>
                <w:bCs w:val="1"/>
                <w:color w:val="auto"/>
              </w:rPr>
              <w:t>Acadia's</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9"/>
                <w:szCs w:val="9"/>
                <w:b w:val="1"/>
                <w:bCs w:val="1"/>
                <w:color w:val="auto"/>
                <w:w w:val="99"/>
              </w:rPr>
              <w:t>Gross Leasable Area (GLA)</w:t>
            </w: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9"/>
                <w:szCs w:val="9"/>
                <w:b w:val="1"/>
                <w:bCs w:val="1"/>
                <w:color w:val="auto"/>
              </w:rPr>
              <w:t>In Place Occupancy</w:t>
            </w:r>
          </w:p>
        </w:tc>
        <w:tc>
          <w:tcPr>
            <w:tcW w:w="5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94"/>
              </w:rPr>
              <w:t>Occupancy</w:t>
            </w:r>
          </w:p>
        </w:tc>
        <w:tc>
          <w:tcPr>
            <w:tcW w:w="1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w w:val="99"/>
              </w:rPr>
              <w:t>Annualized</w:t>
            </w:r>
          </w:p>
        </w:tc>
        <w:tc>
          <w:tcPr>
            <w:tcW w:w="660" w:type="dxa"/>
            <w:vAlign w:val="bottom"/>
          </w:tcPr>
          <w:p>
            <w:pPr>
              <w:jc w:val="center"/>
              <w:ind w:left="56"/>
              <w:spacing w:after="0"/>
              <w:rPr>
                <w:sz w:val="20"/>
                <w:szCs w:val="20"/>
                <w:color w:val="auto"/>
              </w:rPr>
            </w:pPr>
            <w:r>
              <w:rPr>
                <w:rFonts w:ascii="Arial" w:cs="Arial" w:eastAsia="Arial" w:hAnsi="Arial"/>
                <w:sz w:val="9"/>
                <w:szCs w:val="9"/>
                <w:b w:val="1"/>
                <w:bCs w:val="1"/>
                <w:color w:val="auto"/>
                <w:w w:val="99"/>
              </w:rPr>
              <w:t>Annualized</w:t>
            </w:r>
          </w:p>
        </w:tc>
      </w:tr>
      <w:tr>
        <w:trPr>
          <w:trHeight w:val="75"/>
        </w:trPr>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Base Rent</w:t>
            </w:r>
          </w:p>
        </w:tc>
        <w:tc>
          <w:tcPr>
            <w:tcW w:w="660" w:type="dxa"/>
            <w:vAlign w:val="bottom"/>
          </w:tcPr>
          <w:p>
            <w:pPr>
              <w:jc w:val="center"/>
              <w:ind w:left="56"/>
              <w:spacing w:after="0" w:line="75" w:lineRule="exact"/>
              <w:rPr>
                <w:sz w:val="20"/>
                <w:szCs w:val="20"/>
                <w:color w:val="auto"/>
              </w:rPr>
            </w:pPr>
            <w:r>
              <w:rPr>
                <w:rFonts w:ascii="Arial" w:cs="Arial" w:eastAsia="Arial" w:hAnsi="Arial"/>
                <w:sz w:val="8"/>
                <w:szCs w:val="8"/>
                <w:b w:val="1"/>
                <w:bCs w:val="1"/>
                <w:color w:val="auto"/>
              </w:rPr>
              <w:t>Base Rent</w:t>
            </w:r>
          </w:p>
        </w:tc>
      </w:tr>
      <w:tr>
        <w:trPr>
          <w:trHeight w:val="124"/>
        </w:trPr>
        <w:tc>
          <w:tcPr>
            <w:tcW w:w="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5"/>
          </w:tcPr>
          <w:p>
            <w:pPr>
              <w:ind w:left="580"/>
              <w:spacing w:after="0"/>
              <w:rPr>
                <w:sz w:val="20"/>
                <w:szCs w:val="20"/>
                <w:color w:val="auto"/>
              </w:rPr>
            </w:pPr>
            <w:r>
              <w:rPr>
                <w:rFonts w:ascii="Arial" w:cs="Arial" w:eastAsia="Arial" w:hAnsi="Arial"/>
                <w:sz w:val="9"/>
                <w:szCs w:val="9"/>
                <w:b w:val="1"/>
                <w:bCs w:val="1"/>
                <w:color w:val="auto"/>
              </w:rPr>
              <w:t>Property</w:t>
            </w: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Key Tenants</w:t>
            </w:r>
          </w:p>
        </w:tc>
        <w:tc>
          <w:tcPr>
            <w:tcW w:w="620" w:type="dxa"/>
            <w:vAlign w:val="bottom"/>
            <w:tcBorders>
              <w:bottom w:val="single" w:sz="8" w:color="auto"/>
            </w:tcBorders>
          </w:tcPr>
          <w:p>
            <w:pPr>
              <w:jc w:val="center"/>
              <w:ind w:left="116"/>
              <w:spacing w:after="0"/>
              <w:rPr>
                <w:sz w:val="20"/>
                <w:szCs w:val="20"/>
                <w:color w:val="auto"/>
              </w:rPr>
            </w:pPr>
            <w:r>
              <w:rPr>
                <w:rFonts w:ascii="Arial" w:cs="Arial" w:eastAsia="Arial" w:hAnsi="Arial"/>
                <w:sz w:val="9"/>
                <w:szCs w:val="9"/>
                <w:b w:val="1"/>
                <w:bCs w:val="1"/>
                <w:color w:val="auto"/>
                <w:w w:val="97"/>
              </w:rPr>
              <w:t>Acquired</w:t>
            </w: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Interest</w:t>
            </w: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Street</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Anchors</w:t>
            </w: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9"/>
                <w:szCs w:val="9"/>
                <w:b w:val="1"/>
                <w:bCs w:val="1"/>
                <w:color w:val="auto"/>
              </w:rPr>
              <w:t>Shops</w:t>
            </w: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Total</w:t>
            </w: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9"/>
                <w:szCs w:val="9"/>
                <w:b w:val="1"/>
                <w:bCs w:val="1"/>
                <w:color w:val="auto"/>
              </w:rPr>
              <w:t>Street</w:t>
            </w: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b w:val="1"/>
                <w:bCs w:val="1"/>
                <w:color w:val="auto"/>
              </w:rPr>
              <w:t>Anchors</w:t>
            </w: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9"/>
                <w:szCs w:val="9"/>
                <w:b w:val="1"/>
                <w:bCs w:val="1"/>
                <w:color w:val="auto"/>
              </w:rPr>
              <w:t>Shops</w:t>
            </w: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Total</w:t>
            </w: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Total</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Total</w:t>
            </w:r>
          </w:p>
        </w:tc>
        <w:tc>
          <w:tcPr>
            <w:tcW w:w="660" w:type="dxa"/>
            <w:vAlign w:val="bottom"/>
            <w:tcBorders>
              <w:bottom w:val="single" w:sz="8" w:color="auto"/>
            </w:tcBorders>
          </w:tcPr>
          <w:p>
            <w:pPr>
              <w:jc w:val="center"/>
              <w:ind w:left="56"/>
              <w:spacing w:after="0"/>
              <w:rPr>
                <w:sz w:val="20"/>
                <w:szCs w:val="20"/>
                <w:color w:val="auto"/>
              </w:rPr>
            </w:pPr>
            <w:r>
              <w:rPr>
                <w:rFonts w:ascii="Arial" w:cs="Arial" w:eastAsia="Arial" w:hAnsi="Arial"/>
                <w:sz w:val="9"/>
                <w:szCs w:val="9"/>
                <w:b w:val="1"/>
                <w:bCs w:val="1"/>
                <w:color w:val="auto"/>
                <w:w w:val="96"/>
              </w:rPr>
              <w:t>PSF Total</w:t>
            </w:r>
          </w:p>
        </w:tc>
      </w:tr>
      <w:tr>
        <w:trPr>
          <w:trHeight w:val="299"/>
        </w:trPr>
        <w:tc>
          <w:tcPr>
            <w:tcW w:w="20" w:type="dxa"/>
            <w:vAlign w:val="bottom"/>
          </w:tcPr>
          <w:p>
            <w:pPr>
              <w:spacing w:after="0"/>
              <w:rPr>
                <w:sz w:val="24"/>
                <w:szCs w:val="24"/>
                <w:color w:val="auto"/>
              </w:rPr>
            </w:pPr>
          </w:p>
        </w:tc>
        <w:tc>
          <w:tcPr>
            <w:tcW w:w="1540" w:type="dxa"/>
            <w:vAlign w:val="bottom"/>
            <w:gridSpan w:val="5"/>
          </w:tcPr>
          <w:p>
            <w:pPr>
              <w:spacing w:after="0"/>
              <w:rPr>
                <w:sz w:val="20"/>
                <w:szCs w:val="20"/>
                <w:color w:val="auto"/>
              </w:rPr>
            </w:pPr>
            <w:r>
              <w:rPr>
                <w:rFonts w:ascii="Arial" w:cs="Arial" w:eastAsia="Arial" w:hAnsi="Arial"/>
                <w:sz w:val="9"/>
                <w:szCs w:val="9"/>
                <w:b w:val="1"/>
                <w:bCs w:val="1"/>
                <w:color w:val="auto"/>
              </w:rPr>
              <w:t>STREET AND URBAN RETAIL</w:t>
            </w:r>
          </w:p>
        </w:tc>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95"/>
              </w:rPr>
              <w:t>Chicago Metro</w:t>
            </w:r>
          </w:p>
        </w:tc>
        <w:tc>
          <w:tcPr>
            <w:tcW w:w="920" w:type="dxa"/>
            <w:vAlign w:val="bottom"/>
            <w:gridSpan w:val="4"/>
          </w:tcPr>
          <w:p>
            <w:pPr>
              <w:spacing w:after="0"/>
              <w:rPr>
                <w:sz w:val="17"/>
                <w:szCs w:val="17"/>
                <w:color w:val="auto"/>
              </w:rPr>
            </w:pPr>
          </w:p>
        </w:tc>
        <w:tc>
          <w:tcPr>
            <w:tcW w:w="1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664 N. Michigan Avenue</w:t>
            </w:r>
          </w:p>
        </w:tc>
        <w:tc>
          <w:tcPr>
            <w:tcW w:w="1720" w:type="dxa"/>
            <w:vAlign w:val="bottom"/>
          </w:tcPr>
          <w:p>
            <w:pPr>
              <w:ind w:left="20"/>
              <w:spacing w:after="0"/>
              <w:rPr>
                <w:sz w:val="20"/>
                <w:szCs w:val="20"/>
                <w:color w:val="auto"/>
              </w:rPr>
            </w:pPr>
            <w:r>
              <w:rPr>
                <w:rFonts w:ascii="Arial" w:cs="Arial" w:eastAsia="Arial" w:hAnsi="Arial"/>
                <w:sz w:val="9"/>
                <w:szCs w:val="9"/>
                <w:color w:val="auto"/>
              </w:rPr>
              <w:t>Tommy Bahama, Ann Taylor Loft</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2013</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18,141</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18,141</w:t>
            </w:r>
          </w:p>
        </w:tc>
        <w:tc>
          <w:tcPr>
            <w:tcW w:w="220" w:type="dxa"/>
            <w:vAlign w:val="bottom"/>
          </w:tcPr>
          <w:p>
            <w:pPr>
              <w:spacing w:after="0"/>
              <w:rPr>
                <w:sz w:val="18"/>
                <w:szCs w:val="18"/>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8"/>
                <w:szCs w:val="18"/>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  4,633,013</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   255.39</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840 N. Michigan Avenue</w:t>
            </w:r>
          </w:p>
        </w:tc>
        <w:tc>
          <w:tcPr>
            <w:tcW w:w="1720" w:type="dxa"/>
            <w:vAlign w:val="bottom"/>
          </w:tcPr>
          <w:p>
            <w:pPr>
              <w:ind w:left="20"/>
              <w:spacing w:after="0"/>
              <w:rPr>
                <w:sz w:val="20"/>
                <w:szCs w:val="20"/>
                <w:color w:val="auto"/>
              </w:rPr>
            </w:pPr>
            <w:r>
              <w:rPr>
                <w:rFonts w:ascii="Arial" w:cs="Arial" w:eastAsia="Arial" w:hAnsi="Arial"/>
                <w:sz w:val="9"/>
                <w:szCs w:val="9"/>
                <w:color w:val="auto"/>
              </w:rPr>
              <w:t>H &amp; M, Verizon Wireless</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2014</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88.4%</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87,135</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87,135</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7,738,046</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88.81</w:t>
            </w:r>
          </w:p>
        </w:tc>
      </w:tr>
      <w:tr>
        <w:trPr>
          <w:trHeight w:val="135"/>
        </w:trPr>
        <w:tc>
          <w:tcPr>
            <w:tcW w:w="20" w:type="dxa"/>
            <w:vAlign w:val="bottom"/>
          </w:tcPr>
          <w:p>
            <w:pPr>
              <w:spacing w:after="0"/>
              <w:rPr>
                <w:sz w:val="11"/>
                <w:szCs w:val="11"/>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w w:val="97"/>
              </w:rPr>
              <w:t>Rush and Walton Streets Collection - 5</w:t>
            </w:r>
          </w:p>
        </w:tc>
        <w:tc>
          <w:tcPr>
            <w:tcW w:w="1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properties</w:t>
            </w:r>
          </w:p>
        </w:tc>
        <w:tc>
          <w:tcPr>
            <w:tcW w:w="1720" w:type="dxa"/>
            <w:vAlign w:val="bottom"/>
          </w:tcPr>
          <w:p>
            <w:pPr>
              <w:ind w:left="20"/>
              <w:spacing w:after="0"/>
              <w:rPr>
                <w:sz w:val="20"/>
                <w:szCs w:val="20"/>
                <w:color w:val="auto"/>
              </w:rPr>
            </w:pPr>
            <w:r>
              <w:rPr>
                <w:rFonts w:ascii="Arial" w:cs="Arial" w:eastAsia="Arial" w:hAnsi="Arial"/>
                <w:sz w:val="9"/>
                <w:szCs w:val="9"/>
                <w:color w:val="auto"/>
              </w:rPr>
              <w:t>Lululemon, BHLDN, Marc Jacobs</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8"/>
              </w:rPr>
              <w:t>2011/12</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32,501</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32,501</w:t>
            </w:r>
          </w:p>
        </w:tc>
        <w:tc>
          <w:tcPr>
            <w:tcW w:w="220" w:type="dxa"/>
            <w:vAlign w:val="bottom"/>
          </w:tcPr>
          <w:p>
            <w:pPr>
              <w:spacing w:after="0"/>
              <w:rPr>
                <w:sz w:val="9"/>
                <w:szCs w:val="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85.3%</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85.3%</w:t>
            </w:r>
          </w:p>
        </w:tc>
        <w:tc>
          <w:tcPr>
            <w:tcW w:w="1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85.3%</w:t>
            </w:r>
          </w:p>
        </w:tc>
        <w:tc>
          <w:tcPr>
            <w:tcW w:w="180" w:type="dxa"/>
            <w:vAlign w:val="bottom"/>
          </w:tcPr>
          <w:p>
            <w:pPr>
              <w:spacing w:after="0"/>
              <w:rPr>
                <w:sz w:val="9"/>
                <w:szCs w:val="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5,869,428</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211.71</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651-671 West Diversey</w:t>
            </w:r>
          </w:p>
        </w:tc>
        <w:tc>
          <w:tcPr>
            <w:tcW w:w="1720" w:type="dxa"/>
            <w:vAlign w:val="bottom"/>
          </w:tcPr>
          <w:p>
            <w:pPr>
              <w:ind w:left="20"/>
              <w:spacing w:after="0"/>
              <w:rPr>
                <w:sz w:val="20"/>
                <w:szCs w:val="20"/>
                <w:color w:val="auto"/>
              </w:rPr>
            </w:pPr>
            <w:r>
              <w:rPr>
                <w:rFonts w:ascii="Arial" w:cs="Arial" w:eastAsia="Arial" w:hAnsi="Arial"/>
                <w:sz w:val="9"/>
                <w:szCs w:val="9"/>
                <w:color w:val="auto"/>
              </w:rPr>
              <w:t>Trader Joe's, Urban Outfitters</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2011</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46,259</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46,259</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2,022,727</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43.73</w:t>
            </w:r>
          </w:p>
        </w:tc>
      </w:tr>
      <w:tr>
        <w:trPr>
          <w:trHeight w:val="135"/>
        </w:trPr>
        <w:tc>
          <w:tcPr>
            <w:tcW w:w="20" w:type="dxa"/>
            <w:vAlign w:val="bottom"/>
          </w:tcPr>
          <w:p>
            <w:pPr>
              <w:spacing w:after="0"/>
              <w:rPr>
                <w:sz w:val="11"/>
                <w:szCs w:val="11"/>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Clark Street and W. Diversey</w:t>
            </w:r>
          </w:p>
        </w:tc>
        <w:tc>
          <w:tcPr>
            <w:tcW w:w="1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Collection - 3 properties</w:t>
            </w:r>
          </w:p>
        </w:tc>
        <w:tc>
          <w:tcPr>
            <w:tcW w:w="1720" w:type="dxa"/>
            <w:vAlign w:val="bottom"/>
          </w:tcPr>
          <w:p>
            <w:pPr>
              <w:ind w:left="40"/>
              <w:spacing w:after="0"/>
              <w:rPr>
                <w:sz w:val="20"/>
                <w:szCs w:val="20"/>
                <w:color w:val="auto"/>
              </w:rPr>
            </w:pPr>
            <w:r>
              <w:rPr>
                <w:rFonts w:ascii="Arial" w:cs="Arial" w:eastAsia="Arial" w:hAnsi="Arial"/>
                <w:sz w:val="9"/>
                <w:szCs w:val="9"/>
                <w:color w:val="auto"/>
              </w:rPr>
              <w:t>Ann Taylor, Akira</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8"/>
              </w:rPr>
              <w:t>2011/12</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23,531</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23,531</w:t>
            </w:r>
          </w:p>
        </w:tc>
        <w:tc>
          <w:tcPr>
            <w:tcW w:w="220" w:type="dxa"/>
            <w:vAlign w:val="bottom"/>
          </w:tcPr>
          <w:p>
            <w:pPr>
              <w:spacing w:after="0"/>
              <w:rPr>
                <w:sz w:val="9"/>
                <w:szCs w:val="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91.3%</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91.3%</w:t>
            </w:r>
          </w:p>
        </w:tc>
        <w:tc>
          <w:tcPr>
            <w:tcW w:w="1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91.3%</w:t>
            </w:r>
          </w:p>
        </w:tc>
        <w:tc>
          <w:tcPr>
            <w:tcW w:w="180" w:type="dxa"/>
            <w:vAlign w:val="bottom"/>
          </w:tcPr>
          <w:p>
            <w:pPr>
              <w:spacing w:after="0"/>
              <w:rPr>
                <w:sz w:val="9"/>
                <w:szCs w:val="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1,244,789</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57.94</w:t>
            </w:r>
          </w:p>
        </w:tc>
      </w:tr>
      <w:tr>
        <w:trPr>
          <w:trHeight w:val="135"/>
        </w:trPr>
        <w:tc>
          <w:tcPr>
            <w:tcW w:w="20" w:type="dxa"/>
            <w:vAlign w:val="bottom"/>
          </w:tcPr>
          <w:p>
            <w:pPr>
              <w:spacing w:after="0"/>
              <w:rPr>
                <w:sz w:val="11"/>
                <w:szCs w:val="11"/>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Halsted and Armitage Collection - 9</w:t>
            </w:r>
          </w:p>
        </w:tc>
        <w:tc>
          <w:tcPr>
            <w:tcW w:w="1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properties</w:t>
            </w:r>
          </w:p>
        </w:tc>
        <w:tc>
          <w:tcPr>
            <w:tcW w:w="1720" w:type="dxa"/>
            <w:vAlign w:val="bottom"/>
          </w:tcPr>
          <w:p>
            <w:pPr>
              <w:ind w:left="20"/>
              <w:spacing w:after="0"/>
              <w:rPr>
                <w:sz w:val="20"/>
                <w:szCs w:val="20"/>
                <w:color w:val="auto"/>
              </w:rPr>
            </w:pPr>
            <w:r>
              <w:rPr>
                <w:rFonts w:ascii="Arial" w:cs="Arial" w:eastAsia="Arial" w:hAnsi="Arial"/>
                <w:sz w:val="9"/>
                <w:szCs w:val="9"/>
                <w:color w:val="auto"/>
              </w:rPr>
              <w:t>Club Monaco</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8"/>
              </w:rPr>
              <w:t>2011/12</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45,151</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45,151</w:t>
            </w:r>
          </w:p>
        </w:tc>
        <w:tc>
          <w:tcPr>
            <w:tcW w:w="220" w:type="dxa"/>
            <w:vAlign w:val="bottom"/>
          </w:tcPr>
          <w:p>
            <w:pPr>
              <w:spacing w:after="0"/>
              <w:rPr>
                <w:sz w:val="9"/>
                <w:szCs w:val="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75.9%</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75.9%</w:t>
            </w:r>
          </w:p>
        </w:tc>
        <w:tc>
          <w:tcPr>
            <w:tcW w:w="1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75.9%</w:t>
            </w:r>
          </w:p>
        </w:tc>
        <w:tc>
          <w:tcPr>
            <w:tcW w:w="180" w:type="dxa"/>
            <w:vAlign w:val="bottom"/>
          </w:tcPr>
          <w:p>
            <w:pPr>
              <w:spacing w:after="0"/>
              <w:rPr>
                <w:sz w:val="9"/>
                <w:szCs w:val="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1,247,404</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36.40</w:t>
            </w:r>
          </w:p>
        </w:tc>
      </w:tr>
      <w:tr>
        <w:trPr>
          <w:trHeight w:val="135"/>
        </w:trPr>
        <w:tc>
          <w:tcPr>
            <w:tcW w:w="20" w:type="dxa"/>
            <w:vAlign w:val="bottom"/>
          </w:tcPr>
          <w:p>
            <w:pPr>
              <w:spacing w:after="0"/>
              <w:rPr>
                <w:sz w:val="11"/>
                <w:szCs w:val="11"/>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North Lincoln Park Chicago Collection</w:t>
            </w:r>
          </w:p>
        </w:tc>
        <w:tc>
          <w:tcPr>
            <w:tcW w:w="1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- 6 properties</w:t>
            </w:r>
          </w:p>
        </w:tc>
        <w:tc>
          <w:tcPr>
            <w:tcW w:w="1720" w:type="dxa"/>
            <w:vAlign w:val="bottom"/>
          </w:tcPr>
          <w:p>
            <w:pPr>
              <w:ind w:left="20"/>
              <w:spacing w:after="0"/>
              <w:rPr>
                <w:sz w:val="20"/>
                <w:szCs w:val="20"/>
                <w:color w:val="auto"/>
              </w:rPr>
            </w:pPr>
            <w:r>
              <w:rPr>
                <w:rFonts w:ascii="Arial" w:cs="Arial" w:eastAsia="Arial" w:hAnsi="Arial"/>
                <w:sz w:val="9"/>
                <w:szCs w:val="9"/>
                <w:color w:val="auto"/>
              </w:rPr>
              <w:t>Forever 21, Aldo, Carhartt</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8"/>
              </w:rPr>
              <w:t>2011/14</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22,125</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28,836</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50,961</w:t>
            </w:r>
          </w:p>
        </w:tc>
        <w:tc>
          <w:tcPr>
            <w:tcW w:w="220" w:type="dxa"/>
            <w:vAlign w:val="bottom"/>
          </w:tcPr>
          <w:p>
            <w:pPr>
              <w:spacing w:after="0"/>
              <w:rPr>
                <w:sz w:val="9"/>
                <w:szCs w:val="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29.6%</w:t>
            </w:r>
          </w:p>
        </w:tc>
        <w:tc>
          <w:tcPr>
            <w:tcW w:w="500" w:type="dxa"/>
            <w:vAlign w:val="bottom"/>
          </w:tcPr>
          <w:p>
            <w:pPr>
              <w:jc w:val="right"/>
              <w:spacing w:after="0"/>
              <w:rPr>
                <w:sz w:val="20"/>
                <w:szCs w:val="20"/>
                <w:color w:val="auto"/>
              </w:rPr>
            </w:pPr>
            <w:r>
              <w:rPr>
                <w:rFonts w:ascii="Arial" w:cs="Arial" w:eastAsia="Arial" w:hAnsi="Arial"/>
                <w:sz w:val="9"/>
                <w:szCs w:val="9"/>
                <w:color w:val="auto"/>
              </w:rPr>
              <w:t>60.2%</w:t>
            </w:r>
          </w:p>
        </w:tc>
        <w:tc>
          <w:tcPr>
            <w:tcW w:w="1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60.2%</w:t>
            </w:r>
          </w:p>
        </w:tc>
        <w:tc>
          <w:tcPr>
            <w:tcW w:w="180" w:type="dxa"/>
            <w:vAlign w:val="bottom"/>
          </w:tcPr>
          <w:p>
            <w:pPr>
              <w:spacing w:after="0"/>
              <w:rPr>
                <w:sz w:val="9"/>
                <w:szCs w:val="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1,320,786</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43.05</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State and Washington</w:t>
            </w:r>
          </w:p>
        </w:tc>
        <w:tc>
          <w:tcPr>
            <w:tcW w:w="1720" w:type="dxa"/>
            <w:vAlign w:val="bottom"/>
          </w:tcPr>
          <w:p>
            <w:pPr>
              <w:ind w:left="20"/>
              <w:spacing w:after="0"/>
              <w:rPr>
                <w:sz w:val="20"/>
                <w:szCs w:val="20"/>
                <w:color w:val="auto"/>
              </w:rPr>
            </w:pPr>
            <w:r>
              <w:rPr>
                <w:rFonts w:ascii="Arial" w:cs="Arial" w:eastAsia="Arial" w:hAnsi="Arial"/>
                <w:sz w:val="9"/>
                <w:szCs w:val="9"/>
                <w:color w:val="auto"/>
              </w:rPr>
              <w:t>H &amp; M, Nordstrom Rack</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78,819</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78,819</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2,969,482</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37.67</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151 N. State Street</w:t>
            </w:r>
          </w:p>
        </w:tc>
        <w:tc>
          <w:tcPr>
            <w:tcW w:w="1720" w:type="dxa"/>
            <w:vAlign w:val="bottom"/>
          </w:tcPr>
          <w:p>
            <w:pPr>
              <w:ind w:left="20"/>
              <w:spacing w:after="0"/>
              <w:rPr>
                <w:sz w:val="20"/>
                <w:szCs w:val="20"/>
                <w:color w:val="auto"/>
              </w:rPr>
            </w:pPr>
            <w:r>
              <w:rPr>
                <w:rFonts w:ascii="Arial" w:cs="Arial" w:eastAsia="Arial" w:hAnsi="Arial"/>
                <w:sz w:val="9"/>
                <w:szCs w:val="9"/>
                <w:color w:val="auto"/>
              </w:rPr>
              <w:t>Walgreens</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27,385</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27,385</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1,430,000</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52.22</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North and Kingsbury</w:t>
            </w:r>
          </w:p>
        </w:tc>
        <w:tc>
          <w:tcPr>
            <w:tcW w:w="1720" w:type="dxa"/>
            <w:vAlign w:val="bottom"/>
          </w:tcPr>
          <w:p>
            <w:pPr>
              <w:ind w:left="20"/>
              <w:spacing w:after="0"/>
              <w:rPr>
                <w:sz w:val="20"/>
                <w:szCs w:val="20"/>
                <w:color w:val="auto"/>
              </w:rPr>
            </w:pPr>
            <w:r>
              <w:rPr>
                <w:rFonts w:ascii="Arial" w:cs="Arial" w:eastAsia="Arial" w:hAnsi="Arial"/>
                <w:sz w:val="9"/>
                <w:szCs w:val="9"/>
                <w:color w:val="auto"/>
              </w:rPr>
              <w:t>Old Navy, Pier 1 Imports</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41,700</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41,700</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1,617,182</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38.78</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Concord and Milwaukee</w:t>
            </w:r>
          </w:p>
        </w:tc>
        <w:tc>
          <w:tcPr>
            <w:tcW w:w="1720" w:type="dxa"/>
            <w:vAlign w:val="bottom"/>
          </w:tcPr>
          <w:p>
            <w:pPr>
              <w:ind w:left="20"/>
              <w:spacing w:after="0"/>
              <w:rPr>
                <w:sz w:val="20"/>
                <w:szCs w:val="20"/>
                <w:color w:val="auto"/>
              </w:rPr>
            </w:pPr>
            <w:r>
              <w:rPr>
                <w:rFonts w:ascii="Arial" w:cs="Arial" w:eastAsia="Arial" w:hAnsi="Arial"/>
                <w:sz w:val="9"/>
                <w:szCs w:val="9"/>
                <w:color w:val="auto"/>
              </w:rPr>
              <w:t>—</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13,105</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13,105</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87.8%</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87.8%</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87.8%</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365,354</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31.75</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California and Armitage</w:t>
            </w:r>
          </w:p>
        </w:tc>
        <w:tc>
          <w:tcPr>
            <w:tcW w:w="1720" w:type="dxa"/>
            <w:vAlign w:val="bottom"/>
          </w:tcPr>
          <w:p>
            <w:pPr>
              <w:ind w:left="20"/>
              <w:spacing w:after="0"/>
              <w:rPr>
                <w:sz w:val="20"/>
                <w:szCs w:val="20"/>
                <w:color w:val="auto"/>
              </w:rPr>
            </w:pPr>
            <w:r>
              <w:rPr>
                <w:rFonts w:ascii="Arial" w:cs="Arial" w:eastAsia="Arial" w:hAnsi="Arial"/>
                <w:sz w:val="9"/>
                <w:szCs w:val="9"/>
                <w:color w:val="auto"/>
              </w:rPr>
              <w:t>—</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18,275</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18,275</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70.6%</w:t>
            </w:r>
          </w:p>
        </w:tc>
        <w:tc>
          <w:tcPr>
            <w:tcW w:w="500" w:type="dxa"/>
            <w:vAlign w:val="bottom"/>
          </w:tcPr>
          <w:p>
            <w:pPr>
              <w:jc w:val="right"/>
              <w:spacing w:after="0"/>
              <w:rPr>
                <w:sz w:val="20"/>
                <w:szCs w:val="20"/>
                <w:color w:val="auto"/>
              </w:rPr>
            </w:pPr>
            <w:r>
              <w:rPr>
                <w:rFonts w:ascii="Arial" w:cs="Arial" w:eastAsia="Arial" w:hAnsi="Arial"/>
                <w:sz w:val="9"/>
                <w:szCs w:val="9"/>
                <w:color w:val="auto"/>
              </w:rPr>
              <w:t>70.6%</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70.6%</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613,085</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47.52</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Roosevelt Galleria</w:t>
            </w:r>
          </w:p>
        </w:tc>
        <w:tc>
          <w:tcPr>
            <w:tcW w:w="1720" w:type="dxa"/>
            <w:vAlign w:val="bottom"/>
          </w:tcPr>
          <w:p>
            <w:pPr>
              <w:ind w:left="20"/>
              <w:spacing w:after="0"/>
              <w:rPr>
                <w:sz w:val="20"/>
                <w:szCs w:val="20"/>
                <w:color w:val="auto"/>
              </w:rPr>
            </w:pPr>
            <w:r>
              <w:rPr>
                <w:rFonts w:ascii="Arial" w:cs="Arial" w:eastAsia="Arial" w:hAnsi="Arial"/>
                <w:sz w:val="9"/>
                <w:szCs w:val="9"/>
                <w:color w:val="auto"/>
              </w:rPr>
              <w:t>Petco, Vitamin Shoppe</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2015</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37,995</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37,995</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63.9%</w:t>
            </w:r>
          </w:p>
        </w:tc>
        <w:tc>
          <w:tcPr>
            <w:tcW w:w="500" w:type="dxa"/>
            <w:vAlign w:val="bottom"/>
          </w:tcPr>
          <w:p>
            <w:pPr>
              <w:jc w:val="right"/>
              <w:spacing w:after="0"/>
              <w:rPr>
                <w:sz w:val="20"/>
                <w:szCs w:val="20"/>
                <w:color w:val="auto"/>
              </w:rPr>
            </w:pPr>
            <w:r>
              <w:rPr>
                <w:rFonts w:ascii="Arial" w:cs="Arial" w:eastAsia="Arial" w:hAnsi="Arial"/>
                <w:sz w:val="9"/>
                <w:szCs w:val="9"/>
                <w:color w:val="auto"/>
              </w:rPr>
              <w:t>63.9%</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63.9%</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701,982</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28.91</w:t>
            </w:r>
          </w:p>
        </w:tc>
      </w:tr>
      <w:tr>
        <w:trPr>
          <w:trHeight w:val="227"/>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Sullivan Center</w:t>
            </w:r>
          </w:p>
        </w:tc>
        <w:tc>
          <w:tcPr>
            <w:tcW w:w="1720" w:type="dxa"/>
            <w:vAlign w:val="bottom"/>
          </w:tcPr>
          <w:p>
            <w:pPr>
              <w:ind w:left="20"/>
              <w:spacing w:after="0"/>
              <w:rPr>
                <w:sz w:val="20"/>
                <w:szCs w:val="20"/>
                <w:color w:val="auto"/>
              </w:rPr>
            </w:pPr>
            <w:r>
              <w:rPr>
                <w:rFonts w:ascii="Arial" w:cs="Arial" w:eastAsia="Arial" w:hAnsi="Arial"/>
                <w:sz w:val="9"/>
                <w:szCs w:val="9"/>
                <w:color w:val="auto"/>
              </w:rPr>
              <w:t>Target, DSW</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176,181</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176,181</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97.7%</w:t>
            </w: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97.7%</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97.7%</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6,541,661</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38.00</w:t>
            </w: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612,033</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85,106</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697,139</w:t>
            </w:r>
          </w:p>
        </w:tc>
        <w:tc>
          <w:tcPr>
            <w:tcW w:w="22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96.2%</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53.7%</w:t>
            </w:r>
          </w:p>
        </w:tc>
        <w:tc>
          <w:tcPr>
            <w:tcW w:w="500" w:type="dxa"/>
            <w:vAlign w:val="bottom"/>
          </w:tcPr>
          <w:p>
            <w:pPr>
              <w:jc w:val="right"/>
              <w:spacing w:after="0"/>
              <w:rPr>
                <w:sz w:val="20"/>
                <w:szCs w:val="20"/>
                <w:color w:val="auto"/>
              </w:rPr>
            </w:pPr>
            <w:r>
              <w:rPr>
                <w:rFonts w:ascii="Arial" w:cs="Arial" w:eastAsia="Arial" w:hAnsi="Arial"/>
                <w:sz w:val="9"/>
                <w:szCs w:val="9"/>
                <w:color w:val="auto"/>
              </w:rPr>
              <w:t>91.0%</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91.0%</w:t>
            </w:r>
          </w:p>
        </w:tc>
        <w:tc>
          <w:tcPr>
            <w:tcW w:w="180" w:type="dxa"/>
            <w:vAlign w:val="bottom"/>
          </w:tcPr>
          <w:p>
            <w:pPr>
              <w:spacing w:after="0"/>
              <w:rPr>
                <w:sz w:val="17"/>
                <w:szCs w:val="17"/>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38,314,939</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60.40</w:t>
            </w:r>
          </w:p>
        </w:tc>
      </w:tr>
      <w:tr>
        <w:trPr>
          <w:trHeight w:val="203"/>
        </w:trPr>
        <w:tc>
          <w:tcPr>
            <w:tcW w:w="20" w:type="dxa"/>
            <w:vAlign w:val="bottom"/>
          </w:tcPr>
          <w:p>
            <w:pPr>
              <w:spacing w:after="0"/>
              <w:rPr>
                <w:sz w:val="17"/>
                <w:szCs w:val="17"/>
                <w:color w:val="auto"/>
              </w:rPr>
            </w:pPr>
          </w:p>
        </w:tc>
        <w:tc>
          <w:tcPr>
            <w:tcW w:w="1540" w:type="dxa"/>
            <w:vAlign w:val="bottom"/>
            <w:gridSpan w:val="5"/>
          </w:tcPr>
          <w:p>
            <w:pPr>
              <w:spacing w:after="0"/>
              <w:rPr>
                <w:sz w:val="20"/>
                <w:szCs w:val="20"/>
                <w:color w:val="auto"/>
              </w:rPr>
            </w:pPr>
            <w:r>
              <w:rPr>
                <w:rFonts w:ascii="Arial" w:cs="Arial" w:eastAsia="Arial" w:hAnsi="Arial"/>
                <w:sz w:val="9"/>
                <w:szCs w:val="9"/>
                <w:b w:val="1"/>
                <w:bCs w:val="1"/>
                <w:color w:val="auto"/>
              </w:rPr>
              <w:t>New York Metro</w:t>
            </w:r>
          </w:p>
        </w:tc>
        <w:tc>
          <w:tcPr>
            <w:tcW w:w="1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Soho Collection - 4 properties</w:t>
            </w:r>
          </w:p>
        </w:tc>
        <w:tc>
          <w:tcPr>
            <w:tcW w:w="1720" w:type="dxa"/>
            <w:vAlign w:val="bottom"/>
          </w:tcPr>
          <w:p>
            <w:pPr>
              <w:ind w:left="20"/>
              <w:spacing w:after="0"/>
              <w:rPr>
                <w:sz w:val="20"/>
                <w:szCs w:val="20"/>
                <w:color w:val="auto"/>
              </w:rPr>
            </w:pPr>
            <w:r>
              <w:rPr>
                <w:rFonts w:ascii="Arial" w:cs="Arial" w:eastAsia="Arial" w:hAnsi="Arial"/>
                <w:sz w:val="9"/>
                <w:szCs w:val="9"/>
                <w:color w:val="auto"/>
              </w:rPr>
              <w:t>Paper Source, Kate Spade, 3x1 Jeans</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8"/>
              </w:rPr>
              <w:t>2011/14</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12,511</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12,511</w:t>
            </w:r>
          </w:p>
        </w:tc>
        <w:tc>
          <w:tcPr>
            <w:tcW w:w="220" w:type="dxa"/>
            <w:vAlign w:val="bottom"/>
          </w:tcPr>
          <w:p>
            <w:pPr>
              <w:ind w:left="20"/>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82.4%</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82.4%</w:t>
            </w:r>
          </w:p>
        </w:tc>
        <w:tc>
          <w:tcPr>
            <w:tcW w:w="180" w:type="dxa"/>
            <w:vAlign w:val="bottom"/>
          </w:tcPr>
          <w:p>
            <w:pPr>
              <w:ind w:left="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82.4%</w:t>
            </w:r>
          </w:p>
        </w:tc>
        <w:tc>
          <w:tcPr>
            <w:tcW w:w="180" w:type="dxa"/>
            <w:vAlign w:val="bottom"/>
          </w:tcPr>
          <w:p>
            <w:pPr>
              <w:ind w:left="40"/>
              <w:spacing w:after="0"/>
              <w:rPr>
                <w:sz w:val="20"/>
                <w:szCs w:val="20"/>
                <w:color w:val="auto"/>
              </w:rPr>
            </w:pPr>
            <w:r>
              <w:rPr>
                <w:rFonts w:ascii="Arial" w:cs="Arial" w:eastAsia="Arial" w:hAnsi="Arial"/>
                <w:sz w:val="9"/>
                <w:szCs w:val="9"/>
                <w:color w:val="auto"/>
              </w:rPr>
              <w:t>—</w:t>
            </w: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3,205,513</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310.94</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5-7 East 17th Street</w:t>
            </w:r>
          </w:p>
        </w:tc>
        <w:tc>
          <w:tcPr>
            <w:tcW w:w="1720" w:type="dxa"/>
            <w:vAlign w:val="bottom"/>
          </w:tcPr>
          <w:p>
            <w:pPr>
              <w:ind w:left="20"/>
              <w:spacing w:after="0"/>
              <w:rPr>
                <w:sz w:val="20"/>
                <w:szCs w:val="20"/>
                <w:color w:val="auto"/>
              </w:rPr>
            </w:pPr>
            <w:r>
              <w:rPr>
                <w:rFonts w:ascii="Arial" w:cs="Arial" w:eastAsia="Arial" w:hAnsi="Arial"/>
                <w:sz w:val="9"/>
                <w:szCs w:val="9"/>
                <w:color w:val="auto"/>
              </w:rPr>
              <w:t>Union Fare</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2008</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11,467</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11,467</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1,300,014</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113.37</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200 West 54th Street</w:t>
            </w:r>
          </w:p>
        </w:tc>
        <w:tc>
          <w:tcPr>
            <w:tcW w:w="1720" w:type="dxa"/>
            <w:vAlign w:val="bottom"/>
          </w:tcPr>
          <w:p>
            <w:pPr>
              <w:ind w:left="20"/>
              <w:spacing w:after="0"/>
              <w:rPr>
                <w:sz w:val="20"/>
                <w:szCs w:val="20"/>
                <w:color w:val="auto"/>
              </w:rPr>
            </w:pPr>
            <w:r>
              <w:rPr>
                <w:rFonts w:ascii="Arial" w:cs="Arial" w:eastAsia="Arial" w:hAnsi="Arial"/>
                <w:sz w:val="9"/>
                <w:szCs w:val="9"/>
                <w:color w:val="auto"/>
              </w:rPr>
              <w:t>Stage Coach Tavern</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2007</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5,777</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5,777</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77.8%</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77.8%</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77.8%</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1,947,714</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433.35</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61 Main Street</w:t>
            </w:r>
          </w:p>
        </w:tc>
        <w:tc>
          <w:tcPr>
            <w:tcW w:w="1720" w:type="dxa"/>
            <w:vAlign w:val="bottom"/>
          </w:tcPr>
          <w:p>
            <w:pPr>
              <w:ind w:left="20"/>
              <w:spacing w:after="0"/>
              <w:rPr>
                <w:sz w:val="20"/>
                <w:szCs w:val="20"/>
                <w:color w:val="auto"/>
              </w:rPr>
            </w:pPr>
            <w:r>
              <w:rPr>
                <w:rFonts w:ascii="Arial" w:cs="Arial" w:eastAsia="Arial" w:hAnsi="Arial"/>
                <w:sz w:val="9"/>
                <w:szCs w:val="9"/>
                <w:color w:val="auto"/>
              </w:rPr>
              <w:t>—</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2014</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3,400</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3,400</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181 Main Street</w:t>
            </w:r>
          </w:p>
        </w:tc>
        <w:tc>
          <w:tcPr>
            <w:tcW w:w="1720" w:type="dxa"/>
            <w:vAlign w:val="bottom"/>
          </w:tcPr>
          <w:p>
            <w:pPr>
              <w:ind w:left="20"/>
              <w:spacing w:after="0"/>
              <w:rPr>
                <w:sz w:val="20"/>
                <w:szCs w:val="20"/>
                <w:color w:val="auto"/>
              </w:rPr>
            </w:pPr>
            <w:r>
              <w:rPr>
                <w:rFonts w:ascii="Arial" w:cs="Arial" w:eastAsia="Arial" w:hAnsi="Arial"/>
                <w:sz w:val="9"/>
                <w:szCs w:val="9"/>
                <w:color w:val="auto"/>
              </w:rPr>
              <w:t>TD Bank</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2012</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11,350</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11,350</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964,280</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84.96</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4401 White Plains Road</w:t>
            </w:r>
          </w:p>
        </w:tc>
        <w:tc>
          <w:tcPr>
            <w:tcW w:w="1720" w:type="dxa"/>
            <w:vAlign w:val="bottom"/>
          </w:tcPr>
          <w:p>
            <w:pPr>
              <w:ind w:left="20"/>
              <w:spacing w:after="0"/>
              <w:rPr>
                <w:sz w:val="20"/>
                <w:szCs w:val="20"/>
                <w:color w:val="auto"/>
              </w:rPr>
            </w:pPr>
            <w:r>
              <w:rPr>
                <w:rFonts w:ascii="Arial" w:cs="Arial" w:eastAsia="Arial" w:hAnsi="Arial"/>
                <w:sz w:val="9"/>
                <w:szCs w:val="9"/>
                <w:color w:val="auto"/>
              </w:rPr>
              <w:t>Walgreens</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2011</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12,964</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12,964</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625,000</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48.21</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Bartow Avenue</w:t>
            </w:r>
          </w:p>
        </w:tc>
        <w:tc>
          <w:tcPr>
            <w:tcW w:w="1720" w:type="dxa"/>
            <w:vAlign w:val="bottom"/>
          </w:tcPr>
          <w:p>
            <w:pPr>
              <w:ind w:left="20"/>
              <w:spacing w:after="0"/>
              <w:rPr>
                <w:sz w:val="20"/>
                <w:szCs w:val="20"/>
                <w:color w:val="auto"/>
              </w:rPr>
            </w:pPr>
            <w:r>
              <w:rPr>
                <w:rFonts w:ascii="Arial" w:cs="Arial" w:eastAsia="Arial" w:hAnsi="Arial"/>
                <w:sz w:val="9"/>
                <w:szCs w:val="9"/>
                <w:color w:val="auto"/>
              </w:rPr>
              <w:t>Mattress Firm</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2005</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14,590</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14,590</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485,495</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33.28</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239 Greenwich Avenue</w:t>
            </w:r>
          </w:p>
        </w:tc>
        <w:tc>
          <w:tcPr>
            <w:tcW w:w="1720" w:type="dxa"/>
            <w:vAlign w:val="bottom"/>
          </w:tcPr>
          <w:p>
            <w:pPr>
              <w:ind w:left="20"/>
              <w:spacing w:after="0"/>
              <w:rPr>
                <w:sz w:val="20"/>
                <w:szCs w:val="20"/>
                <w:color w:val="auto"/>
              </w:rPr>
            </w:pPr>
            <w:r>
              <w:rPr>
                <w:rFonts w:ascii="Arial" w:cs="Arial" w:eastAsia="Arial" w:hAnsi="Arial"/>
                <w:sz w:val="9"/>
                <w:szCs w:val="9"/>
                <w:color w:val="auto"/>
              </w:rPr>
              <w:t>Betteridge Jewelers</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1998</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75.0%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16,553</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16,553</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1,546,912</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93.45</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252-256 Greenwich Avenue</w:t>
            </w:r>
          </w:p>
        </w:tc>
        <w:tc>
          <w:tcPr>
            <w:tcW w:w="1720" w:type="dxa"/>
            <w:vAlign w:val="bottom"/>
          </w:tcPr>
          <w:p>
            <w:pPr>
              <w:ind w:left="20"/>
              <w:spacing w:after="0"/>
              <w:rPr>
                <w:sz w:val="20"/>
                <w:szCs w:val="20"/>
                <w:color w:val="auto"/>
              </w:rPr>
            </w:pPr>
            <w:r>
              <w:rPr>
                <w:rFonts w:ascii="Arial" w:cs="Arial" w:eastAsia="Arial" w:hAnsi="Arial"/>
                <w:sz w:val="9"/>
                <w:szCs w:val="9"/>
                <w:color w:val="auto"/>
              </w:rPr>
              <w:t>Madewell, Jack Wills</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2014</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7,986</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7,986</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71.0%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71.0%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71.0%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1,058,059</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186.60</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2914 Third Avenue</w:t>
            </w:r>
          </w:p>
        </w:tc>
        <w:tc>
          <w:tcPr>
            <w:tcW w:w="1720" w:type="dxa"/>
            <w:vAlign w:val="bottom"/>
          </w:tcPr>
          <w:p>
            <w:pPr>
              <w:ind w:left="20"/>
              <w:spacing w:after="0"/>
              <w:rPr>
                <w:sz w:val="20"/>
                <w:szCs w:val="20"/>
                <w:color w:val="auto"/>
              </w:rPr>
            </w:pPr>
            <w:r>
              <w:rPr>
                <w:rFonts w:ascii="Arial" w:cs="Arial" w:eastAsia="Arial" w:hAnsi="Arial"/>
                <w:sz w:val="9"/>
                <w:szCs w:val="9"/>
                <w:color w:val="auto"/>
              </w:rPr>
              <w:t>Planet Fitness</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2006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21,650</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18,670</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40,320</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963,001</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23.88</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868 Broadway</w:t>
            </w:r>
          </w:p>
        </w:tc>
        <w:tc>
          <w:tcPr>
            <w:tcW w:w="1720" w:type="dxa"/>
            <w:vAlign w:val="bottom"/>
          </w:tcPr>
          <w:p>
            <w:pPr>
              <w:ind w:left="20"/>
              <w:spacing w:after="0"/>
              <w:rPr>
                <w:sz w:val="20"/>
                <w:szCs w:val="20"/>
                <w:color w:val="auto"/>
              </w:rPr>
            </w:pPr>
            <w:r>
              <w:rPr>
                <w:rFonts w:ascii="Arial" w:cs="Arial" w:eastAsia="Arial" w:hAnsi="Arial"/>
                <w:sz w:val="9"/>
                <w:szCs w:val="9"/>
                <w:color w:val="auto"/>
              </w:rPr>
              <w:t>Dr. Martens</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2013</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2,031</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2,031</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745,315</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366.97</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 xml:space="preserve">313-315 Bowery </w:t>
            </w:r>
            <w:r>
              <w:rPr>
                <w:rFonts w:ascii="Arial" w:cs="Arial" w:eastAsia="Arial" w:hAnsi="Arial"/>
                <w:sz w:val="5"/>
                <w:szCs w:val="5"/>
                <w:color w:val="auto"/>
              </w:rPr>
              <w:t>2</w:t>
            </w:r>
          </w:p>
        </w:tc>
        <w:tc>
          <w:tcPr>
            <w:tcW w:w="1720" w:type="dxa"/>
            <w:vAlign w:val="bottom"/>
          </w:tcPr>
          <w:p>
            <w:pPr>
              <w:ind w:left="20"/>
              <w:spacing w:after="0"/>
              <w:rPr>
                <w:sz w:val="20"/>
                <w:szCs w:val="20"/>
                <w:color w:val="auto"/>
              </w:rPr>
            </w:pPr>
            <w:r>
              <w:rPr>
                <w:rFonts w:ascii="Arial" w:cs="Arial" w:eastAsia="Arial" w:hAnsi="Arial"/>
                <w:sz w:val="9"/>
                <w:szCs w:val="9"/>
                <w:color w:val="auto"/>
              </w:rPr>
              <w:t>John Varvatos, Patagonia</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2013</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6,600</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6,600</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479,160</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72.60</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120 West Broadway</w:t>
            </w:r>
          </w:p>
        </w:tc>
        <w:tc>
          <w:tcPr>
            <w:tcW w:w="1720" w:type="dxa"/>
            <w:vAlign w:val="bottom"/>
          </w:tcPr>
          <w:p>
            <w:pPr>
              <w:ind w:left="20"/>
              <w:spacing w:after="0"/>
              <w:rPr>
                <w:sz w:val="20"/>
                <w:szCs w:val="20"/>
                <w:color w:val="auto"/>
              </w:rPr>
            </w:pPr>
            <w:r>
              <w:rPr>
                <w:rFonts w:ascii="Arial" w:cs="Arial" w:eastAsia="Arial" w:hAnsi="Arial"/>
                <w:sz w:val="9"/>
                <w:szCs w:val="9"/>
                <w:color w:val="auto"/>
              </w:rPr>
              <w:t>HSBC Bank</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2013</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13,838</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13,838</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2,288,745</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165.40</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2520 Flatbush Avenue</w:t>
            </w:r>
          </w:p>
        </w:tc>
        <w:tc>
          <w:tcPr>
            <w:tcW w:w="1720" w:type="dxa"/>
            <w:vAlign w:val="bottom"/>
          </w:tcPr>
          <w:p>
            <w:pPr>
              <w:ind w:left="20"/>
              <w:spacing w:after="0"/>
              <w:rPr>
                <w:sz w:val="20"/>
                <w:szCs w:val="20"/>
                <w:color w:val="auto"/>
              </w:rPr>
            </w:pPr>
            <w:r>
              <w:rPr>
                <w:rFonts w:ascii="Arial" w:cs="Arial" w:eastAsia="Arial" w:hAnsi="Arial"/>
                <w:sz w:val="9"/>
                <w:szCs w:val="9"/>
                <w:color w:val="auto"/>
              </w:rPr>
              <w:t>Bob's Discount Furniture, Capital One</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2014</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29,114</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29,114</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1,064,374</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36.56</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991 Madison Avenue</w:t>
            </w:r>
          </w:p>
        </w:tc>
        <w:tc>
          <w:tcPr>
            <w:tcW w:w="1720" w:type="dxa"/>
            <w:vAlign w:val="bottom"/>
          </w:tcPr>
          <w:p>
            <w:pPr>
              <w:ind w:left="20"/>
              <w:spacing w:after="0"/>
              <w:rPr>
                <w:sz w:val="20"/>
                <w:szCs w:val="20"/>
                <w:color w:val="auto"/>
              </w:rPr>
            </w:pPr>
            <w:r>
              <w:rPr>
                <w:rFonts w:ascii="Arial" w:cs="Arial" w:eastAsia="Arial" w:hAnsi="Arial"/>
                <w:sz w:val="9"/>
                <w:szCs w:val="9"/>
                <w:color w:val="auto"/>
              </w:rPr>
              <w:t>Vera Wang, Perrin Paris</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7,513</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7,513</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65.6%</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65.6%</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91.1%</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1,553,292</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315.16</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Shops at Grand</w:t>
            </w:r>
          </w:p>
        </w:tc>
        <w:tc>
          <w:tcPr>
            <w:tcW w:w="1720" w:type="dxa"/>
            <w:vAlign w:val="bottom"/>
          </w:tcPr>
          <w:p>
            <w:pPr>
              <w:ind w:left="20"/>
              <w:spacing w:after="0"/>
              <w:rPr>
                <w:sz w:val="20"/>
                <w:szCs w:val="20"/>
                <w:color w:val="auto"/>
              </w:rPr>
            </w:pPr>
            <w:r>
              <w:rPr>
                <w:rFonts w:ascii="Arial" w:cs="Arial" w:eastAsia="Arial" w:hAnsi="Arial"/>
                <w:sz w:val="9"/>
                <w:szCs w:val="9"/>
                <w:color w:val="auto"/>
              </w:rPr>
              <w:t>Stop &amp; Shop (Ahold)</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2014</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52,336</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47,639</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99,975</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84.7%</w:t>
            </w:r>
          </w:p>
        </w:tc>
        <w:tc>
          <w:tcPr>
            <w:tcW w:w="500" w:type="dxa"/>
            <w:vAlign w:val="bottom"/>
          </w:tcPr>
          <w:p>
            <w:pPr>
              <w:jc w:val="right"/>
              <w:spacing w:after="0"/>
              <w:rPr>
                <w:sz w:val="20"/>
                <w:szCs w:val="20"/>
                <w:color w:val="auto"/>
              </w:rPr>
            </w:pPr>
            <w:r>
              <w:rPr>
                <w:rFonts w:ascii="Arial" w:cs="Arial" w:eastAsia="Arial" w:hAnsi="Arial"/>
                <w:sz w:val="9"/>
                <w:szCs w:val="9"/>
                <w:color w:val="auto"/>
              </w:rPr>
              <w:t>92.7%</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94.7%</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3,000,467</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32.38</w:t>
            </w:r>
          </w:p>
        </w:tc>
      </w:tr>
      <w:tr>
        <w:trPr>
          <w:trHeight w:val="227"/>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Gotham Plaza</w:t>
            </w:r>
          </w:p>
        </w:tc>
        <w:tc>
          <w:tcPr>
            <w:tcW w:w="1720" w:type="dxa"/>
            <w:vAlign w:val="bottom"/>
          </w:tcPr>
          <w:p>
            <w:pPr>
              <w:ind w:left="20"/>
              <w:spacing w:after="0"/>
              <w:rPr>
                <w:sz w:val="20"/>
                <w:szCs w:val="20"/>
                <w:color w:val="auto"/>
              </w:rPr>
            </w:pPr>
            <w:r>
              <w:rPr>
                <w:rFonts w:ascii="Arial" w:cs="Arial" w:eastAsia="Arial" w:hAnsi="Arial"/>
                <w:sz w:val="9"/>
                <w:szCs w:val="9"/>
                <w:color w:val="auto"/>
              </w:rPr>
              <w:t>Bank of America, Children's Place</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49.0%</w:t>
            </w: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26,182</w:t>
            </w: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26,182</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68.6%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68.6%</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68.6%</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1,064,361</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59.26</w:t>
            </w: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99,026</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86,950</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136,195</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322,171</w:t>
            </w:r>
          </w:p>
        </w:tc>
        <w:tc>
          <w:tcPr>
            <w:tcW w:w="22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88.1%</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88.6%</w:t>
            </w:r>
          </w:p>
        </w:tc>
        <w:tc>
          <w:tcPr>
            <w:tcW w:w="500" w:type="dxa"/>
            <w:vAlign w:val="bottom"/>
          </w:tcPr>
          <w:p>
            <w:pPr>
              <w:jc w:val="right"/>
              <w:spacing w:after="0"/>
              <w:rPr>
                <w:sz w:val="20"/>
                <w:szCs w:val="20"/>
                <w:color w:val="auto"/>
              </w:rPr>
            </w:pPr>
            <w:r>
              <w:rPr>
                <w:rFonts w:ascii="Arial" w:cs="Arial" w:eastAsia="Arial" w:hAnsi="Arial"/>
                <w:sz w:val="9"/>
                <w:szCs w:val="9"/>
                <w:color w:val="auto"/>
              </w:rPr>
              <w:t>91.5%</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92.7%</w:t>
            </w:r>
          </w:p>
        </w:tc>
        <w:tc>
          <w:tcPr>
            <w:tcW w:w="180" w:type="dxa"/>
            <w:vAlign w:val="bottom"/>
          </w:tcPr>
          <w:p>
            <w:pPr>
              <w:spacing w:after="0"/>
              <w:rPr>
                <w:sz w:val="17"/>
                <w:szCs w:val="17"/>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22,291,702</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75.62</w:t>
            </w:r>
          </w:p>
        </w:tc>
      </w:tr>
      <w:tr>
        <w:trPr>
          <w:trHeight w:val="204"/>
        </w:trPr>
        <w:tc>
          <w:tcPr>
            <w:tcW w:w="20" w:type="dxa"/>
            <w:vAlign w:val="bottom"/>
          </w:tcPr>
          <w:p>
            <w:pPr>
              <w:spacing w:after="0"/>
              <w:rPr>
                <w:sz w:val="17"/>
                <w:szCs w:val="17"/>
                <w:color w:val="auto"/>
              </w:rPr>
            </w:pPr>
          </w:p>
        </w:tc>
        <w:tc>
          <w:tcPr>
            <w:tcW w:w="1540" w:type="dxa"/>
            <w:vAlign w:val="bottom"/>
            <w:gridSpan w:val="5"/>
          </w:tcPr>
          <w:p>
            <w:pPr>
              <w:spacing w:after="0"/>
              <w:rPr>
                <w:sz w:val="20"/>
                <w:szCs w:val="20"/>
                <w:color w:val="auto"/>
              </w:rPr>
            </w:pPr>
            <w:r>
              <w:rPr>
                <w:rFonts w:ascii="Arial" w:cs="Arial" w:eastAsia="Arial" w:hAnsi="Arial"/>
                <w:sz w:val="9"/>
                <w:szCs w:val="9"/>
                <w:b w:val="1"/>
                <w:bCs w:val="1"/>
                <w:color w:val="auto"/>
              </w:rPr>
              <w:t>San Francisco Metro</w:t>
            </w:r>
          </w:p>
        </w:tc>
        <w:tc>
          <w:tcPr>
            <w:tcW w:w="1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86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555 9th Street</w:t>
            </w:r>
          </w:p>
        </w:tc>
        <w:tc>
          <w:tcPr>
            <w:tcW w:w="680" w:type="dxa"/>
            <w:vAlign w:val="bottom"/>
            <w:gridSpan w:val="2"/>
          </w:tcPr>
          <w:p>
            <w:pPr>
              <w:spacing w:after="0"/>
              <w:rPr>
                <w:sz w:val="19"/>
                <w:szCs w:val="19"/>
                <w:color w:val="auto"/>
              </w:rPr>
            </w:pPr>
          </w:p>
        </w:tc>
        <w:tc>
          <w:tcPr>
            <w:tcW w:w="1720" w:type="dxa"/>
            <w:vAlign w:val="bottom"/>
          </w:tcPr>
          <w:p>
            <w:pPr>
              <w:ind w:left="20"/>
              <w:spacing w:after="0"/>
              <w:rPr>
                <w:sz w:val="20"/>
                <w:szCs w:val="20"/>
                <w:color w:val="auto"/>
              </w:rPr>
            </w:pPr>
            <w:r>
              <w:rPr>
                <w:rFonts w:ascii="Arial" w:cs="Arial" w:eastAsia="Arial" w:hAnsi="Arial"/>
                <w:sz w:val="9"/>
                <w:szCs w:val="9"/>
                <w:color w:val="auto"/>
              </w:rPr>
              <w:t>Bed, Bath &amp; Beyond, Nordstrom Rack</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119,862</w:t>
            </w: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28,970</w:t>
            </w: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148,832</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100.0%</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100.0%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100.0%</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100.0%</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6,215,834</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41.76</w:t>
            </w: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119,862</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28,970</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148,832</w:t>
            </w:r>
          </w:p>
        </w:tc>
        <w:tc>
          <w:tcPr>
            <w:tcW w:w="220" w:type="dxa"/>
            <w:vAlign w:val="bottom"/>
          </w:tcPr>
          <w:p>
            <w:pPr>
              <w:spacing w:after="0"/>
              <w:rPr>
                <w:sz w:val="17"/>
                <w:szCs w:val="17"/>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17"/>
                <w:szCs w:val="17"/>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6,215,834</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41.76</w:t>
            </w:r>
          </w:p>
        </w:tc>
      </w:tr>
      <w:tr>
        <w:trPr>
          <w:trHeight w:val="203"/>
        </w:trPr>
        <w:tc>
          <w:tcPr>
            <w:tcW w:w="20" w:type="dxa"/>
            <w:vAlign w:val="bottom"/>
          </w:tcPr>
          <w:p>
            <w:pPr>
              <w:spacing w:after="0"/>
              <w:rPr>
                <w:sz w:val="17"/>
                <w:szCs w:val="17"/>
                <w:color w:val="auto"/>
              </w:rPr>
            </w:pPr>
          </w:p>
        </w:tc>
        <w:tc>
          <w:tcPr>
            <w:tcW w:w="1540" w:type="dxa"/>
            <w:vAlign w:val="bottom"/>
            <w:gridSpan w:val="5"/>
          </w:tcPr>
          <w:p>
            <w:pPr>
              <w:spacing w:after="0"/>
              <w:rPr>
                <w:sz w:val="20"/>
                <w:szCs w:val="20"/>
                <w:color w:val="auto"/>
              </w:rPr>
            </w:pPr>
            <w:r>
              <w:rPr>
                <w:rFonts w:ascii="Arial" w:cs="Arial" w:eastAsia="Arial" w:hAnsi="Arial"/>
                <w:sz w:val="9"/>
                <w:szCs w:val="9"/>
                <w:b w:val="1"/>
                <w:bCs w:val="1"/>
                <w:color w:val="auto"/>
              </w:rPr>
              <w:t>District of Columbia Metro</w:t>
            </w:r>
          </w:p>
        </w:tc>
        <w:tc>
          <w:tcPr>
            <w:tcW w:w="1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1739-53 &amp; 1801-03 Connecticut</w:t>
            </w:r>
          </w:p>
        </w:tc>
        <w:tc>
          <w:tcPr>
            <w:tcW w:w="1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Avenue</w:t>
            </w:r>
          </w:p>
        </w:tc>
        <w:tc>
          <w:tcPr>
            <w:tcW w:w="1720" w:type="dxa"/>
            <w:vAlign w:val="bottom"/>
          </w:tcPr>
          <w:p>
            <w:pPr>
              <w:ind w:left="20"/>
              <w:spacing w:after="0"/>
              <w:rPr>
                <w:sz w:val="20"/>
                <w:szCs w:val="20"/>
                <w:color w:val="auto"/>
              </w:rPr>
            </w:pPr>
            <w:r>
              <w:rPr>
                <w:rFonts w:ascii="Arial" w:cs="Arial" w:eastAsia="Arial" w:hAnsi="Arial"/>
                <w:sz w:val="9"/>
                <w:szCs w:val="9"/>
                <w:color w:val="auto"/>
              </w:rPr>
              <w:t>Ruth Chris Steakhouse, TD Bank</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2012</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20,669</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20,669</w:t>
            </w:r>
          </w:p>
        </w:tc>
        <w:tc>
          <w:tcPr>
            <w:tcW w:w="220" w:type="dxa"/>
            <w:vAlign w:val="bottom"/>
          </w:tcPr>
          <w:p>
            <w:pPr>
              <w:spacing w:after="0"/>
              <w:rPr>
                <w:sz w:val="9"/>
                <w:szCs w:val="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w:t>
            </w:r>
          </w:p>
        </w:tc>
        <w:tc>
          <w:tcPr>
            <w:tcW w:w="180" w:type="dxa"/>
            <w:vAlign w:val="bottom"/>
          </w:tcPr>
          <w:p>
            <w:pPr>
              <w:spacing w:after="0"/>
              <w:rPr>
                <w:sz w:val="9"/>
                <w:szCs w:val="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1,274,533</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61.66</w:t>
            </w:r>
          </w:p>
        </w:tc>
      </w:tr>
      <w:tr>
        <w:trPr>
          <w:trHeight w:val="21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Rhode Island Place Shopping Center</w:t>
            </w:r>
          </w:p>
        </w:tc>
        <w:tc>
          <w:tcPr>
            <w:tcW w:w="1720" w:type="dxa"/>
            <w:vAlign w:val="bottom"/>
          </w:tcPr>
          <w:p>
            <w:pPr>
              <w:ind w:left="20"/>
              <w:spacing w:after="0"/>
              <w:rPr>
                <w:sz w:val="20"/>
                <w:szCs w:val="20"/>
                <w:color w:val="auto"/>
              </w:rPr>
            </w:pPr>
            <w:r>
              <w:rPr>
                <w:rFonts w:ascii="Arial" w:cs="Arial" w:eastAsia="Arial" w:hAnsi="Arial"/>
                <w:sz w:val="9"/>
                <w:szCs w:val="9"/>
                <w:color w:val="auto"/>
              </w:rPr>
              <w:t>Ross Dress for Less</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9"/>
              </w:rPr>
              <w:t>2012</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25,134</w:t>
            </w:r>
          </w:p>
        </w:tc>
        <w:tc>
          <w:tcPr>
            <w:tcW w:w="620" w:type="dxa"/>
            <w:vAlign w:val="bottom"/>
          </w:tcPr>
          <w:p>
            <w:pPr>
              <w:jc w:val="right"/>
              <w:ind w:right="136"/>
              <w:spacing w:after="0"/>
              <w:rPr>
                <w:sz w:val="20"/>
                <w:szCs w:val="20"/>
                <w:color w:val="auto"/>
              </w:rPr>
            </w:pPr>
            <w:r>
              <w:rPr>
                <w:rFonts w:ascii="Arial" w:cs="Arial" w:eastAsia="Arial" w:hAnsi="Arial"/>
                <w:sz w:val="9"/>
                <w:szCs w:val="9"/>
                <w:color w:val="auto"/>
              </w:rPr>
              <w:t>32,533</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57,667</w:t>
            </w:r>
          </w:p>
        </w:tc>
        <w:tc>
          <w:tcPr>
            <w:tcW w:w="22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88.4%</w:t>
            </w:r>
          </w:p>
        </w:tc>
        <w:tc>
          <w:tcPr>
            <w:tcW w:w="500" w:type="dxa"/>
            <w:vAlign w:val="bottom"/>
          </w:tcPr>
          <w:p>
            <w:pPr>
              <w:jc w:val="right"/>
              <w:spacing w:after="0"/>
              <w:rPr>
                <w:sz w:val="20"/>
                <w:szCs w:val="20"/>
                <w:color w:val="auto"/>
              </w:rPr>
            </w:pPr>
            <w:r>
              <w:rPr>
                <w:rFonts w:ascii="Arial" w:cs="Arial" w:eastAsia="Arial" w:hAnsi="Arial"/>
                <w:sz w:val="9"/>
                <w:szCs w:val="9"/>
                <w:color w:val="auto"/>
              </w:rPr>
              <w:t>49.9%</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93.8%</w:t>
            </w:r>
          </w:p>
        </w:tc>
        <w:tc>
          <w:tcPr>
            <w:tcW w:w="18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9"/>
                <w:szCs w:val="9"/>
                <w:color w:val="auto"/>
              </w:rPr>
              <w:t>1,371,065</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47.65</w:t>
            </w:r>
          </w:p>
        </w:tc>
      </w:tr>
      <w:tr>
        <w:trPr>
          <w:trHeight w:val="135"/>
        </w:trPr>
        <w:tc>
          <w:tcPr>
            <w:tcW w:w="20" w:type="dxa"/>
            <w:vAlign w:val="bottom"/>
          </w:tcPr>
          <w:p>
            <w:pPr>
              <w:spacing w:after="0"/>
              <w:rPr>
                <w:sz w:val="11"/>
                <w:szCs w:val="11"/>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M Street and Wisconsin Corridor - 25</w:t>
            </w:r>
          </w:p>
        </w:tc>
        <w:tc>
          <w:tcPr>
            <w:tcW w:w="1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4"/>
        </w:trPr>
        <w:tc>
          <w:tcPr>
            <w:tcW w:w="20" w:type="dxa"/>
            <w:vAlign w:val="bottom"/>
          </w:tcPr>
          <w:p>
            <w:pPr>
              <w:spacing w:after="0"/>
              <w:rPr>
                <w:sz w:val="9"/>
                <w:szCs w:val="9"/>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 xml:space="preserve">Properties </w:t>
            </w:r>
            <w:r>
              <w:rPr>
                <w:rFonts w:ascii="Arial" w:cs="Arial" w:eastAsia="Arial" w:hAnsi="Arial"/>
                <w:sz w:val="5"/>
                <w:szCs w:val="5"/>
                <w:color w:val="auto"/>
              </w:rPr>
              <w:t>3</w:t>
            </w:r>
          </w:p>
        </w:tc>
        <w:tc>
          <w:tcPr>
            <w:tcW w:w="1720" w:type="dxa"/>
            <w:vAlign w:val="bottom"/>
          </w:tcPr>
          <w:p>
            <w:pPr>
              <w:ind w:left="20"/>
              <w:spacing w:after="0"/>
              <w:rPr>
                <w:sz w:val="20"/>
                <w:szCs w:val="20"/>
                <w:color w:val="auto"/>
              </w:rPr>
            </w:pPr>
            <w:r>
              <w:rPr>
                <w:rFonts w:ascii="Arial" w:cs="Arial" w:eastAsia="Arial" w:hAnsi="Arial"/>
                <w:sz w:val="9"/>
                <w:szCs w:val="9"/>
                <w:color w:val="auto"/>
              </w:rPr>
              <w:t>Lululemon, North Face, Coach</w:t>
            </w:r>
          </w:p>
        </w:tc>
        <w:tc>
          <w:tcPr>
            <w:tcW w:w="620" w:type="dxa"/>
            <w:vAlign w:val="bottom"/>
          </w:tcPr>
          <w:p>
            <w:pPr>
              <w:jc w:val="center"/>
              <w:ind w:left="136"/>
              <w:spacing w:after="0"/>
              <w:rPr>
                <w:sz w:val="20"/>
                <w:szCs w:val="20"/>
                <w:color w:val="auto"/>
              </w:rPr>
            </w:pPr>
            <w:r>
              <w:rPr>
                <w:rFonts w:ascii="Arial" w:cs="Arial" w:eastAsia="Arial" w:hAnsi="Arial"/>
                <w:sz w:val="9"/>
                <w:szCs w:val="9"/>
                <w:color w:val="auto"/>
                <w:w w:val="98"/>
              </w:rPr>
              <w:t>2011/16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25.4%</w:t>
            </w: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241,182</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241,182</w:t>
            </w: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89.7%</w:t>
            </w: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89.7%</w:t>
            </w: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89.7%</w:t>
            </w: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15,149,684</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70.03</w:t>
            </w:r>
          </w:p>
        </w:tc>
      </w:tr>
    </w:tbl>
    <w:p>
      <w:pPr>
        <w:spacing w:after="0" w:line="324"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25</w:t>
            </w:r>
          </w:p>
        </w:tc>
      </w:tr>
    </w:tbl>
    <w:p>
      <w:pPr>
        <w:sectPr>
          <w:pgSz w:w="11900" w:h="16838" w:orient="portrait"/>
          <w:cols w:equalWidth="0" w:num="1">
            <w:col w:w="11460"/>
          </w:cols>
          <w:pgMar w:left="220" w:top="617" w:right="219" w:bottom="1440" w:gutter="0" w:footer="0" w:header="0"/>
        </w:sectPr>
      </w:pPr>
    </w:p>
    <w:bookmarkStart w:id="37" w:name="page38"/>
    <w:bookmarkEnd w:id="37"/>
    <w:p>
      <w:pPr>
        <w:ind w:left="20"/>
        <w:spacing w:after="0"/>
        <w:rPr>
          <w:sz w:val="20"/>
          <w:szCs w:val="20"/>
          <w:color w:val="auto"/>
        </w:rPr>
      </w:pPr>
      <w:r>
        <w:rPr>
          <w:rFonts w:ascii="Arial" w:cs="Arial" w:eastAsia="Arial" w:hAnsi="Arial"/>
          <w:sz w:val="20"/>
          <w:szCs w:val="20"/>
          <w:b w:val="1"/>
          <w:bCs w:val="1"/>
          <w:color w:val="auto"/>
        </w:rPr>
        <w:t xml:space="preserve">Core Portfolio Retail Properties - Detail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7265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jc w:val="center"/>
              <w:ind w:left="56"/>
              <w:spacing w:after="0"/>
              <w:rPr>
                <w:sz w:val="20"/>
                <w:szCs w:val="20"/>
                <w:color w:val="auto"/>
              </w:rPr>
            </w:pPr>
            <w:r>
              <w:rPr>
                <w:rFonts w:ascii="Arial" w:cs="Arial" w:eastAsia="Arial" w:hAnsi="Arial"/>
                <w:sz w:val="9"/>
                <w:szCs w:val="9"/>
                <w:b w:val="1"/>
                <w:bCs w:val="1"/>
                <w:color w:val="auto"/>
                <w:w w:val="96"/>
              </w:rPr>
              <w:t>Leased</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227"/>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0" w:type="dxa"/>
            <w:vAlign w:val="bottom"/>
          </w:tcPr>
          <w:p>
            <w:pPr>
              <w:jc w:val="center"/>
              <w:ind w:left="116"/>
              <w:spacing w:after="0"/>
              <w:rPr>
                <w:sz w:val="20"/>
                <w:szCs w:val="20"/>
                <w:color w:val="auto"/>
              </w:rPr>
            </w:pPr>
            <w:r>
              <w:rPr>
                <w:rFonts w:ascii="Arial" w:cs="Arial" w:eastAsia="Arial" w:hAnsi="Arial"/>
                <w:sz w:val="9"/>
                <w:szCs w:val="9"/>
                <w:b w:val="1"/>
                <w:bCs w:val="1"/>
                <w:color w:val="auto"/>
              </w:rPr>
              <w:t>Year</w:t>
            </w:r>
          </w:p>
        </w:tc>
        <w:tc>
          <w:tcPr>
            <w:tcW w:w="560" w:type="dxa"/>
            <w:vAlign w:val="bottom"/>
          </w:tcPr>
          <w:p>
            <w:pPr>
              <w:jc w:val="right"/>
              <w:ind w:right="116"/>
              <w:spacing w:after="0"/>
              <w:rPr>
                <w:sz w:val="20"/>
                <w:szCs w:val="20"/>
                <w:color w:val="auto"/>
              </w:rPr>
            </w:pPr>
            <w:r>
              <w:rPr>
                <w:rFonts w:ascii="Arial" w:cs="Arial" w:eastAsia="Arial" w:hAnsi="Arial"/>
                <w:sz w:val="9"/>
                <w:szCs w:val="9"/>
                <w:b w:val="1"/>
                <w:bCs w:val="1"/>
                <w:color w:val="auto"/>
              </w:rPr>
              <w:t>Acadia's</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Gross Leasable Area (GLA)</w:t>
            </w: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9"/>
                <w:szCs w:val="9"/>
                <w:b w:val="1"/>
                <w:bCs w:val="1"/>
                <w:color w:val="auto"/>
              </w:rPr>
              <w:t>In Place Occupancy</w:t>
            </w:r>
          </w:p>
        </w:tc>
        <w:tc>
          <w:tcPr>
            <w:tcW w:w="480" w:type="dxa"/>
            <w:vAlign w:val="bottom"/>
            <w:tcBorders>
              <w:bottom w:val="single" w:sz="8" w:color="auto"/>
            </w:tcBorders>
          </w:tcPr>
          <w:p>
            <w:pPr>
              <w:spacing w:after="0"/>
              <w:rPr>
                <w:sz w:val="19"/>
                <w:szCs w:val="19"/>
                <w:color w:val="auto"/>
              </w:rPr>
            </w:pPr>
          </w:p>
        </w:tc>
        <w:tc>
          <w:tcPr>
            <w:tcW w:w="840" w:type="dxa"/>
            <w:vAlign w:val="bottom"/>
          </w:tcPr>
          <w:p>
            <w:pPr>
              <w:jc w:val="center"/>
              <w:ind w:left="56"/>
              <w:spacing w:after="0"/>
              <w:rPr>
                <w:sz w:val="20"/>
                <w:szCs w:val="20"/>
                <w:color w:val="auto"/>
              </w:rPr>
            </w:pPr>
            <w:r>
              <w:rPr>
                <w:rFonts w:ascii="Arial" w:cs="Arial" w:eastAsia="Arial" w:hAnsi="Arial"/>
                <w:sz w:val="9"/>
                <w:szCs w:val="9"/>
                <w:b w:val="1"/>
                <w:bCs w:val="1"/>
                <w:color w:val="auto"/>
                <w:w w:val="94"/>
              </w:rPr>
              <w:t>Occupancy</w:t>
            </w:r>
          </w:p>
        </w:tc>
        <w:tc>
          <w:tcPr>
            <w:tcW w:w="200" w:type="dxa"/>
            <w:vAlign w:val="bottom"/>
          </w:tcPr>
          <w:p>
            <w:pPr>
              <w:spacing w:after="0"/>
              <w:rPr>
                <w:sz w:val="19"/>
                <w:szCs w:val="19"/>
                <w:color w:val="auto"/>
              </w:rPr>
            </w:pPr>
          </w:p>
        </w:tc>
        <w:tc>
          <w:tcPr>
            <w:tcW w:w="580" w:type="dxa"/>
            <w:vAlign w:val="bottom"/>
          </w:tcPr>
          <w:p>
            <w:pPr>
              <w:jc w:val="center"/>
              <w:ind w:right="56"/>
              <w:spacing w:after="0"/>
              <w:rPr>
                <w:sz w:val="20"/>
                <w:szCs w:val="20"/>
                <w:color w:val="auto"/>
              </w:rPr>
            </w:pPr>
            <w:r>
              <w:rPr>
                <w:rFonts w:ascii="Arial" w:cs="Arial" w:eastAsia="Arial" w:hAnsi="Arial"/>
                <w:sz w:val="9"/>
                <w:szCs w:val="9"/>
                <w:b w:val="1"/>
                <w:bCs w:val="1"/>
                <w:color w:val="auto"/>
                <w:w w:val="99"/>
              </w:rPr>
              <w:t>Annualized</w:t>
            </w:r>
          </w:p>
        </w:tc>
        <w:tc>
          <w:tcPr>
            <w:tcW w:w="680" w:type="dxa"/>
            <w:vAlign w:val="bottom"/>
            <w:gridSpan w:val="2"/>
          </w:tcPr>
          <w:p>
            <w:pPr>
              <w:jc w:val="center"/>
              <w:ind w:left="37"/>
              <w:spacing w:after="0"/>
              <w:rPr>
                <w:sz w:val="20"/>
                <w:szCs w:val="20"/>
                <w:color w:val="auto"/>
              </w:rPr>
            </w:pPr>
            <w:r>
              <w:rPr>
                <w:rFonts w:ascii="Arial" w:cs="Arial" w:eastAsia="Arial" w:hAnsi="Arial"/>
                <w:sz w:val="9"/>
                <w:szCs w:val="9"/>
                <w:b w:val="1"/>
                <w:bCs w:val="1"/>
                <w:color w:val="auto"/>
                <w:w w:val="99"/>
              </w:rPr>
              <w:t>Annualized</w:t>
            </w:r>
          </w:p>
        </w:tc>
      </w:tr>
      <w:tr>
        <w:trPr>
          <w:trHeight w:val="75"/>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jc w:val="center"/>
              <w:ind w:right="56"/>
              <w:spacing w:after="0" w:line="75" w:lineRule="exact"/>
              <w:rPr>
                <w:sz w:val="20"/>
                <w:szCs w:val="20"/>
                <w:color w:val="auto"/>
              </w:rPr>
            </w:pPr>
            <w:r>
              <w:rPr>
                <w:rFonts w:ascii="Arial" w:cs="Arial" w:eastAsia="Arial" w:hAnsi="Arial"/>
                <w:sz w:val="8"/>
                <w:szCs w:val="8"/>
                <w:b w:val="1"/>
                <w:bCs w:val="1"/>
                <w:color w:val="auto"/>
              </w:rPr>
              <w:t>Base Rent</w:t>
            </w:r>
          </w:p>
        </w:tc>
        <w:tc>
          <w:tcPr>
            <w:tcW w:w="680" w:type="dxa"/>
            <w:vAlign w:val="bottom"/>
            <w:gridSpan w:val="2"/>
          </w:tcPr>
          <w:p>
            <w:pPr>
              <w:jc w:val="center"/>
              <w:ind w:left="37"/>
              <w:spacing w:after="0" w:line="75" w:lineRule="exact"/>
              <w:rPr>
                <w:sz w:val="20"/>
                <w:szCs w:val="20"/>
                <w:color w:val="auto"/>
              </w:rPr>
            </w:pPr>
            <w:r>
              <w:rPr>
                <w:rFonts w:ascii="Arial" w:cs="Arial" w:eastAsia="Arial" w:hAnsi="Arial"/>
                <w:sz w:val="8"/>
                <w:szCs w:val="8"/>
                <w:b w:val="1"/>
                <w:bCs w:val="1"/>
                <w:color w:val="auto"/>
              </w:rPr>
              <w:t>Base Rent</w:t>
            </w:r>
          </w:p>
        </w:tc>
      </w:tr>
      <w:tr>
        <w:trPr>
          <w:trHeight w:val="124"/>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Property</w:t>
            </w:r>
          </w:p>
        </w:tc>
        <w:tc>
          <w:tcPr>
            <w:tcW w:w="1860" w:type="dxa"/>
            <w:vAlign w:val="bottom"/>
          </w:tcPr>
          <w:p>
            <w:pPr>
              <w:ind w:left="100"/>
              <w:spacing w:after="0"/>
              <w:rPr>
                <w:sz w:val="20"/>
                <w:szCs w:val="20"/>
                <w:color w:val="auto"/>
              </w:rPr>
            </w:pPr>
            <w:r>
              <w:rPr>
                <w:rFonts w:ascii="Arial" w:cs="Arial" w:eastAsia="Arial" w:hAnsi="Arial"/>
                <w:sz w:val="9"/>
                <w:szCs w:val="9"/>
                <w:b w:val="1"/>
                <w:bCs w:val="1"/>
                <w:color w:val="auto"/>
              </w:rPr>
              <w:t>Key Tenants</w:t>
            </w:r>
          </w:p>
        </w:tc>
        <w:tc>
          <w:tcPr>
            <w:tcW w:w="600" w:type="dxa"/>
            <w:vAlign w:val="bottom"/>
          </w:tcPr>
          <w:p>
            <w:pPr>
              <w:jc w:val="center"/>
              <w:ind w:left="116"/>
              <w:spacing w:after="0"/>
              <w:rPr>
                <w:sz w:val="20"/>
                <w:szCs w:val="20"/>
                <w:color w:val="auto"/>
              </w:rPr>
            </w:pPr>
            <w:r>
              <w:rPr>
                <w:rFonts w:ascii="Arial" w:cs="Arial" w:eastAsia="Arial" w:hAnsi="Arial"/>
                <w:sz w:val="9"/>
                <w:szCs w:val="9"/>
                <w:b w:val="1"/>
                <w:bCs w:val="1"/>
                <w:color w:val="auto"/>
                <w:w w:val="92"/>
              </w:rPr>
              <w:t>Acquired</w:t>
            </w:r>
          </w:p>
        </w:tc>
        <w:tc>
          <w:tcPr>
            <w:tcW w:w="560" w:type="dxa"/>
            <w:vAlign w:val="bottom"/>
          </w:tcPr>
          <w:p>
            <w:pPr>
              <w:jc w:val="right"/>
              <w:ind w:right="136"/>
              <w:spacing w:after="0"/>
              <w:rPr>
                <w:sz w:val="20"/>
                <w:szCs w:val="20"/>
                <w:color w:val="auto"/>
              </w:rPr>
            </w:pPr>
            <w:r>
              <w:rPr>
                <w:rFonts w:ascii="Arial" w:cs="Arial" w:eastAsia="Arial" w:hAnsi="Arial"/>
                <w:sz w:val="9"/>
                <w:szCs w:val="9"/>
                <w:b w:val="1"/>
                <w:bCs w:val="1"/>
                <w:color w:val="auto"/>
              </w:rPr>
              <w:t>Interest</w:t>
            </w:r>
          </w:p>
        </w:tc>
        <w:tc>
          <w:tcPr>
            <w:tcW w:w="500" w:type="dxa"/>
            <w:vAlign w:val="bottom"/>
          </w:tcPr>
          <w:p>
            <w:pPr>
              <w:jc w:val="right"/>
              <w:ind w:right="56"/>
              <w:spacing w:after="0"/>
              <w:rPr>
                <w:sz w:val="20"/>
                <w:szCs w:val="20"/>
                <w:color w:val="auto"/>
              </w:rPr>
            </w:pPr>
            <w:r>
              <w:rPr>
                <w:rFonts w:ascii="Arial" w:cs="Arial" w:eastAsia="Arial" w:hAnsi="Arial"/>
                <w:sz w:val="9"/>
                <w:szCs w:val="9"/>
                <w:b w:val="1"/>
                <w:bCs w:val="1"/>
                <w:color w:val="auto"/>
              </w:rPr>
              <w:t>Street</w:t>
            </w:r>
          </w:p>
        </w:tc>
        <w:tc>
          <w:tcPr>
            <w:tcW w:w="640" w:type="dxa"/>
            <w:vAlign w:val="bottom"/>
          </w:tcPr>
          <w:p>
            <w:pPr>
              <w:jc w:val="right"/>
              <w:ind w:right="76"/>
              <w:spacing w:after="0"/>
              <w:rPr>
                <w:sz w:val="20"/>
                <w:szCs w:val="20"/>
                <w:color w:val="auto"/>
              </w:rPr>
            </w:pPr>
            <w:r>
              <w:rPr>
                <w:rFonts w:ascii="Arial" w:cs="Arial" w:eastAsia="Arial" w:hAnsi="Arial"/>
                <w:sz w:val="9"/>
                <w:szCs w:val="9"/>
                <w:b w:val="1"/>
                <w:bCs w:val="1"/>
                <w:color w:val="auto"/>
              </w:rPr>
              <w:t>Anchors</w:t>
            </w:r>
          </w:p>
        </w:tc>
        <w:tc>
          <w:tcPr>
            <w:tcW w:w="580" w:type="dxa"/>
            <w:vAlign w:val="bottom"/>
          </w:tcPr>
          <w:p>
            <w:pPr>
              <w:jc w:val="right"/>
              <w:ind w:right="156"/>
              <w:spacing w:after="0"/>
              <w:rPr>
                <w:sz w:val="20"/>
                <w:szCs w:val="20"/>
                <w:color w:val="auto"/>
              </w:rPr>
            </w:pPr>
            <w:r>
              <w:rPr>
                <w:rFonts w:ascii="Arial" w:cs="Arial" w:eastAsia="Arial" w:hAnsi="Arial"/>
                <w:sz w:val="9"/>
                <w:szCs w:val="9"/>
                <w:b w:val="1"/>
                <w:bCs w:val="1"/>
                <w:color w:val="auto"/>
              </w:rPr>
              <w:t>Shops</w:t>
            </w:r>
          </w:p>
        </w:tc>
        <w:tc>
          <w:tcPr>
            <w:tcW w:w="700" w:type="dxa"/>
            <w:vAlign w:val="bottom"/>
            <w:gridSpan w:val="2"/>
          </w:tcPr>
          <w:p>
            <w:pPr>
              <w:ind w:left="140"/>
              <w:spacing w:after="0"/>
              <w:rPr>
                <w:sz w:val="20"/>
                <w:szCs w:val="20"/>
                <w:color w:val="auto"/>
              </w:rPr>
            </w:pPr>
            <w:r>
              <w:rPr>
                <w:rFonts w:ascii="Arial" w:cs="Arial" w:eastAsia="Arial" w:hAnsi="Arial"/>
                <w:sz w:val="9"/>
                <w:szCs w:val="9"/>
                <w:b w:val="1"/>
                <w:bCs w:val="1"/>
                <w:color w:val="auto"/>
              </w:rPr>
              <w:t>Total</w:t>
            </w:r>
          </w:p>
        </w:tc>
        <w:tc>
          <w:tcPr>
            <w:tcW w:w="600" w:type="dxa"/>
            <w:vAlign w:val="bottom"/>
          </w:tcPr>
          <w:p>
            <w:pPr>
              <w:jc w:val="right"/>
              <w:ind w:right="156"/>
              <w:spacing w:after="0"/>
              <w:rPr>
                <w:sz w:val="20"/>
                <w:szCs w:val="20"/>
                <w:color w:val="auto"/>
              </w:rPr>
            </w:pPr>
            <w:r>
              <w:rPr>
                <w:rFonts w:ascii="Arial" w:cs="Arial" w:eastAsia="Arial" w:hAnsi="Arial"/>
                <w:sz w:val="9"/>
                <w:szCs w:val="9"/>
                <w:b w:val="1"/>
                <w:bCs w:val="1"/>
                <w:color w:val="auto"/>
              </w:rPr>
              <w:t>Street</w:t>
            </w:r>
          </w:p>
        </w:tc>
        <w:tc>
          <w:tcPr>
            <w:tcW w:w="580" w:type="dxa"/>
            <w:vAlign w:val="bottom"/>
          </w:tcPr>
          <w:p>
            <w:pPr>
              <w:jc w:val="right"/>
              <w:ind w:right="116"/>
              <w:spacing w:after="0"/>
              <w:rPr>
                <w:sz w:val="20"/>
                <w:szCs w:val="20"/>
                <w:color w:val="auto"/>
              </w:rPr>
            </w:pPr>
            <w:r>
              <w:rPr>
                <w:rFonts w:ascii="Arial" w:cs="Arial" w:eastAsia="Arial" w:hAnsi="Arial"/>
                <w:sz w:val="9"/>
                <w:szCs w:val="9"/>
                <w:b w:val="1"/>
                <w:bCs w:val="1"/>
                <w:color w:val="auto"/>
              </w:rPr>
              <w:t>Anchors</w:t>
            </w:r>
          </w:p>
        </w:tc>
        <w:tc>
          <w:tcPr>
            <w:tcW w:w="580" w:type="dxa"/>
            <w:vAlign w:val="bottom"/>
          </w:tcPr>
          <w:p>
            <w:pPr>
              <w:jc w:val="right"/>
              <w:ind w:right="176"/>
              <w:spacing w:after="0"/>
              <w:rPr>
                <w:sz w:val="20"/>
                <w:szCs w:val="20"/>
                <w:color w:val="auto"/>
              </w:rPr>
            </w:pPr>
            <w:r>
              <w:rPr>
                <w:rFonts w:ascii="Arial" w:cs="Arial" w:eastAsia="Arial" w:hAnsi="Arial"/>
                <w:sz w:val="9"/>
                <w:szCs w:val="9"/>
                <w:b w:val="1"/>
                <w:bCs w:val="1"/>
                <w:color w:val="auto"/>
              </w:rPr>
              <w:t>Shops</w:t>
            </w:r>
          </w:p>
        </w:tc>
        <w:tc>
          <w:tcPr>
            <w:tcW w:w="480" w:type="dxa"/>
            <w:vAlign w:val="bottom"/>
          </w:tcPr>
          <w:p>
            <w:pPr>
              <w:jc w:val="right"/>
              <w:ind w:right="136"/>
              <w:spacing w:after="0"/>
              <w:rPr>
                <w:sz w:val="20"/>
                <w:szCs w:val="20"/>
                <w:color w:val="auto"/>
              </w:rPr>
            </w:pPr>
            <w:r>
              <w:rPr>
                <w:rFonts w:ascii="Arial" w:cs="Arial" w:eastAsia="Arial" w:hAnsi="Arial"/>
                <w:sz w:val="9"/>
                <w:szCs w:val="9"/>
                <w:b w:val="1"/>
                <w:bCs w:val="1"/>
                <w:color w:val="auto"/>
              </w:rPr>
              <w:t>Total</w:t>
            </w:r>
          </w:p>
        </w:tc>
        <w:tc>
          <w:tcPr>
            <w:tcW w:w="840" w:type="dxa"/>
            <w:vAlign w:val="bottom"/>
          </w:tcPr>
          <w:p>
            <w:pPr>
              <w:jc w:val="center"/>
              <w:ind w:left="76"/>
              <w:spacing w:after="0"/>
              <w:rPr>
                <w:sz w:val="20"/>
                <w:szCs w:val="20"/>
                <w:color w:val="auto"/>
              </w:rPr>
            </w:pPr>
            <w:r>
              <w:rPr>
                <w:rFonts w:ascii="Arial" w:cs="Arial" w:eastAsia="Arial" w:hAnsi="Arial"/>
                <w:sz w:val="9"/>
                <w:szCs w:val="9"/>
                <w:b w:val="1"/>
                <w:bCs w:val="1"/>
                <w:color w:val="auto"/>
                <w:w w:val="92"/>
              </w:rPr>
              <w:t>Total</w:t>
            </w:r>
          </w:p>
        </w:tc>
        <w:tc>
          <w:tcPr>
            <w:tcW w:w="200" w:type="dxa"/>
            <w:vAlign w:val="bottom"/>
          </w:tcPr>
          <w:p>
            <w:pPr>
              <w:spacing w:after="0"/>
              <w:rPr>
                <w:sz w:val="10"/>
                <w:szCs w:val="10"/>
                <w:color w:val="auto"/>
              </w:rPr>
            </w:pPr>
          </w:p>
        </w:tc>
        <w:tc>
          <w:tcPr>
            <w:tcW w:w="580" w:type="dxa"/>
            <w:vAlign w:val="bottom"/>
          </w:tcPr>
          <w:p>
            <w:pPr>
              <w:jc w:val="center"/>
              <w:ind w:right="56"/>
              <w:spacing w:after="0"/>
              <w:rPr>
                <w:sz w:val="20"/>
                <w:szCs w:val="20"/>
                <w:color w:val="auto"/>
              </w:rPr>
            </w:pPr>
            <w:r>
              <w:rPr>
                <w:rFonts w:ascii="Arial" w:cs="Arial" w:eastAsia="Arial" w:hAnsi="Arial"/>
                <w:sz w:val="9"/>
                <w:szCs w:val="9"/>
                <w:b w:val="1"/>
                <w:bCs w:val="1"/>
                <w:color w:val="auto"/>
                <w:w w:val="92"/>
              </w:rPr>
              <w:t>Total</w:t>
            </w:r>
          </w:p>
        </w:tc>
        <w:tc>
          <w:tcPr>
            <w:tcW w:w="180" w:type="dxa"/>
            <w:vAlign w:val="bottom"/>
          </w:tcPr>
          <w:p>
            <w:pPr>
              <w:spacing w:after="0"/>
              <w:rPr>
                <w:sz w:val="10"/>
                <w:szCs w:val="10"/>
                <w:color w:val="auto"/>
              </w:rPr>
            </w:pPr>
          </w:p>
        </w:tc>
        <w:tc>
          <w:tcPr>
            <w:tcW w:w="500" w:type="dxa"/>
            <w:vAlign w:val="bottom"/>
          </w:tcPr>
          <w:p>
            <w:pPr>
              <w:jc w:val="center"/>
              <w:ind w:right="56"/>
              <w:spacing w:after="0"/>
              <w:rPr>
                <w:sz w:val="20"/>
                <w:szCs w:val="20"/>
                <w:color w:val="auto"/>
              </w:rPr>
            </w:pPr>
            <w:r>
              <w:rPr>
                <w:rFonts w:ascii="Arial" w:cs="Arial" w:eastAsia="Arial" w:hAnsi="Arial"/>
                <w:sz w:val="9"/>
                <w:szCs w:val="9"/>
                <w:b w:val="1"/>
                <w:bCs w:val="1"/>
                <w:color w:val="auto"/>
                <w:w w:val="96"/>
              </w:rPr>
              <w:t>PSF Total</w:t>
            </w:r>
          </w:p>
        </w:tc>
      </w:tr>
      <w:tr>
        <w:trPr>
          <w:trHeight w:val="201"/>
        </w:trPr>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9"/>
                <w:szCs w:val="9"/>
                <w:color w:val="auto"/>
              </w:rPr>
              <w:t>261,851</w:t>
            </w:r>
          </w:p>
        </w:tc>
        <w:tc>
          <w:tcPr>
            <w:tcW w:w="640" w:type="dxa"/>
            <w:vAlign w:val="bottom"/>
            <w:tcBorders>
              <w:top w:val="single" w:sz="8" w:color="auto"/>
            </w:tcBorders>
          </w:tcPr>
          <w:p>
            <w:pPr>
              <w:jc w:val="right"/>
              <w:ind w:right="96"/>
              <w:spacing w:after="0"/>
              <w:rPr>
                <w:sz w:val="20"/>
                <w:szCs w:val="20"/>
                <w:color w:val="auto"/>
              </w:rPr>
            </w:pPr>
            <w:r>
              <w:rPr>
                <w:rFonts w:ascii="Arial" w:cs="Arial" w:eastAsia="Arial" w:hAnsi="Arial"/>
                <w:sz w:val="9"/>
                <w:szCs w:val="9"/>
                <w:color w:val="auto"/>
              </w:rPr>
              <w:t>25,134</w:t>
            </w:r>
          </w:p>
        </w:tc>
        <w:tc>
          <w:tcPr>
            <w:tcW w:w="580" w:type="dxa"/>
            <w:vAlign w:val="bottom"/>
            <w:tcBorders>
              <w:top w:val="single" w:sz="8" w:color="auto"/>
            </w:tcBorders>
          </w:tcPr>
          <w:p>
            <w:pPr>
              <w:jc w:val="right"/>
              <w:ind w:right="116"/>
              <w:spacing w:after="0"/>
              <w:rPr>
                <w:sz w:val="20"/>
                <w:szCs w:val="20"/>
                <w:color w:val="auto"/>
              </w:rPr>
            </w:pPr>
            <w:r>
              <w:rPr>
                <w:rFonts w:ascii="Arial" w:cs="Arial" w:eastAsia="Arial" w:hAnsi="Arial"/>
                <w:sz w:val="9"/>
                <w:szCs w:val="9"/>
                <w:color w:val="auto"/>
              </w:rPr>
              <w:t>32,533</w:t>
            </w:r>
          </w:p>
        </w:tc>
        <w:tc>
          <w:tcPr>
            <w:tcW w:w="520" w:type="dxa"/>
            <w:vAlign w:val="bottom"/>
            <w:tcBorders>
              <w:top w:val="single" w:sz="8" w:color="auto"/>
            </w:tcBorders>
          </w:tcPr>
          <w:p>
            <w:pPr>
              <w:jc w:val="right"/>
              <w:ind w:right="76"/>
              <w:spacing w:after="0"/>
              <w:rPr>
                <w:sz w:val="20"/>
                <w:szCs w:val="20"/>
                <w:color w:val="auto"/>
              </w:rPr>
            </w:pPr>
            <w:r>
              <w:rPr>
                <w:rFonts w:ascii="Arial" w:cs="Arial" w:eastAsia="Arial" w:hAnsi="Arial"/>
                <w:sz w:val="9"/>
                <w:szCs w:val="9"/>
                <w:color w:val="auto"/>
              </w:rPr>
              <w:t>319,518</w:t>
            </w: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6"/>
              <w:spacing w:after="0"/>
              <w:rPr>
                <w:sz w:val="20"/>
                <w:szCs w:val="20"/>
                <w:color w:val="auto"/>
              </w:rPr>
            </w:pPr>
            <w:r>
              <w:rPr>
                <w:rFonts w:ascii="Arial" w:cs="Arial" w:eastAsia="Arial" w:hAnsi="Arial"/>
                <w:sz w:val="9"/>
                <w:szCs w:val="9"/>
                <w:color w:val="auto"/>
              </w:rPr>
              <w:t>90.5%</w:t>
            </w:r>
          </w:p>
        </w:tc>
        <w:tc>
          <w:tcPr>
            <w:tcW w:w="580" w:type="dxa"/>
            <w:vAlign w:val="bottom"/>
            <w:tcBorders>
              <w:top w:val="single" w:sz="8" w:color="auto"/>
            </w:tcBorders>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Borders>
              <w:top w:val="single" w:sz="8" w:color="auto"/>
            </w:tcBorders>
          </w:tcPr>
          <w:p>
            <w:pPr>
              <w:jc w:val="right"/>
              <w:ind w:right="76"/>
              <w:spacing w:after="0"/>
              <w:rPr>
                <w:sz w:val="20"/>
                <w:szCs w:val="20"/>
                <w:color w:val="auto"/>
              </w:rPr>
            </w:pPr>
            <w:r>
              <w:rPr>
                <w:rFonts w:ascii="Arial" w:cs="Arial" w:eastAsia="Arial" w:hAnsi="Arial"/>
                <w:sz w:val="9"/>
                <w:szCs w:val="9"/>
                <w:color w:val="auto"/>
              </w:rPr>
              <w:t>88.4%</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83.2%</w:t>
            </w:r>
          </w:p>
        </w:tc>
        <w:tc>
          <w:tcPr>
            <w:tcW w:w="840" w:type="dxa"/>
            <w:vAlign w:val="bottom"/>
            <w:tcBorders>
              <w:top w:val="single" w:sz="8" w:color="auto"/>
            </w:tcBorders>
          </w:tcPr>
          <w:p>
            <w:pPr>
              <w:jc w:val="right"/>
              <w:ind w:right="76"/>
              <w:spacing w:after="0"/>
              <w:rPr>
                <w:sz w:val="20"/>
                <w:szCs w:val="20"/>
                <w:color w:val="auto"/>
              </w:rPr>
            </w:pPr>
            <w:r>
              <w:rPr>
                <w:rFonts w:ascii="Arial" w:cs="Arial" w:eastAsia="Arial" w:hAnsi="Arial"/>
                <w:sz w:val="9"/>
                <w:szCs w:val="9"/>
                <w:color w:val="auto"/>
              </w:rPr>
              <w:t>91.1%</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76"/>
              <w:spacing w:after="0"/>
              <w:rPr>
                <w:sz w:val="20"/>
                <w:szCs w:val="20"/>
                <w:color w:val="auto"/>
              </w:rPr>
            </w:pPr>
            <w:r>
              <w:rPr>
                <w:rFonts w:ascii="Arial" w:cs="Arial" w:eastAsia="Arial" w:hAnsi="Arial"/>
                <w:sz w:val="9"/>
                <w:szCs w:val="9"/>
                <w:color w:val="auto"/>
                <w:w w:val="97"/>
              </w:rPr>
              <w:t>17,795,282</w:t>
            </w: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76"/>
              <w:spacing w:after="0"/>
              <w:rPr>
                <w:sz w:val="20"/>
                <w:szCs w:val="20"/>
                <w:color w:val="auto"/>
              </w:rPr>
            </w:pPr>
            <w:r>
              <w:rPr>
                <w:rFonts w:ascii="Arial" w:cs="Arial" w:eastAsia="Arial" w:hAnsi="Arial"/>
                <w:sz w:val="9"/>
                <w:szCs w:val="9"/>
                <w:color w:val="auto"/>
              </w:rPr>
              <w:t>66.94</w:t>
            </w:r>
          </w:p>
        </w:tc>
      </w:tr>
      <w:tr>
        <w:trPr>
          <w:trHeight w:val="203"/>
        </w:trPr>
        <w:tc>
          <w:tcPr>
            <w:tcW w:w="20" w:type="dxa"/>
            <w:vAlign w:val="bottom"/>
          </w:tcPr>
          <w:p>
            <w:pPr>
              <w:spacing w:after="0"/>
              <w:rPr>
                <w:sz w:val="17"/>
                <w:szCs w:val="17"/>
                <w:color w:val="auto"/>
              </w:rPr>
            </w:pPr>
          </w:p>
        </w:tc>
        <w:tc>
          <w:tcPr>
            <w:tcW w:w="580" w:type="dxa"/>
            <w:vAlign w:val="bottom"/>
            <w:tcBorders>
              <w:bottom w:val="single" w:sz="8" w:color="auto"/>
            </w:tcBorders>
            <w:gridSpan w:val="7"/>
          </w:tcPr>
          <w:p>
            <w:pPr>
              <w:spacing w:after="0"/>
              <w:rPr>
                <w:sz w:val="20"/>
                <w:szCs w:val="20"/>
                <w:color w:val="auto"/>
              </w:rPr>
            </w:pPr>
            <w:r>
              <w:rPr>
                <w:rFonts w:ascii="Arial" w:cs="Arial" w:eastAsia="Arial" w:hAnsi="Arial"/>
                <w:sz w:val="9"/>
                <w:szCs w:val="9"/>
                <w:b w:val="1"/>
                <w:bCs w:val="1"/>
                <w:color w:val="auto"/>
                <w:w w:val="96"/>
              </w:rPr>
              <w:t>Boston Metro</w:t>
            </w:r>
          </w:p>
        </w:tc>
        <w:tc>
          <w:tcPr>
            <w:tcW w:w="900" w:type="dxa"/>
            <w:vAlign w:val="bottom"/>
            <w:gridSpan w:val="2"/>
          </w:tcPr>
          <w:p>
            <w:pPr>
              <w:spacing w:after="0"/>
              <w:rPr>
                <w:sz w:val="17"/>
                <w:szCs w:val="17"/>
                <w:color w:val="auto"/>
              </w:rPr>
            </w:pPr>
          </w:p>
        </w:tc>
        <w:tc>
          <w:tcPr>
            <w:tcW w:w="1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330-340 River Street</w:t>
            </w:r>
          </w:p>
        </w:tc>
        <w:tc>
          <w:tcPr>
            <w:tcW w:w="1860" w:type="dxa"/>
            <w:vAlign w:val="bottom"/>
          </w:tcPr>
          <w:p>
            <w:pPr>
              <w:ind w:left="100"/>
              <w:spacing w:after="0"/>
              <w:rPr>
                <w:sz w:val="20"/>
                <w:szCs w:val="20"/>
                <w:color w:val="auto"/>
              </w:rPr>
            </w:pPr>
            <w:r>
              <w:rPr>
                <w:rFonts w:ascii="Arial" w:cs="Arial" w:eastAsia="Arial" w:hAnsi="Arial"/>
                <w:sz w:val="9"/>
                <w:szCs w:val="9"/>
                <w:color w:val="auto"/>
              </w:rPr>
              <w:t>Whole Foods</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2012</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40,800</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13,426</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54,226</w:t>
            </w:r>
          </w:p>
        </w:tc>
        <w:tc>
          <w:tcPr>
            <w:tcW w:w="18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8"/>
                <w:szCs w:val="18"/>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1,200,045</w:t>
            </w:r>
          </w:p>
        </w:tc>
        <w:tc>
          <w:tcPr>
            <w:tcW w:w="180" w:type="dxa"/>
            <w:vAlign w:val="bottom"/>
          </w:tcPr>
          <w:p>
            <w:pPr>
              <w:spacing w:after="0"/>
              <w:rPr>
                <w:sz w:val="18"/>
                <w:szCs w:val="18"/>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22.13</w:t>
            </w:r>
          </w:p>
        </w:tc>
      </w:tr>
      <w:tr>
        <w:trPr>
          <w:trHeight w:val="227"/>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165 Newbury Street</w:t>
            </w:r>
          </w:p>
        </w:tc>
        <w:tc>
          <w:tcPr>
            <w:tcW w:w="1860" w:type="dxa"/>
            <w:vAlign w:val="bottom"/>
          </w:tcPr>
          <w:p>
            <w:pPr>
              <w:ind w:left="100"/>
              <w:spacing w:after="0"/>
              <w:rPr>
                <w:sz w:val="20"/>
                <w:szCs w:val="20"/>
                <w:color w:val="auto"/>
              </w:rPr>
            </w:pPr>
            <w:r>
              <w:rPr>
                <w:rFonts w:ascii="Arial" w:cs="Arial" w:eastAsia="Arial" w:hAnsi="Arial"/>
                <w:sz w:val="9"/>
                <w:szCs w:val="9"/>
                <w:color w:val="auto"/>
              </w:rPr>
              <w:t>Starbucks</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2016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1,050</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1,050</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100.0%</w:t>
            </w: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100.0%</w:t>
            </w: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261,777</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249.31</w:t>
            </w:r>
          </w:p>
        </w:tc>
      </w:tr>
      <w:tr>
        <w:trPr>
          <w:trHeight w:val="201"/>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1,050</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40,800</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13,426</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55,276</w:t>
            </w:r>
          </w:p>
        </w:tc>
        <w:tc>
          <w:tcPr>
            <w:tcW w:w="18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7"/>
                <w:szCs w:val="17"/>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1,461,822</w:t>
            </w:r>
          </w:p>
        </w:tc>
        <w:tc>
          <w:tcPr>
            <w:tcW w:w="180" w:type="dxa"/>
            <w:vAlign w:val="bottom"/>
          </w:tcPr>
          <w:p>
            <w:pPr>
              <w:spacing w:after="0"/>
              <w:rPr>
                <w:sz w:val="17"/>
                <w:szCs w:val="17"/>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26.45</w:t>
            </w:r>
          </w:p>
        </w:tc>
      </w:tr>
      <w:tr>
        <w:trPr>
          <w:trHeight w:val="11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r>
        <w:trPr>
          <w:trHeight w:val="206"/>
        </w:trPr>
        <w:tc>
          <w:tcPr>
            <w:tcW w:w="20" w:type="dxa"/>
            <w:vAlign w:val="bottom"/>
          </w:tcPr>
          <w:p>
            <w:pPr>
              <w:spacing w:after="0"/>
              <w:rPr>
                <w:sz w:val="17"/>
                <w:szCs w:val="17"/>
                <w:color w:val="auto"/>
              </w:rPr>
            </w:pPr>
          </w:p>
        </w:tc>
        <w:tc>
          <w:tcPr>
            <w:tcW w:w="1480" w:type="dxa"/>
            <w:vAlign w:val="bottom"/>
            <w:gridSpan w:val="9"/>
          </w:tcPr>
          <w:p>
            <w:pPr>
              <w:spacing w:after="0"/>
              <w:rPr>
                <w:sz w:val="20"/>
                <w:szCs w:val="20"/>
                <w:color w:val="auto"/>
              </w:rPr>
            </w:pPr>
            <w:r>
              <w:rPr>
                <w:rFonts w:ascii="Arial" w:cs="Arial" w:eastAsia="Arial" w:hAnsi="Arial"/>
                <w:sz w:val="9"/>
                <w:szCs w:val="9"/>
                <w:b w:val="1"/>
                <w:bCs w:val="1"/>
                <w:color w:val="auto"/>
              </w:rPr>
              <w:t>Total Street and Urban Retail</w:t>
            </w:r>
          </w:p>
        </w:tc>
        <w:tc>
          <w:tcPr>
            <w:tcW w:w="1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973,960</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272,746</w:t>
            </w: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b w:val="1"/>
                <w:bCs w:val="1"/>
                <w:color w:val="auto"/>
              </w:rPr>
              <w:t>296,230</w:t>
            </w: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w w:val="94"/>
              </w:rPr>
              <w:t>1,542,936</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93.8%</w:t>
            </w: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90.8%</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80.2%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90.7%</w:t>
            </w: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92.6%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w w:val="97"/>
              </w:rPr>
              <w:t>86,079,579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61.51</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tcBorders>
              <w:bottom w:val="single" w:sz="8" w:color="9BDA44"/>
            </w:tcBorders>
          </w:tcPr>
          <w:p>
            <w:pPr>
              <w:spacing w:after="0"/>
              <w:rPr>
                <w:sz w:val="6"/>
                <w:szCs w:val="6"/>
                <w:color w:val="auto"/>
              </w:rPr>
            </w:pPr>
          </w:p>
        </w:tc>
        <w:tc>
          <w:tcPr>
            <w:tcW w:w="280" w:type="dxa"/>
            <w:vAlign w:val="bottom"/>
            <w:tcBorders>
              <w:bottom w:val="single" w:sz="8" w:color="9BDA44"/>
            </w:tcBorders>
          </w:tcPr>
          <w:p>
            <w:pPr>
              <w:spacing w:after="0"/>
              <w:rPr>
                <w:sz w:val="6"/>
                <w:szCs w:val="6"/>
                <w:color w:val="auto"/>
              </w:rPr>
            </w:pPr>
          </w:p>
        </w:tc>
        <w:tc>
          <w:tcPr>
            <w:tcW w:w="40" w:type="dxa"/>
            <w:vAlign w:val="bottom"/>
            <w:tcBorders>
              <w:bottom w:val="single" w:sz="8" w:color="9BDA44"/>
            </w:tcBorders>
          </w:tcPr>
          <w:p>
            <w:pPr>
              <w:spacing w:after="0"/>
              <w:rPr>
                <w:sz w:val="6"/>
                <w:szCs w:val="6"/>
                <w:color w:val="auto"/>
              </w:rPr>
            </w:pPr>
          </w:p>
        </w:tc>
        <w:tc>
          <w:tcPr>
            <w:tcW w:w="40" w:type="dxa"/>
            <w:vAlign w:val="bottom"/>
            <w:tcBorders>
              <w:bottom w:val="single" w:sz="8" w:color="9BDA44"/>
            </w:tcBorders>
          </w:tcPr>
          <w:p>
            <w:pPr>
              <w:spacing w:after="0"/>
              <w:rPr>
                <w:sz w:val="6"/>
                <w:szCs w:val="6"/>
                <w:color w:val="auto"/>
              </w:rPr>
            </w:pPr>
          </w:p>
        </w:tc>
        <w:tc>
          <w:tcPr>
            <w:tcW w:w="40" w:type="dxa"/>
            <w:vAlign w:val="bottom"/>
            <w:tcBorders>
              <w:bottom w:val="single" w:sz="8" w:color="9BDA44"/>
            </w:tcBorders>
          </w:tcPr>
          <w:p>
            <w:pPr>
              <w:spacing w:after="0"/>
              <w:rPr>
                <w:sz w:val="6"/>
                <w:szCs w:val="6"/>
                <w:color w:val="auto"/>
              </w:rPr>
            </w:pPr>
          </w:p>
        </w:tc>
        <w:tc>
          <w:tcPr>
            <w:tcW w:w="100" w:type="dxa"/>
            <w:vAlign w:val="bottom"/>
            <w:tcBorders>
              <w:bottom w:val="single" w:sz="8" w:color="9BDA44"/>
            </w:tcBorders>
          </w:tcPr>
          <w:p>
            <w:pPr>
              <w:spacing w:after="0"/>
              <w:rPr>
                <w:sz w:val="6"/>
                <w:szCs w:val="6"/>
                <w:color w:val="auto"/>
              </w:rPr>
            </w:pPr>
          </w:p>
        </w:tc>
        <w:tc>
          <w:tcPr>
            <w:tcW w:w="20" w:type="dxa"/>
            <w:vAlign w:val="bottom"/>
            <w:tcBorders>
              <w:bottom w:val="single" w:sz="8" w:color="9BDA44"/>
            </w:tcBorders>
          </w:tcPr>
          <w:p>
            <w:pPr>
              <w:spacing w:after="0"/>
              <w:rPr>
                <w:sz w:val="6"/>
                <w:szCs w:val="6"/>
                <w:color w:val="auto"/>
              </w:rPr>
            </w:pPr>
          </w:p>
        </w:tc>
        <w:tc>
          <w:tcPr>
            <w:tcW w:w="60" w:type="dxa"/>
            <w:vAlign w:val="bottom"/>
            <w:tcBorders>
              <w:bottom w:val="single" w:sz="8" w:color="9BDA44"/>
            </w:tcBorders>
          </w:tcPr>
          <w:p>
            <w:pPr>
              <w:spacing w:after="0"/>
              <w:rPr>
                <w:sz w:val="6"/>
                <w:szCs w:val="6"/>
                <w:color w:val="auto"/>
              </w:rPr>
            </w:pPr>
          </w:p>
        </w:tc>
        <w:tc>
          <w:tcPr>
            <w:tcW w:w="60" w:type="dxa"/>
            <w:vAlign w:val="bottom"/>
            <w:tcBorders>
              <w:bottom w:val="single" w:sz="8" w:color="9BDA44"/>
            </w:tcBorders>
          </w:tcPr>
          <w:p>
            <w:pPr>
              <w:spacing w:after="0"/>
              <w:rPr>
                <w:sz w:val="6"/>
                <w:szCs w:val="6"/>
                <w:color w:val="auto"/>
              </w:rPr>
            </w:pPr>
          </w:p>
        </w:tc>
        <w:tc>
          <w:tcPr>
            <w:tcW w:w="840" w:type="dxa"/>
            <w:vAlign w:val="bottom"/>
            <w:tcBorders>
              <w:bottom w:val="single" w:sz="8" w:color="9BDA44"/>
            </w:tcBorders>
          </w:tcPr>
          <w:p>
            <w:pPr>
              <w:spacing w:after="0"/>
              <w:rPr>
                <w:sz w:val="6"/>
                <w:szCs w:val="6"/>
                <w:color w:val="auto"/>
              </w:rPr>
            </w:pPr>
          </w:p>
        </w:tc>
        <w:tc>
          <w:tcPr>
            <w:tcW w:w="1860" w:type="dxa"/>
            <w:vAlign w:val="bottom"/>
            <w:tcBorders>
              <w:bottom w:val="single" w:sz="8" w:color="9BDA44"/>
            </w:tcBorders>
          </w:tcPr>
          <w:p>
            <w:pPr>
              <w:spacing w:after="0"/>
              <w:rPr>
                <w:sz w:val="6"/>
                <w:szCs w:val="6"/>
                <w:color w:val="auto"/>
              </w:rPr>
            </w:pPr>
          </w:p>
        </w:tc>
        <w:tc>
          <w:tcPr>
            <w:tcW w:w="600" w:type="dxa"/>
            <w:vAlign w:val="bottom"/>
            <w:tcBorders>
              <w:bottom w:val="single" w:sz="8" w:color="9BDA44"/>
            </w:tcBorders>
          </w:tcPr>
          <w:p>
            <w:pPr>
              <w:spacing w:after="0"/>
              <w:rPr>
                <w:sz w:val="6"/>
                <w:szCs w:val="6"/>
                <w:color w:val="auto"/>
              </w:rPr>
            </w:pPr>
          </w:p>
        </w:tc>
        <w:tc>
          <w:tcPr>
            <w:tcW w:w="560" w:type="dxa"/>
            <w:vAlign w:val="bottom"/>
            <w:tcBorders>
              <w:bottom w:val="single" w:sz="8" w:color="9BDA44"/>
            </w:tcBorders>
          </w:tcPr>
          <w:p>
            <w:pPr>
              <w:spacing w:after="0"/>
              <w:rPr>
                <w:sz w:val="6"/>
                <w:szCs w:val="6"/>
                <w:color w:val="auto"/>
              </w:rPr>
            </w:pPr>
          </w:p>
        </w:tc>
        <w:tc>
          <w:tcPr>
            <w:tcW w:w="500" w:type="dxa"/>
            <w:vAlign w:val="bottom"/>
            <w:tcBorders>
              <w:bottom w:val="single" w:sz="8" w:color="9BDA44"/>
            </w:tcBorders>
          </w:tcPr>
          <w:p>
            <w:pPr>
              <w:spacing w:after="0"/>
              <w:rPr>
                <w:sz w:val="6"/>
                <w:szCs w:val="6"/>
                <w:color w:val="auto"/>
              </w:rPr>
            </w:pPr>
          </w:p>
        </w:tc>
        <w:tc>
          <w:tcPr>
            <w:tcW w:w="640" w:type="dxa"/>
            <w:vAlign w:val="bottom"/>
            <w:tcBorders>
              <w:bottom w:val="single" w:sz="8" w:color="9BDA44"/>
            </w:tcBorders>
          </w:tcPr>
          <w:p>
            <w:pPr>
              <w:spacing w:after="0"/>
              <w:rPr>
                <w:sz w:val="6"/>
                <w:szCs w:val="6"/>
                <w:color w:val="auto"/>
              </w:rPr>
            </w:pPr>
          </w:p>
        </w:tc>
        <w:tc>
          <w:tcPr>
            <w:tcW w:w="580" w:type="dxa"/>
            <w:vAlign w:val="bottom"/>
            <w:tcBorders>
              <w:bottom w:val="single" w:sz="8" w:color="9BDA44"/>
            </w:tcBorders>
          </w:tcPr>
          <w:p>
            <w:pPr>
              <w:spacing w:after="0"/>
              <w:rPr>
                <w:sz w:val="6"/>
                <w:szCs w:val="6"/>
                <w:color w:val="auto"/>
              </w:rPr>
            </w:pPr>
          </w:p>
        </w:tc>
        <w:tc>
          <w:tcPr>
            <w:tcW w:w="520" w:type="dxa"/>
            <w:vAlign w:val="bottom"/>
            <w:tcBorders>
              <w:bottom w:val="single" w:sz="8" w:color="9BDA44"/>
            </w:tcBorders>
          </w:tcPr>
          <w:p>
            <w:pPr>
              <w:spacing w:after="0"/>
              <w:rPr>
                <w:sz w:val="6"/>
                <w:szCs w:val="6"/>
                <w:color w:val="auto"/>
              </w:rPr>
            </w:pPr>
          </w:p>
        </w:tc>
        <w:tc>
          <w:tcPr>
            <w:tcW w:w="180" w:type="dxa"/>
            <w:vAlign w:val="bottom"/>
            <w:tcBorders>
              <w:bottom w:val="single" w:sz="8" w:color="9BDA44"/>
            </w:tcBorders>
          </w:tcPr>
          <w:p>
            <w:pPr>
              <w:spacing w:after="0"/>
              <w:rPr>
                <w:sz w:val="6"/>
                <w:szCs w:val="6"/>
                <w:color w:val="auto"/>
              </w:rPr>
            </w:pPr>
          </w:p>
        </w:tc>
        <w:tc>
          <w:tcPr>
            <w:tcW w:w="600" w:type="dxa"/>
            <w:vAlign w:val="bottom"/>
            <w:tcBorders>
              <w:bottom w:val="single" w:sz="8" w:color="9BDA44"/>
            </w:tcBorders>
          </w:tcPr>
          <w:p>
            <w:pPr>
              <w:spacing w:after="0"/>
              <w:rPr>
                <w:sz w:val="6"/>
                <w:szCs w:val="6"/>
                <w:color w:val="auto"/>
              </w:rPr>
            </w:pPr>
          </w:p>
        </w:tc>
        <w:tc>
          <w:tcPr>
            <w:tcW w:w="580" w:type="dxa"/>
            <w:vAlign w:val="bottom"/>
            <w:tcBorders>
              <w:bottom w:val="single" w:sz="8" w:color="9BDA44"/>
            </w:tcBorders>
          </w:tcPr>
          <w:p>
            <w:pPr>
              <w:spacing w:after="0"/>
              <w:rPr>
                <w:sz w:val="6"/>
                <w:szCs w:val="6"/>
                <w:color w:val="auto"/>
              </w:rPr>
            </w:pPr>
          </w:p>
        </w:tc>
        <w:tc>
          <w:tcPr>
            <w:tcW w:w="580" w:type="dxa"/>
            <w:vAlign w:val="bottom"/>
            <w:tcBorders>
              <w:bottom w:val="single" w:sz="8" w:color="9BDA44"/>
            </w:tcBorders>
          </w:tcPr>
          <w:p>
            <w:pPr>
              <w:spacing w:after="0"/>
              <w:rPr>
                <w:sz w:val="6"/>
                <w:szCs w:val="6"/>
                <w:color w:val="auto"/>
              </w:rPr>
            </w:pPr>
          </w:p>
        </w:tc>
        <w:tc>
          <w:tcPr>
            <w:tcW w:w="480" w:type="dxa"/>
            <w:vAlign w:val="bottom"/>
            <w:tcBorders>
              <w:bottom w:val="single" w:sz="8" w:color="9BDA44"/>
            </w:tcBorders>
          </w:tcPr>
          <w:p>
            <w:pPr>
              <w:spacing w:after="0"/>
              <w:rPr>
                <w:sz w:val="6"/>
                <w:szCs w:val="6"/>
                <w:color w:val="auto"/>
              </w:rPr>
            </w:pPr>
          </w:p>
        </w:tc>
        <w:tc>
          <w:tcPr>
            <w:tcW w:w="840" w:type="dxa"/>
            <w:vAlign w:val="bottom"/>
            <w:tcBorders>
              <w:bottom w:val="single" w:sz="8" w:color="9BDA44"/>
            </w:tcBorders>
          </w:tcPr>
          <w:p>
            <w:pPr>
              <w:spacing w:after="0"/>
              <w:rPr>
                <w:sz w:val="6"/>
                <w:szCs w:val="6"/>
                <w:color w:val="auto"/>
              </w:rPr>
            </w:pPr>
          </w:p>
        </w:tc>
        <w:tc>
          <w:tcPr>
            <w:tcW w:w="200" w:type="dxa"/>
            <w:vAlign w:val="bottom"/>
            <w:tcBorders>
              <w:bottom w:val="single" w:sz="8" w:color="9BDA44"/>
            </w:tcBorders>
          </w:tcPr>
          <w:p>
            <w:pPr>
              <w:spacing w:after="0"/>
              <w:rPr>
                <w:sz w:val="6"/>
                <w:szCs w:val="6"/>
                <w:color w:val="auto"/>
              </w:rPr>
            </w:pPr>
          </w:p>
        </w:tc>
        <w:tc>
          <w:tcPr>
            <w:tcW w:w="580" w:type="dxa"/>
            <w:vAlign w:val="bottom"/>
            <w:tcBorders>
              <w:bottom w:val="single" w:sz="8" w:color="9BDA44"/>
            </w:tcBorders>
          </w:tcPr>
          <w:p>
            <w:pPr>
              <w:spacing w:after="0"/>
              <w:rPr>
                <w:sz w:val="6"/>
                <w:szCs w:val="6"/>
                <w:color w:val="auto"/>
              </w:rPr>
            </w:pPr>
          </w:p>
        </w:tc>
        <w:tc>
          <w:tcPr>
            <w:tcW w:w="180" w:type="dxa"/>
            <w:vAlign w:val="bottom"/>
            <w:tcBorders>
              <w:bottom w:val="single" w:sz="8" w:color="9BDA44"/>
            </w:tcBorders>
          </w:tcPr>
          <w:p>
            <w:pPr>
              <w:spacing w:after="0"/>
              <w:rPr>
                <w:sz w:val="6"/>
                <w:szCs w:val="6"/>
                <w:color w:val="auto"/>
              </w:rPr>
            </w:pPr>
          </w:p>
        </w:tc>
        <w:tc>
          <w:tcPr>
            <w:tcW w:w="500" w:type="dxa"/>
            <w:vAlign w:val="bottom"/>
            <w:tcBorders>
              <w:bottom w:val="single" w:sz="8" w:color="9BDA44"/>
            </w:tcBorders>
          </w:tcPr>
          <w:p>
            <w:pPr>
              <w:spacing w:after="0"/>
              <w:rPr>
                <w:sz w:val="6"/>
                <w:szCs w:val="6"/>
                <w:color w:val="auto"/>
              </w:rPr>
            </w:pPr>
          </w:p>
        </w:tc>
      </w:tr>
      <w:tr>
        <w:trPr>
          <w:trHeight w:val="201"/>
        </w:trPr>
        <w:tc>
          <w:tcPr>
            <w:tcW w:w="20" w:type="dxa"/>
            <w:vAlign w:val="bottom"/>
            <w:tcBorders>
              <w:bottom w:val="single" w:sz="8" w:color="9BDA44"/>
            </w:tcBorders>
            <w:shd w:val="clear" w:color="auto" w:fill="9BDA44"/>
          </w:tcPr>
          <w:p>
            <w:pPr>
              <w:spacing w:after="0"/>
              <w:rPr>
                <w:sz w:val="17"/>
                <w:szCs w:val="17"/>
                <w:color w:val="auto"/>
              </w:rPr>
            </w:pPr>
          </w:p>
        </w:tc>
        <w:tc>
          <w:tcPr>
            <w:tcW w:w="3340" w:type="dxa"/>
            <w:vAlign w:val="bottom"/>
            <w:tcBorders>
              <w:bottom w:val="single" w:sz="8" w:color="9BDA44"/>
            </w:tcBorders>
            <w:gridSpan w:val="10"/>
          </w:tcPr>
          <w:p>
            <w:pPr>
              <w:ind w:left="20"/>
              <w:spacing w:after="0"/>
              <w:rPr>
                <w:sz w:val="20"/>
                <w:szCs w:val="20"/>
                <w:color w:val="auto"/>
              </w:rPr>
            </w:pPr>
            <w:r>
              <w:rPr>
                <w:rFonts w:ascii="Arial" w:cs="Arial" w:eastAsia="Arial" w:hAnsi="Arial"/>
                <w:sz w:val="9"/>
                <w:szCs w:val="9"/>
                <w:b w:val="1"/>
                <w:bCs w:val="1"/>
                <w:color w:val="auto"/>
              </w:rPr>
              <w:t>Acadia Share Total Street and Urban Retail</w:t>
            </w:r>
          </w:p>
        </w:tc>
        <w:tc>
          <w:tcPr>
            <w:tcW w:w="600" w:type="dxa"/>
            <w:vAlign w:val="bottom"/>
            <w:tcBorders>
              <w:bottom w:val="single" w:sz="8" w:color="9BDA44"/>
            </w:tcBorders>
          </w:tcPr>
          <w:p>
            <w:pPr>
              <w:spacing w:after="0"/>
              <w:rPr>
                <w:sz w:val="17"/>
                <w:szCs w:val="17"/>
                <w:color w:val="auto"/>
              </w:rPr>
            </w:pPr>
          </w:p>
        </w:tc>
        <w:tc>
          <w:tcPr>
            <w:tcW w:w="560" w:type="dxa"/>
            <w:vAlign w:val="bottom"/>
            <w:tcBorders>
              <w:bottom w:val="single" w:sz="8" w:color="9BDA44"/>
            </w:tcBorders>
          </w:tcPr>
          <w:p>
            <w:pPr>
              <w:spacing w:after="0"/>
              <w:rPr>
                <w:sz w:val="17"/>
                <w:szCs w:val="17"/>
                <w:color w:val="auto"/>
              </w:rPr>
            </w:pPr>
          </w:p>
        </w:tc>
        <w:tc>
          <w:tcPr>
            <w:tcW w:w="500" w:type="dxa"/>
            <w:vAlign w:val="bottom"/>
            <w:tcBorders>
              <w:bottom w:val="single" w:sz="8" w:color="9BDA44"/>
            </w:tcBorders>
          </w:tcPr>
          <w:p>
            <w:pPr>
              <w:jc w:val="right"/>
              <w:ind w:right="16"/>
              <w:spacing w:after="0"/>
              <w:rPr>
                <w:sz w:val="20"/>
                <w:szCs w:val="20"/>
                <w:color w:val="auto"/>
              </w:rPr>
            </w:pPr>
            <w:r>
              <w:rPr>
                <w:rFonts w:ascii="Arial" w:cs="Arial" w:eastAsia="Arial" w:hAnsi="Arial"/>
                <w:sz w:val="9"/>
                <w:szCs w:val="9"/>
                <w:b w:val="1"/>
                <w:bCs w:val="1"/>
                <w:color w:val="auto"/>
              </w:rPr>
              <w:t>779,817</w:t>
            </w:r>
          </w:p>
        </w:tc>
        <w:tc>
          <w:tcPr>
            <w:tcW w:w="640" w:type="dxa"/>
            <w:vAlign w:val="bottom"/>
            <w:tcBorders>
              <w:bottom w:val="single" w:sz="8" w:color="9BDA44"/>
            </w:tcBorders>
          </w:tcPr>
          <w:p>
            <w:pPr>
              <w:jc w:val="right"/>
              <w:ind w:right="96"/>
              <w:spacing w:after="0"/>
              <w:rPr>
                <w:sz w:val="20"/>
                <w:szCs w:val="20"/>
                <w:color w:val="auto"/>
              </w:rPr>
            </w:pPr>
            <w:r>
              <w:rPr>
                <w:rFonts w:ascii="Arial" w:cs="Arial" w:eastAsia="Arial" w:hAnsi="Arial"/>
                <w:sz w:val="9"/>
                <w:szCs w:val="9"/>
                <w:b w:val="1"/>
                <w:bCs w:val="1"/>
                <w:color w:val="auto"/>
              </w:rPr>
              <w:t>272,746</w:t>
            </w:r>
          </w:p>
        </w:tc>
        <w:tc>
          <w:tcPr>
            <w:tcW w:w="580" w:type="dxa"/>
            <w:vAlign w:val="bottom"/>
            <w:tcBorders>
              <w:bottom w:val="single" w:sz="8" w:color="9BDA44"/>
            </w:tcBorders>
          </w:tcPr>
          <w:p>
            <w:pPr>
              <w:jc w:val="right"/>
              <w:ind w:right="116"/>
              <w:spacing w:after="0"/>
              <w:rPr>
                <w:sz w:val="20"/>
                <w:szCs w:val="20"/>
                <w:color w:val="auto"/>
              </w:rPr>
            </w:pPr>
            <w:r>
              <w:rPr>
                <w:rFonts w:ascii="Arial" w:cs="Arial" w:eastAsia="Arial" w:hAnsi="Arial"/>
                <w:sz w:val="9"/>
                <w:szCs w:val="9"/>
                <w:b w:val="1"/>
                <w:bCs w:val="1"/>
                <w:color w:val="auto"/>
              </w:rPr>
              <w:t>282,877</w:t>
            </w:r>
          </w:p>
        </w:tc>
        <w:tc>
          <w:tcPr>
            <w:tcW w:w="520" w:type="dxa"/>
            <w:vAlign w:val="bottom"/>
            <w:tcBorders>
              <w:bottom w:val="single" w:sz="8" w:color="9BDA44"/>
            </w:tcBorders>
          </w:tcPr>
          <w:p>
            <w:pPr>
              <w:jc w:val="right"/>
              <w:ind w:right="76"/>
              <w:spacing w:after="0"/>
              <w:rPr>
                <w:sz w:val="20"/>
                <w:szCs w:val="20"/>
                <w:color w:val="auto"/>
              </w:rPr>
            </w:pPr>
            <w:r>
              <w:rPr>
                <w:rFonts w:ascii="Arial" w:cs="Arial" w:eastAsia="Arial" w:hAnsi="Arial"/>
                <w:sz w:val="9"/>
                <w:szCs w:val="9"/>
                <w:b w:val="1"/>
                <w:bCs w:val="1"/>
                <w:color w:val="auto"/>
                <w:w w:val="94"/>
              </w:rPr>
              <w:t>1,335,440</w:t>
            </w:r>
          </w:p>
        </w:tc>
        <w:tc>
          <w:tcPr>
            <w:tcW w:w="180" w:type="dxa"/>
            <w:vAlign w:val="bottom"/>
            <w:tcBorders>
              <w:bottom w:val="single" w:sz="8" w:color="9BDA44"/>
            </w:tcBorders>
          </w:tcPr>
          <w:p>
            <w:pPr>
              <w:spacing w:after="0"/>
              <w:rPr>
                <w:sz w:val="17"/>
                <w:szCs w:val="17"/>
                <w:color w:val="auto"/>
              </w:rPr>
            </w:pPr>
          </w:p>
        </w:tc>
        <w:tc>
          <w:tcPr>
            <w:tcW w:w="600" w:type="dxa"/>
            <w:vAlign w:val="bottom"/>
            <w:tcBorders>
              <w:bottom w:val="single" w:sz="8" w:color="9BDA44"/>
            </w:tcBorders>
          </w:tcPr>
          <w:p>
            <w:pPr>
              <w:jc w:val="right"/>
              <w:ind w:right="16"/>
              <w:spacing w:after="0"/>
              <w:rPr>
                <w:sz w:val="20"/>
                <w:szCs w:val="20"/>
                <w:color w:val="auto"/>
              </w:rPr>
            </w:pPr>
            <w:r>
              <w:rPr>
                <w:rFonts w:ascii="Arial" w:cs="Arial" w:eastAsia="Arial" w:hAnsi="Arial"/>
                <w:sz w:val="9"/>
                <w:szCs w:val="9"/>
                <w:b w:val="1"/>
                <w:bCs w:val="1"/>
                <w:color w:val="auto"/>
              </w:rPr>
              <w:t>94.7%</w:t>
            </w:r>
          </w:p>
        </w:tc>
        <w:tc>
          <w:tcPr>
            <w:tcW w:w="580" w:type="dxa"/>
            <w:vAlign w:val="bottom"/>
            <w:tcBorders>
              <w:bottom w:val="single" w:sz="8" w:color="9BDA44"/>
            </w:tcBorders>
          </w:tcPr>
          <w:p>
            <w:pPr>
              <w:jc w:val="right"/>
              <w:ind w:right="36"/>
              <w:spacing w:after="0"/>
              <w:rPr>
                <w:sz w:val="20"/>
                <w:szCs w:val="20"/>
                <w:color w:val="auto"/>
              </w:rPr>
            </w:pPr>
            <w:r>
              <w:rPr>
                <w:rFonts w:ascii="Arial" w:cs="Arial" w:eastAsia="Arial" w:hAnsi="Arial"/>
                <w:sz w:val="9"/>
                <w:szCs w:val="9"/>
                <w:b w:val="1"/>
                <w:bCs w:val="1"/>
                <w:color w:val="auto"/>
              </w:rPr>
              <w:t>90.8%</w:t>
            </w:r>
          </w:p>
        </w:tc>
        <w:tc>
          <w:tcPr>
            <w:tcW w:w="580" w:type="dxa"/>
            <w:vAlign w:val="bottom"/>
            <w:tcBorders>
              <w:bottom w:val="single" w:sz="8" w:color="9BDA44"/>
            </w:tcBorders>
          </w:tcPr>
          <w:p>
            <w:pPr>
              <w:jc w:val="right"/>
              <w:ind w:right="76"/>
              <w:spacing w:after="0"/>
              <w:rPr>
                <w:sz w:val="20"/>
                <w:szCs w:val="20"/>
                <w:color w:val="auto"/>
              </w:rPr>
            </w:pPr>
            <w:r>
              <w:rPr>
                <w:rFonts w:ascii="Arial" w:cs="Arial" w:eastAsia="Arial" w:hAnsi="Arial"/>
                <w:sz w:val="9"/>
                <w:szCs w:val="9"/>
                <w:b w:val="1"/>
                <w:bCs w:val="1"/>
                <w:color w:val="auto"/>
              </w:rPr>
              <w:t>80.7%</w:t>
            </w:r>
          </w:p>
        </w:tc>
        <w:tc>
          <w:tcPr>
            <w:tcW w:w="480" w:type="dxa"/>
            <w:vAlign w:val="bottom"/>
            <w:tcBorders>
              <w:bottom w:val="single" w:sz="8" w:color="9BDA44"/>
            </w:tcBorders>
          </w:tcPr>
          <w:p>
            <w:pPr>
              <w:jc w:val="right"/>
              <w:spacing w:after="0"/>
              <w:rPr>
                <w:sz w:val="20"/>
                <w:szCs w:val="20"/>
                <w:color w:val="auto"/>
              </w:rPr>
            </w:pPr>
            <w:r>
              <w:rPr>
                <w:rFonts w:ascii="Arial" w:cs="Arial" w:eastAsia="Arial" w:hAnsi="Arial"/>
                <w:sz w:val="9"/>
                <w:szCs w:val="9"/>
                <w:b w:val="1"/>
                <w:bCs w:val="1"/>
                <w:color w:val="auto"/>
              </w:rPr>
              <w:t>90.9%</w:t>
            </w:r>
          </w:p>
        </w:tc>
        <w:tc>
          <w:tcPr>
            <w:tcW w:w="840" w:type="dxa"/>
            <w:vAlign w:val="bottom"/>
            <w:tcBorders>
              <w:bottom w:val="single" w:sz="8" w:color="9BDA44"/>
            </w:tcBorders>
          </w:tcPr>
          <w:p>
            <w:pPr>
              <w:jc w:val="right"/>
              <w:ind w:right="76"/>
              <w:spacing w:after="0"/>
              <w:rPr>
                <w:sz w:val="20"/>
                <w:szCs w:val="20"/>
                <w:color w:val="auto"/>
              </w:rPr>
            </w:pPr>
            <w:r>
              <w:rPr>
                <w:rFonts w:ascii="Arial" w:cs="Arial" w:eastAsia="Arial" w:hAnsi="Arial"/>
                <w:sz w:val="9"/>
                <w:szCs w:val="9"/>
                <w:b w:val="1"/>
                <w:bCs w:val="1"/>
                <w:color w:val="auto"/>
              </w:rPr>
              <w:t>93.7%</w:t>
            </w:r>
          </w:p>
        </w:tc>
        <w:tc>
          <w:tcPr>
            <w:tcW w:w="200" w:type="dxa"/>
            <w:vAlign w:val="bottom"/>
            <w:tcBorders>
              <w:bottom w:val="single" w:sz="8" w:color="9BDA44"/>
            </w:tcBorders>
          </w:tcPr>
          <w:p>
            <w:pPr>
              <w:jc w:val="right"/>
              <w:spacing w:after="0"/>
              <w:rPr>
                <w:sz w:val="20"/>
                <w:szCs w:val="20"/>
                <w:color w:val="auto"/>
              </w:rPr>
            </w:pPr>
            <w:r>
              <w:rPr>
                <w:rFonts w:ascii="Arial" w:cs="Arial" w:eastAsia="Arial" w:hAnsi="Arial"/>
                <w:sz w:val="9"/>
                <w:szCs w:val="9"/>
                <w:b w:val="1"/>
                <w:bCs w:val="1"/>
                <w:color w:val="auto"/>
              </w:rPr>
              <w:t>$</w:t>
            </w:r>
          </w:p>
        </w:tc>
        <w:tc>
          <w:tcPr>
            <w:tcW w:w="580" w:type="dxa"/>
            <w:vAlign w:val="bottom"/>
            <w:tcBorders>
              <w:bottom w:val="single" w:sz="8" w:color="9BDA44"/>
            </w:tcBorders>
          </w:tcPr>
          <w:p>
            <w:pPr>
              <w:jc w:val="right"/>
              <w:ind w:right="76"/>
              <w:spacing w:after="0"/>
              <w:rPr>
                <w:sz w:val="20"/>
                <w:szCs w:val="20"/>
                <w:color w:val="auto"/>
              </w:rPr>
            </w:pPr>
            <w:r>
              <w:rPr>
                <w:rFonts w:ascii="Arial" w:cs="Arial" w:eastAsia="Arial" w:hAnsi="Arial"/>
                <w:sz w:val="9"/>
                <w:szCs w:val="9"/>
                <w:b w:val="1"/>
                <w:bCs w:val="1"/>
                <w:color w:val="auto"/>
                <w:w w:val="97"/>
              </w:rPr>
              <w:t>73,150,128</w:t>
            </w:r>
          </w:p>
        </w:tc>
        <w:tc>
          <w:tcPr>
            <w:tcW w:w="180" w:type="dxa"/>
            <w:vAlign w:val="bottom"/>
            <w:tcBorders>
              <w:bottom w:val="single" w:sz="8" w:color="9BDA44"/>
            </w:tcBorders>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9BDA44"/>
              <w:right w:val="single" w:sz="8" w:color="9BDA44"/>
            </w:tcBorders>
          </w:tcPr>
          <w:p>
            <w:pPr>
              <w:jc w:val="right"/>
              <w:ind w:right="76"/>
              <w:spacing w:after="0"/>
              <w:rPr>
                <w:sz w:val="20"/>
                <w:szCs w:val="20"/>
                <w:color w:val="auto"/>
              </w:rPr>
            </w:pPr>
            <w:r>
              <w:rPr>
                <w:rFonts w:ascii="Arial" w:cs="Arial" w:eastAsia="Arial" w:hAnsi="Arial"/>
                <w:sz w:val="9"/>
                <w:szCs w:val="9"/>
                <w:b w:val="1"/>
                <w:bCs w:val="1"/>
                <w:color w:val="auto"/>
              </w:rPr>
              <w:t>60.26</w:t>
            </w:r>
          </w:p>
        </w:tc>
      </w:tr>
      <w:tr>
        <w:trPr>
          <w:trHeight w:val="299"/>
        </w:trPr>
        <w:tc>
          <w:tcPr>
            <w:tcW w:w="20" w:type="dxa"/>
            <w:vAlign w:val="bottom"/>
          </w:tcPr>
          <w:p>
            <w:pPr>
              <w:spacing w:after="0"/>
              <w:rPr>
                <w:sz w:val="24"/>
                <w:szCs w:val="24"/>
                <w:color w:val="auto"/>
              </w:rPr>
            </w:pPr>
          </w:p>
        </w:tc>
        <w:tc>
          <w:tcPr>
            <w:tcW w:w="1480" w:type="dxa"/>
            <w:vAlign w:val="bottom"/>
            <w:gridSpan w:val="9"/>
          </w:tcPr>
          <w:p>
            <w:pPr>
              <w:spacing w:after="0"/>
              <w:rPr>
                <w:sz w:val="20"/>
                <w:szCs w:val="20"/>
                <w:color w:val="auto"/>
              </w:rPr>
            </w:pPr>
            <w:r>
              <w:rPr>
                <w:rFonts w:ascii="Arial" w:cs="Arial" w:eastAsia="Arial" w:hAnsi="Arial"/>
                <w:sz w:val="9"/>
                <w:szCs w:val="9"/>
                <w:b w:val="1"/>
                <w:bCs w:val="1"/>
                <w:color w:val="auto"/>
              </w:rPr>
              <w:t>SUBURBAN PROPERTIES</w:t>
            </w: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00" w:type="dxa"/>
            <w:vAlign w:val="bottom"/>
            <w:tcBorders>
              <w:bottom w:val="single" w:sz="8" w:color="auto"/>
            </w:tcBorders>
            <w:gridSpan w:val="5"/>
          </w:tcPr>
          <w:p>
            <w:pPr>
              <w:spacing w:after="0"/>
              <w:rPr>
                <w:sz w:val="20"/>
                <w:szCs w:val="20"/>
                <w:color w:val="auto"/>
              </w:rPr>
            </w:pPr>
            <w:r>
              <w:rPr>
                <w:rFonts w:ascii="Arial" w:cs="Arial" w:eastAsia="Arial" w:hAnsi="Arial"/>
                <w:sz w:val="9"/>
                <w:szCs w:val="9"/>
                <w:b w:val="1"/>
                <w:bCs w:val="1"/>
                <w:color w:val="auto"/>
                <w:w w:val="96"/>
              </w:rPr>
              <w:t>New Jersey</w:t>
            </w:r>
          </w:p>
        </w:tc>
        <w:tc>
          <w:tcPr>
            <w:tcW w:w="980" w:type="dxa"/>
            <w:vAlign w:val="bottom"/>
            <w:gridSpan w:val="4"/>
          </w:tcPr>
          <w:p>
            <w:pPr>
              <w:spacing w:after="0"/>
              <w:rPr>
                <w:sz w:val="17"/>
                <w:szCs w:val="17"/>
                <w:color w:val="auto"/>
              </w:rPr>
            </w:pPr>
          </w:p>
        </w:tc>
        <w:tc>
          <w:tcPr>
            <w:tcW w:w="1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Elmwood Park Shopping Center</w:t>
            </w:r>
          </w:p>
        </w:tc>
        <w:tc>
          <w:tcPr>
            <w:tcW w:w="1860" w:type="dxa"/>
            <w:vAlign w:val="bottom"/>
          </w:tcPr>
          <w:p>
            <w:pPr>
              <w:ind w:left="100"/>
              <w:spacing w:after="0"/>
              <w:rPr>
                <w:sz w:val="20"/>
                <w:szCs w:val="20"/>
                <w:color w:val="auto"/>
              </w:rPr>
            </w:pPr>
            <w:r>
              <w:rPr>
                <w:rFonts w:ascii="Arial" w:cs="Arial" w:eastAsia="Arial" w:hAnsi="Arial"/>
                <w:sz w:val="9"/>
                <w:szCs w:val="9"/>
                <w:color w:val="auto"/>
              </w:rPr>
              <w:t>Walgreens, Acme</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1998</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62,610</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81,300</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143,910</w:t>
            </w:r>
          </w:p>
        </w:tc>
        <w:tc>
          <w:tcPr>
            <w:tcW w:w="18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85.7%</w:t>
            </w:r>
          </w:p>
        </w:tc>
        <w:tc>
          <w:tcPr>
            <w:tcW w:w="480" w:type="dxa"/>
            <w:vAlign w:val="bottom"/>
          </w:tcPr>
          <w:p>
            <w:pPr>
              <w:jc w:val="right"/>
              <w:spacing w:after="0"/>
              <w:rPr>
                <w:sz w:val="20"/>
                <w:szCs w:val="20"/>
                <w:color w:val="auto"/>
              </w:rPr>
            </w:pPr>
            <w:r>
              <w:rPr>
                <w:rFonts w:ascii="Arial" w:cs="Arial" w:eastAsia="Arial" w:hAnsi="Arial"/>
                <w:sz w:val="9"/>
                <w:szCs w:val="9"/>
                <w:color w:val="auto"/>
              </w:rPr>
              <w:t>91.9%</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91.9%</w:t>
            </w:r>
          </w:p>
        </w:tc>
        <w:tc>
          <w:tcPr>
            <w:tcW w:w="200" w:type="dxa"/>
            <w:vAlign w:val="bottom"/>
          </w:tcPr>
          <w:p>
            <w:pPr>
              <w:jc w:val="right"/>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3,743,523</w:t>
            </w:r>
          </w:p>
        </w:tc>
        <w:tc>
          <w:tcPr>
            <w:tcW w:w="18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28.31</w:t>
            </w:r>
          </w:p>
        </w:tc>
      </w:tr>
      <w:tr>
        <w:trPr>
          <w:trHeight w:val="219"/>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Marketplace of Absecon</w:t>
            </w:r>
          </w:p>
        </w:tc>
        <w:tc>
          <w:tcPr>
            <w:tcW w:w="1860" w:type="dxa"/>
            <w:vAlign w:val="bottom"/>
          </w:tcPr>
          <w:p>
            <w:pPr>
              <w:ind w:left="100"/>
              <w:spacing w:after="0"/>
              <w:rPr>
                <w:sz w:val="20"/>
                <w:szCs w:val="20"/>
                <w:color w:val="auto"/>
              </w:rPr>
            </w:pPr>
            <w:r>
              <w:rPr>
                <w:rFonts w:ascii="Arial" w:cs="Arial" w:eastAsia="Arial" w:hAnsi="Arial"/>
                <w:sz w:val="9"/>
                <w:szCs w:val="9"/>
                <w:color w:val="auto"/>
              </w:rPr>
              <w:t>Rite Aid, Dollar Tree</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1998</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46,724</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57,832</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104,556</w:t>
            </w:r>
          </w:p>
        </w:tc>
        <w:tc>
          <w:tcPr>
            <w:tcW w:w="1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82.4%</w:t>
            </w:r>
          </w:p>
        </w:tc>
        <w:tc>
          <w:tcPr>
            <w:tcW w:w="480" w:type="dxa"/>
            <w:vAlign w:val="bottom"/>
          </w:tcPr>
          <w:p>
            <w:pPr>
              <w:jc w:val="right"/>
              <w:spacing w:after="0"/>
              <w:rPr>
                <w:sz w:val="20"/>
                <w:szCs w:val="20"/>
                <w:color w:val="auto"/>
              </w:rPr>
            </w:pPr>
            <w:r>
              <w:rPr>
                <w:rFonts w:ascii="Arial" w:cs="Arial" w:eastAsia="Arial" w:hAnsi="Arial"/>
                <w:sz w:val="9"/>
                <w:szCs w:val="9"/>
                <w:color w:val="auto"/>
              </w:rPr>
              <w:t>90.3%</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90.3%</w:t>
            </w: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1,364,319</w:t>
            </w:r>
          </w:p>
        </w:tc>
        <w:tc>
          <w:tcPr>
            <w:tcW w:w="18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14.45</w:t>
            </w:r>
          </w:p>
        </w:tc>
      </w:tr>
      <w:tr>
        <w:trPr>
          <w:trHeight w:val="219"/>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60 Orange Street</w:t>
            </w:r>
          </w:p>
        </w:tc>
        <w:tc>
          <w:tcPr>
            <w:tcW w:w="1860" w:type="dxa"/>
            <w:vAlign w:val="bottom"/>
          </w:tcPr>
          <w:p>
            <w:pPr>
              <w:ind w:left="100"/>
              <w:spacing w:after="0"/>
              <w:rPr>
                <w:sz w:val="20"/>
                <w:szCs w:val="20"/>
                <w:color w:val="auto"/>
              </w:rPr>
            </w:pPr>
            <w:r>
              <w:rPr>
                <w:rFonts w:ascii="Arial" w:cs="Arial" w:eastAsia="Arial" w:hAnsi="Arial"/>
                <w:sz w:val="9"/>
                <w:szCs w:val="9"/>
                <w:color w:val="auto"/>
              </w:rPr>
              <w:t>Home Depot</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2012</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98.0%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101,715</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101,715</w:t>
            </w:r>
          </w:p>
        </w:tc>
        <w:tc>
          <w:tcPr>
            <w:tcW w:w="1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730,000</w:t>
            </w:r>
          </w:p>
        </w:tc>
        <w:tc>
          <w:tcPr>
            <w:tcW w:w="18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7.18</w:t>
            </w:r>
          </w:p>
        </w:tc>
      </w:tr>
      <w:tr>
        <w:trPr>
          <w:trHeight w:val="302"/>
        </w:trPr>
        <w:tc>
          <w:tcPr>
            <w:tcW w:w="20" w:type="dxa"/>
            <w:vAlign w:val="bottom"/>
          </w:tcPr>
          <w:p>
            <w:pPr>
              <w:spacing w:after="0"/>
              <w:rPr>
                <w:sz w:val="24"/>
                <w:szCs w:val="24"/>
                <w:color w:val="auto"/>
              </w:rPr>
            </w:pPr>
          </w:p>
        </w:tc>
        <w:tc>
          <w:tcPr>
            <w:tcW w:w="1480" w:type="dxa"/>
            <w:vAlign w:val="bottom"/>
            <w:gridSpan w:val="9"/>
          </w:tcPr>
          <w:p>
            <w:pPr>
              <w:spacing w:after="0"/>
              <w:rPr>
                <w:sz w:val="20"/>
                <w:szCs w:val="20"/>
                <w:color w:val="auto"/>
              </w:rPr>
            </w:pPr>
            <w:r>
              <w:rPr>
                <w:rFonts w:ascii="Arial" w:cs="Arial" w:eastAsia="Arial" w:hAnsi="Arial"/>
                <w:sz w:val="9"/>
                <w:szCs w:val="9"/>
                <w:b w:val="1"/>
                <w:bCs w:val="1"/>
                <w:color w:val="auto"/>
              </w:rPr>
              <w:t>New York</w:t>
            </w: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Village Commons Shopping Center</w:t>
            </w:r>
          </w:p>
        </w:tc>
        <w:tc>
          <w:tcPr>
            <w:tcW w:w="1860" w:type="dxa"/>
            <w:vAlign w:val="bottom"/>
          </w:tcPr>
          <w:p>
            <w:pPr>
              <w:ind w:left="100"/>
              <w:spacing w:after="0"/>
              <w:rPr>
                <w:sz w:val="20"/>
                <w:szCs w:val="20"/>
                <w:color w:val="auto"/>
              </w:rPr>
            </w:pPr>
            <w:r>
              <w:rPr>
                <w:rFonts w:ascii="Arial" w:cs="Arial" w:eastAsia="Arial" w:hAnsi="Arial"/>
                <w:sz w:val="9"/>
                <w:szCs w:val="9"/>
                <w:color w:val="auto"/>
              </w:rPr>
              <w:t>—</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1998</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87,128</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87,128</w:t>
            </w:r>
          </w:p>
        </w:tc>
        <w:tc>
          <w:tcPr>
            <w:tcW w:w="18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91.1%</w:t>
            </w:r>
          </w:p>
        </w:tc>
        <w:tc>
          <w:tcPr>
            <w:tcW w:w="480" w:type="dxa"/>
            <w:vAlign w:val="bottom"/>
          </w:tcPr>
          <w:p>
            <w:pPr>
              <w:jc w:val="right"/>
              <w:spacing w:after="0"/>
              <w:rPr>
                <w:sz w:val="20"/>
                <w:szCs w:val="20"/>
                <w:color w:val="auto"/>
              </w:rPr>
            </w:pPr>
            <w:r>
              <w:rPr>
                <w:rFonts w:ascii="Arial" w:cs="Arial" w:eastAsia="Arial" w:hAnsi="Arial"/>
                <w:sz w:val="9"/>
                <w:szCs w:val="9"/>
                <w:color w:val="auto"/>
              </w:rPr>
              <w:t>91.1%</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93.6%</w:t>
            </w:r>
          </w:p>
        </w:tc>
        <w:tc>
          <w:tcPr>
            <w:tcW w:w="200" w:type="dxa"/>
            <w:vAlign w:val="bottom"/>
          </w:tcPr>
          <w:p>
            <w:pPr>
              <w:spacing w:after="0"/>
              <w:rPr>
                <w:sz w:val="18"/>
                <w:szCs w:val="18"/>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2,637,808</w:t>
            </w:r>
          </w:p>
        </w:tc>
        <w:tc>
          <w:tcPr>
            <w:tcW w:w="180" w:type="dxa"/>
            <w:vAlign w:val="bottom"/>
          </w:tcPr>
          <w:p>
            <w:pPr>
              <w:spacing w:after="0"/>
              <w:rPr>
                <w:sz w:val="18"/>
                <w:szCs w:val="18"/>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33.23</w:t>
            </w:r>
          </w:p>
        </w:tc>
      </w:tr>
      <w:tr>
        <w:trPr>
          <w:trHeight w:val="219"/>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Branch Plaza</w:t>
            </w:r>
          </w:p>
        </w:tc>
        <w:tc>
          <w:tcPr>
            <w:tcW w:w="1860" w:type="dxa"/>
            <w:vAlign w:val="bottom"/>
          </w:tcPr>
          <w:p>
            <w:pPr>
              <w:ind w:left="100"/>
              <w:spacing w:after="0"/>
              <w:rPr>
                <w:sz w:val="20"/>
                <w:szCs w:val="20"/>
                <w:color w:val="auto"/>
              </w:rPr>
            </w:pPr>
            <w:r>
              <w:rPr>
                <w:rFonts w:ascii="Arial" w:cs="Arial" w:eastAsia="Arial" w:hAnsi="Arial"/>
                <w:sz w:val="9"/>
                <w:szCs w:val="9"/>
                <w:color w:val="auto"/>
              </w:rPr>
              <w:t>LA Fitness, The Fresh Market</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1998</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76,264</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47,114</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123,378</w:t>
            </w:r>
          </w:p>
        </w:tc>
        <w:tc>
          <w:tcPr>
            <w:tcW w:w="1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79.6%</w:t>
            </w:r>
          </w:p>
        </w:tc>
        <w:tc>
          <w:tcPr>
            <w:tcW w:w="480" w:type="dxa"/>
            <w:vAlign w:val="bottom"/>
          </w:tcPr>
          <w:p>
            <w:pPr>
              <w:jc w:val="right"/>
              <w:spacing w:after="0"/>
              <w:rPr>
                <w:sz w:val="20"/>
                <w:szCs w:val="20"/>
                <w:color w:val="auto"/>
              </w:rPr>
            </w:pPr>
            <w:r>
              <w:rPr>
                <w:rFonts w:ascii="Arial" w:cs="Arial" w:eastAsia="Arial" w:hAnsi="Arial"/>
                <w:sz w:val="9"/>
                <w:szCs w:val="9"/>
                <w:color w:val="auto"/>
              </w:rPr>
              <w:t>92.2%</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92.2%</w:t>
            </w: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3,031,833</w:t>
            </w:r>
          </w:p>
        </w:tc>
        <w:tc>
          <w:tcPr>
            <w:tcW w:w="18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26.65</w:t>
            </w:r>
          </w:p>
        </w:tc>
      </w:tr>
      <w:tr>
        <w:trPr>
          <w:trHeight w:val="219"/>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Amboy Center</w:t>
            </w:r>
          </w:p>
        </w:tc>
        <w:tc>
          <w:tcPr>
            <w:tcW w:w="1860" w:type="dxa"/>
            <w:vAlign w:val="bottom"/>
          </w:tcPr>
          <w:p>
            <w:pPr>
              <w:ind w:left="100"/>
              <w:spacing w:after="0"/>
              <w:rPr>
                <w:sz w:val="20"/>
                <w:szCs w:val="20"/>
                <w:color w:val="auto"/>
              </w:rPr>
            </w:pPr>
            <w:r>
              <w:rPr>
                <w:rFonts w:ascii="Arial" w:cs="Arial" w:eastAsia="Arial" w:hAnsi="Arial"/>
                <w:sz w:val="9"/>
                <w:szCs w:val="9"/>
                <w:color w:val="auto"/>
              </w:rPr>
              <w:t>Stop &amp; Shop (Ahold)</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2005</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37,266</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26,024</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63,290</w:t>
            </w:r>
          </w:p>
        </w:tc>
        <w:tc>
          <w:tcPr>
            <w:tcW w:w="1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2,104,437</w:t>
            </w:r>
          </w:p>
        </w:tc>
        <w:tc>
          <w:tcPr>
            <w:tcW w:w="18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33.25</w:t>
            </w:r>
          </w:p>
        </w:tc>
      </w:tr>
      <w:tr>
        <w:trPr>
          <w:trHeight w:val="219"/>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Pacesetter Park Shopping Center</w:t>
            </w:r>
          </w:p>
        </w:tc>
        <w:tc>
          <w:tcPr>
            <w:tcW w:w="1860" w:type="dxa"/>
            <w:vAlign w:val="bottom"/>
          </w:tcPr>
          <w:p>
            <w:pPr>
              <w:ind w:left="100"/>
              <w:spacing w:after="0"/>
              <w:rPr>
                <w:sz w:val="20"/>
                <w:szCs w:val="20"/>
                <w:color w:val="auto"/>
              </w:rPr>
            </w:pPr>
            <w:r>
              <w:rPr>
                <w:rFonts w:ascii="Arial" w:cs="Arial" w:eastAsia="Arial" w:hAnsi="Arial"/>
                <w:sz w:val="9"/>
                <w:szCs w:val="9"/>
                <w:color w:val="auto"/>
              </w:rPr>
              <w:t>Stop &amp; Shop (Ahold)</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1999</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52,052</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45,754</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97,806</w:t>
            </w:r>
          </w:p>
        </w:tc>
        <w:tc>
          <w:tcPr>
            <w:tcW w:w="1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95.4%</w:t>
            </w:r>
          </w:p>
        </w:tc>
        <w:tc>
          <w:tcPr>
            <w:tcW w:w="480" w:type="dxa"/>
            <w:vAlign w:val="bottom"/>
          </w:tcPr>
          <w:p>
            <w:pPr>
              <w:jc w:val="right"/>
              <w:spacing w:after="0"/>
              <w:rPr>
                <w:sz w:val="20"/>
                <w:szCs w:val="20"/>
                <w:color w:val="auto"/>
              </w:rPr>
            </w:pPr>
            <w:r>
              <w:rPr>
                <w:rFonts w:ascii="Arial" w:cs="Arial" w:eastAsia="Arial" w:hAnsi="Arial"/>
                <w:sz w:val="9"/>
                <w:szCs w:val="9"/>
                <w:color w:val="auto"/>
              </w:rPr>
              <w:t>97.8%</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97.8%</w:t>
            </w: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1,301,811</w:t>
            </w:r>
          </w:p>
        </w:tc>
        <w:tc>
          <w:tcPr>
            <w:tcW w:w="18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13.61</w:t>
            </w:r>
          </w:p>
        </w:tc>
      </w:tr>
      <w:tr>
        <w:trPr>
          <w:trHeight w:val="219"/>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LA Fitness</w:t>
            </w:r>
          </w:p>
        </w:tc>
        <w:tc>
          <w:tcPr>
            <w:tcW w:w="1860" w:type="dxa"/>
            <w:vAlign w:val="bottom"/>
          </w:tcPr>
          <w:p>
            <w:pPr>
              <w:ind w:left="100"/>
              <w:spacing w:after="0"/>
              <w:rPr>
                <w:sz w:val="20"/>
                <w:szCs w:val="20"/>
                <w:color w:val="auto"/>
              </w:rPr>
            </w:pPr>
            <w:r>
              <w:rPr>
                <w:rFonts w:ascii="Arial" w:cs="Arial" w:eastAsia="Arial" w:hAnsi="Arial"/>
                <w:sz w:val="9"/>
                <w:szCs w:val="9"/>
                <w:color w:val="auto"/>
              </w:rPr>
              <w:t>LA Fitness</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2007</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55,000</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55,000</w:t>
            </w:r>
          </w:p>
        </w:tc>
        <w:tc>
          <w:tcPr>
            <w:tcW w:w="1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1,485,287</w:t>
            </w:r>
          </w:p>
        </w:tc>
        <w:tc>
          <w:tcPr>
            <w:tcW w:w="18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27.01</w:t>
            </w:r>
          </w:p>
        </w:tc>
      </w:tr>
      <w:tr>
        <w:trPr>
          <w:trHeight w:val="219"/>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Crossroads Shopping Center</w:t>
            </w:r>
          </w:p>
        </w:tc>
        <w:tc>
          <w:tcPr>
            <w:tcW w:w="1860" w:type="dxa"/>
            <w:vAlign w:val="bottom"/>
          </w:tcPr>
          <w:p>
            <w:pPr>
              <w:ind w:left="100"/>
              <w:spacing w:after="0"/>
              <w:rPr>
                <w:sz w:val="20"/>
                <w:szCs w:val="20"/>
                <w:color w:val="auto"/>
              </w:rPr>
            </w:pPr>
            <w:r>
              <w:rPr>
                <w:rFonts w:ascii="Arial" w:cs="Arial" w:eastAsia="Arial" w:hAnsi="Arial"/>
                <w:sz w:val="9"/>
                <w:szCs w:val="9"/>
                <w:color w:val="auto"/>
              </w:rPr>
              <w:t>Home Goods, PetSmart, Kmart, DSW</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1998</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49.0%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202,727</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109,177</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311,904</w:t>
            </w:r>
          </w:p>
        </w:tc>
        <w:tc>
          <w:tcPr>
            <w:tcW w:w="1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84.6%</w:t>
            </w:r>
          </w:p>
        </w:tc>
        <w:tc>
          <w:tcPr>
            <w:tcW w:w="480" w:type="dxa"/>
            <w:vAlign w:val="bottom"/>
          </w:tcPr>
          <w:p>
            <w:pPr>
              <w:jc w:val="right"/>
              <w:spacing w:after="0"/>
              <w:rPr>
                <w:sz w:val="20"/>
                <w:szCs w:val="20"/>
                <w:color w:val="auto"/>
              </w:rPr>
            </w:pPr>
            <w:r>
              <w:rPr>
                <w:rFonts w:ascii="Arial" w:cs="Arial" w:eastAsia="Arial" w:hAnsi="Arial"/>
                <w:sz w:val="9"/>
                <w:szCs w:val="9"/>
                <w:color w:val="auto"/>
              </w:rPr>
              <w:t>94.6%</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94.6%</w:t>
            </w: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6,905,260</w:t>
            </w:r>
          </w:p>
        </w:tc>
        <w:tc>
          <w:tcPr>
            <w:tcW w:w="18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23.40</w:t>
            </w:r>
          </w:p>
        </w:tc>
      </w:tr>
      <w:tr>
        <w:trPr>
          <w:trHeight w:val="219"/>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New Loudon Center</w:t>
            </w:r>
          </w:p>
        </w:tc>
        <w:tc>
          <w:tcPr>
            <w:tcW w:w="1860" w:type="dxa"/>
            <w:vAlign w:val="bottom"/>
          </w:tcPr>
          <w:p>
            <w:pPr>
              <w:ind w:left="100"/>
              <w:spacing w:after="0"/>
              <w:rPr>
                <w:sz w:val="20"/>
                <w:szCs w:val="20"/>
                <w:color w:val="auto"/>
              </w:rPr>
            </w:pPr>
            <w:r>
              <w:rPr>
                <w:rFonts w:ascii="Arial" w:cs="Arial" w:eastAsia="Arial" w:hAnsi="Arial"/>
                <w:sz w:val="9"/>
                <w:szCs w:val="9"/>
                <w:color w:val="auto"/>
              </w:rPr>
              <w:t>Price Chopper, Marshalls</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1993</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251,058</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4,615</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255,673</w:t>
            </w:r>
          </w:p>
        </w:tc>
        <w:tc>
          <w:tcPr>
            <w:tcW w:w="1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2,153,484</w:t>
            </w:r>
          </w:p>
        </w:tc>
        <w:tc>
          <w:tcPr>
            <w:tcW w:w="18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8.42</w:t>
            </w:r>
          </w:p>
        </w:tc>
      </w:tr>
      <w:tr>
        <w:trPr>
          <w:trHeight w:val="219"/>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28 Jericho Turnpike</w:t>
            </w:r>
          </w:p>
        </w:tc>
        <w:tc>
          <w:tcPr>
            <w:tcW w:w="1860" w:type="dxa"/>
            <w:vAlign w:val="bottom"/>
          </w:tcPr>
          <w:p>
            <w:pPr>
              <w:ind w:left="100"/>
              <w:spacing w:after="0"/>
              <w:rPr>
                <w:sz w:val="20"/>
                <w:szCs w:val="20"/>
                <w:color w:val="auto"/>
              </w:rPr>
            </w:pPr>
            <w:r>
              <w:rPr>
                <w:rFonts w:ascii="Arial" w:cs="Arial" w:eastAsia="Arial" w:hAnsi="Arial"/>
                <w:sz w:val="9"/>
                <w:szCs w:val="9"/>
                <w:color w:val="auto"/>
              </w:rPr>
              <w:t>Kohl's</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2012</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96,363</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96,363</w:t>
            </w:r>
          </w:p>
        </w:tc>
        <w:tc>
          <w:tcPr>
            <w:tcW w:w="1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1,815,000</w:t>
            </w:r>
          </w:p>
        </w:tc>
        <w:tc>
          <w:tcPr>
            <w:tcW w:w="18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18.84</w:t>
            </w:r>
          </w:p>
        </w:tc>
      </w:tr>
      <w:tr>
        <w:trPr>
          <w:trHeight w:val="219"/>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Bedford Green</w:t>
            </w:r>
          </w:p>
        </w:tc>
        <w:tc>
          <w:tcPr>
            <w:tcW w:w="1860" w:type="dxa"/>
            <w:vAlign w:val="bottom"/>
          </w:tcPr>
          <w:p>
            <w:pPr>
              <w:ind w:left="100"/>
              <w:spacing w:after="0"/>
              <w:rPr>
                <w:sz w:val="20"/>
                <w:szCs w:val="20"/>
                <w:color w:val="auto"/>
              </w:rPr>
            </w:pPr>
            <w:r>
              <w:rPr>
                <w:rFonts w:ascii="Arial" w:cs="Arial" w:eastAsia="Arial" w:hAnsi="Arial"/>
                <w:sz w:val="9"/>
                <w:szCs w:val="9"/>
                <w:color w:val="auto"/>
              </w:rPr>
              <w:t>Shop Rite, CVS</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2014</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37,981</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52,608</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90,589</w:t>
            </w:r>
          </w:p>
        </w:tc>
        <w:tc>
          <w:tcPr>
            <w:tcW w:w="1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74.0%</w:t>
            </w:r>
          </w:p>
        </w:tc>
        <w:tc>
          <w:tcPr>
            <w:tcW w:w="480" w:type="dxa"/>
            <w:vAlign w:val="bottom"/>
          </w:tcPr>
          <w:p>
            <w:pPr>
              <w:jc w:val="right"/>
              <w:spacing w:after="0"/>
              <w:rPr>
                <w:sz w:val="20"/>
                <w:szCs w:val="20"/>
                <w:color w:val="auto"/>
              </w:rPr>
            </w:pPr>
            <w:r>
              <w:rPr>
                <w:rFonts w:ascii="Arial" w:cs="Arial" w:eastAsia="Arial" w:hAnsi="Arial"/>
                <w:sz w:val="9"/>
                <w:szCs w:val="9"/>
                <w:color w:val="auto"/>
              </w:rPr>
              <w:t>84.9%</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84.9%</w:t>
            </w: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2,497,250</w:t>
            </w:r>
          </w:p>
        </w:tc>
        <w:tc>
          <w:tcPr>
            <w:tcW w:w="18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32.47</w:t>
            </w:r>
          </w:p>
        </w:tc>
      </w:tr>
      <w:tr>
        <w:trPr>
          <w:trHeight w:val="204"/>
        </w:trPr>
        <w:tc>
          <w:tcPr>
            <w:tcW w:w="20" w:type="dxa"/>
            <w:vAlign w:val="bottom"/>
          </w:tcPr>
          <w:p>
            <w:pPr>
              <w:spacing w:after="0"/>
              <w:rPr>
                <w:sz w:val="17"/>
                <w:szCs w:val="17"/>
                <w:color w:val="auto"/>
              </w:rPr>
            </w:pPr>
          </w:p>
        </w:tc>
        <w:tc>
          <w:tcPr>
            <w:tcW w:w="520" w:type="dxa"/>
            <w:vAlign w:val="bottom"/>
            <w:tcBorders>
              <w:bottom w:val="single" w:sz="8" w:color="auto"/>
            </w:tcBorders>
            <w:gridSpan w:val="6"/>
          </w:tcPr>
          <w:p>
            <w:pPr>
              <w:spacing w:after="0"/>
              <w:rPr>
                <w:sz w:val="20"/>
                <w:szCs w:val="20"/>
                <w:color w:val="auto"/>
              </w:rPr>
            </w:pPr>
            <w:r>
              <w:rPr>
                <w:rFonts w:ascii="Arial" w:cs="Arial" w:eastAsia="Arial" w:hAnsi="Arial"/>
                <w:sz w:val="9"/>
                <w:szCs w:val="9"/>
                <w:b w:val="1"/>
                <w:bCs w:val="1"/>
                <w:color w:val="auto"/>
                <w:w w:val="96"/>
              </w:rPr>
              <w:t>Connecticut</w:t>
            </w:r>
          </w:p>
        </w:tc>
        <w:tc>
          <w:tcPr>
            <w:tcW w:w="960" w:type="dxa"/>
            <w:vAlign w:val="bottom"/>
            <w:gridSpan w:val="3"/>
          </w:tcPr>
          <w:p>
            <w:pPr>
              <w:spacing w:after="0"/>
              <w:rPr>
                <w:sz w:val="17"/>
                <w:szCs w:val="17"/>
                <w:color w:val="auto"/>
              </w:rPr>
            </w:pPr>
          </w:p>
        </w:tc>
        <w:tc>
          <w:tcPr>
            <w:tcW w:w="1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 xml:space="preserve">Town Line Plaza </w:t>
            </w:r>
            <w:r>
              <w:rPr>
                <w:rFonts w:ascii="Arial" w:cs="Arial" w:eastAsia="Arial" w:hAnsi="Arial"/>
                <w:sz w:val="5"/>
                <w:szCs w:val="5"/>
                <w:color w:val="auto"/>
              </w:rPr>
              <w:t>4</w:t>
            </w:r>
          </w:p>
        </w:tc>
        <w:tc>
          <w:tcPr>
            <w:tcW w:w="1860" w:type="dxa"/>
            <w:vAlign w:val="bottom"/>
          </w:tcPr>
          <w:p>
            <w:pPr>
              <w:ind w:left="100"/>
              <w:spacing w:after="0"/>
              <w:rPr>
                <w:sz w:val="20"/>
                <w:szCs w:val="20"/>
                <w:color w:val="auto"/>
              </w:rPr>
            </w:pPr>
            <w:r>
              <w:rPr>
                <w:rFonts w:ascii="Arial" w:cs="Arial" w:eastAsia="Arial" w:hAnsi="Arial"/>
                <w:sz w:val="9"/>
                <w:szCs w:val="9"/>
                <w:color w:val="auto"/>
              </w:rPr>
              <w:t>Wal-Mart, Stop &amp; Shop (Ahold)</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1998</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163,159</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43,187</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206,346</w:t>
            </w:r>
          </w:p>
        </w:tc>
        <w:tc>
          <w:tcPr>
            <w:tcW w:w="18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93.6%</w:t>
            </w:r>
          </w:p>
        </w:tc>
        <w:tc>
          <w:tcPr>
            <w:tcW w:w="480" w:type="dxa"/>
            <w:vAlign w:val="bottom"/>
          </w:tcPr>
          <w:p>
            <w:pPr>
              <w:jc w:val="right"/>
              <w:spacing w:after="0"/>
              <w:rPr>
                <w:sz w:val="20"/>
                <w:szCs w:val="20"/>
                <w:color w:val="auto"/>
              </w:rPr>
            </w:pPr>
            <w:r>
              <w:rPr>
                <w:rFonts w:ascii="Arial" w:cs="Arial" w:eastAsia="Arial" w:hAnsi="Arial"/>
                <w:sz w:val="9"/>
                <w:szCs w:val="9"/>
                <w:color w:val="auto"/>
              </w:rPr>
              <w:t>98.7%</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98.7%</w:t>
            </w:r>
          </w:p>
        </w:tc>
        <w:tc>
          <w:tcPr>
            <w:tcW w:w="200" w:type="dxa"/>
            <w:vAlign w:val="bottom"/>
          </w:tcPr>
          <w:p>
            <w:pPr>
              <w:spacing w:after="0"/>
              <w:rPr>
                <w:sz w:val="18"/>
                <w:szCs w:val="18"/>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1,758,536</w:t>
            </w:r>
          </w:p>
        </w:tc>
        <w:tc>
          <w:tcPr>
            <w:tcW w:w="180" w:type="dxa"/>
            <w:vAlign w:val="bottom"/>
          </w:tcPr>
          <w:p>
            <w:pPr>
              <w:spacing w:after="0"/>
              <w:rPr>
                <w:sz w:val="18"/>
                <w:szCs w:val="18"/>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16.34</w:t>
            </w:r>
          </w:p>
        </w:tc>
      </w:tr>
      <w:tr>
        <w:trPr>
          <w:trHeight w:val="302"/>
        </w:trPr>
        <w:tc>
          <w:tcPr>
            <w:tcW w:w="20" w:type="dxa"/>
            <w:vAlign w:val="bottom"/>
          </w:tcPr>
          <w:p>
            <w:pPr>
              <w:spacing w:after="0"/>
              <w:rPr>
                <w:sz w:val="24"/>
                <w:szCs w:val="24"/>
                <w:color w:val="auto"/>
              </w:rPr>
            </w:pPr>
          </w:p>
        </w:tc>
        <w:tc>
          <w:tcPr>
            <w:tcW w:w="640" w:type="dxa"/>
            <w:vAlign w:val="bottom"/>
            <w:tcBorders>
              <w:bottom w:val="single" w:sz="8" w:color="auto"/>
            </w:tcBorders>
            <w:gridSpan w:val="8"/>
          </w:tcPr>
          <w:p>
            <w:pPr>
              <w:spacing w:after="0"/>
              <w:rPr>
                <w:sz w:val="20"/>
                <w:szCs w:val="20"/>
                <w:color w:val="auto"/>
              </w:rPr>
            </w:pPr>
            <w:r>
              <w:rPr>
                <w:rFonts w:ascii="Arial" w:cs="Arial" w:eastAsia="Arial" w:hAnsi="Arial"/>
                <w:sz w:val="9"/>
                <w:szCs w:val="9"/>
                <w:b w:val="1"/>
                <w:bCs w:val="1"/>
                <w:color w:val="auto"/>
                <w:w w:val="96"/>
              </w:rPr>
              <w:t>Massachusetts</w:t>
            </w:r>
          </w:p>
        </w:tc>
        <w:tc>
          <w:tcPr>
            <w:tcW w:w="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Methuen Shopping Center</w:t>
            </w:r>
          </w:p>
        </w:tc>
        <w:tc>
          <w:tcPr>
            <w:tcW w:w="1860" w:type="dxa"/>
            <w:vAlign w:val="bottom"/>
          </w:tcPr>
          <w:p>
            <w:pPr>
              <w:ind w:left="100"/>
              <w:spacing w:after="0"/>
              <w:rPr>
                <w:sz w:val="20"/>
                <w:szCs w:val="20"/>
                <w:color w:val="auto"/>
              </w:rPr>
            </w:pPr>
            <w:r>
              <w:rPr>
                <w:rFonts w:ascii="Arial" w:cs="Arial" w:eastAsia="Arial" w:hAnsi="Arial"/>
                <w:sz w:val="9"/>
                <w:szCs w:val="9"/>
                <w:color w:val="auto"/>
              </w:rPr>
              <w:t>Wal-Mart, Market Basket</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1998</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120,004</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10,017</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130,021</w:t>
            </w:r>
          </w:p>
        </w:tc>
        <w:tc>
          <w:tcPr>
            <w:tcW w:w="18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8"/>
                <w:szCs w:val="18"/>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1,360,858</w:t>
            </w:r>
          </w:p>
        </w:tc>
        <w:tc>
          <w:tcPr>
            <w:tcW w:w="180" w:type="dxa"/>
            <w:vAlign w:val="bottom"/>
          </w:tcPr>
          <w:p>
            <w:pPr>
              <w:spacing w:after="0"/>
              <w:rPr>
                <w:sz w:val="18"/>
                <w:szCs w:val="18"/>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10.47</w:t>
            </w:r>
          </w:p>
        </w:tc>
      </w:tr>
      <w:tr>
        <w:trPr>
          <w:trHeight w:val="219"/>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Crescent Plaza</w:t>
            </w:r>
          </w:p>
        </w:tc>
        <w:tc>
          <w:tcPr>
            <w:tcW w:w="1860" w:type="dxa"/>
            <w:vAlign w:val="bottom"/>
          </w:tcPr>
          <w:p>
            <w:pPr>
              <w:ind w:left="100"/>
              <w:spacing w:after="0"/>
              <w:rPr>
                <w:sz w:val="20"/>
                <w:szCs w:val="20"/>
                <w:color w:val="auto"/>
              </w:rPr>
            </w:pPr>
            <w:r>
              <w:rPr>
                <w:rFonts w:ascii="Arial" w:cs="Arial" w:eastAsia="Arial" w:hAnsi="Arial"/>
                <w:sz w:val="9"/>
                <w:szCs w:val="9"/>
                <w:color w:val="auto"/>
              </w:rPr>
              <w:t>Home Depot, Shaw's (Supervalu)</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1993</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156,985</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61,163</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218,148</w:t>
            </w:r>
          </w:p>
        </w:tc>
        <w:tc>
          <w:tcPr>
            <w:tcW w:w="1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67.7%</w:t>
            </w:r>
          </w:p>
        </w:tc>
        <w:tc>
          <w:tcPr>
            <w:tcW w:w="480" w:type="dxa"/>
            <w:vAlign w:val="bottom"/>
          </w:tcPr>
          <w:p>
            <w:pPr>
              <w:jc w:val="right"/>
              <w:spacing w:after="0"/>
              <w:rPr>
                <w:sz w:val="20"/>
                <w:szCs w:val="20"/>
                <w:color w:val="auto"/>
              </w:rPr>
            </w:pPr>
            <w:r>
              <w:rPr>
                <w:rFonts w:ascii="Arial" w:cs="Arial" w:eastAsia="Arial" w:hAnsi="Arial"/>
                <w:sz w:val="9"/>
                <w:szCs w:val="9"/>
                <w:color w:val="auto"/>
              </w:rPr>
              <w:t>90.9%</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90.9%</w:t>
            </w: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1,885,025</w:t>
            </w:r>
          </w:p>
        </w:tc>
        <w:tc>
          <w:tcPr>
            <w:tcW w:w="18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9.51</w:t>
            </w:r>
          </w:p>
        </w:tc>
      </w:tr>
      <w:tr>
        <w:trPr>
          <w:trHeight w:val="219"/>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201 Needham Street</w:t>
            </w:r>
          </w:p>
        </w:tc>
        <w:tc>
          <w:tcPr>
            <w:tcW w:w="1860" w:type="dxa"/>
            <w:vAlign w:val="bottom"/>
          </w:tcPr>
          <w:p>
            <w:pPr>
              <w:ind w:left="100"/>
              <w:spacing w:after="0"/>
              <w:rPr>
                <w:sz w:val="20"/>
                <w:szCs w:val="20"/>
                <w:color w:val="auto"/>
              </w:rPr>
            </w:pPr>
            <w:r>
              <w:rPr>
                <w:rFonts w:ascii="Arial" w:cs="Arial" w:eastAsia="Arial" w:hAnsi="Arial"/>
                <w:sz w:val="9"/>
                <w:szCs w:val="9"/>
                <w:color w:val="auto"/>
              </w:rPr>
              <w:t>Michael's</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2014</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20,409</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20,409</w:t>
            </w:r>
          </w:p>
        </w:tc>
        <w:tc>
          <w:tcPr>
            <w:tcW w:w="1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646,965</w:t>
            </w:r>
          </w:p>
        </w:tc>
        <w:tc>
          <w:tcPr>
            <w:tcW w:w="18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31.70</w:t>
            </w:r>
          </w:p>
        </w:tc>
      </w:tr>
      <w:tr>
        <w:trPr>
          <w:trHeight w:val="219"/>
        </w:trPr>
        <w:tc>
          <w:tcPr>
            <w:tcW w:w="2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163 Highland Avenue</w:t>
            </w:r>
          </w:p>
        </w:tc>
        <w:tc>
          <w:tcPr>
            <w:tcW w:w="1860" w:type="dxa"/>
            <w:vAlign w:val="bottom"/>
          </w:tcPr>
          <w:p>
            <w:pPr>
              <w:ind w:left="100"/>
              <w:spacing w:after="0"/>
              <w:rPr>
                <w:sz w:val="20"/>
                <w:szCs w:val="20"/>
                <w:color w:val="auto"/>
              </w:rPr>
            </w:pPr>
            <w:r>
              <w:rPr>
                <w:rFonts w:ascii="Arial" w:cs="Arial" w:eastAsia="Arial" w:hAnsi="Arial"/>
                <w:sz w:val="9"/>
                <w:szCs w:val="9"/>
                <w:color w:val="auto"/>
              </w:rPr>
              <w:t>Staples, Petco</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2015</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40,505</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40,505</w:t>
            </w:r>
          </w:p>
        </w:tc>
        <w:tc>
          <w:tcPr>
            <w:tcW w:w="1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1,311,747</w:t>
            </w:r>
          </w:p>
        </w:tc>
        <w:tc>
          <w:tcPr>
            <w:tcW w:w="18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32.38</w:t>
            </w:r>
          </w:p>
        </w:tc>
      </w:tr>
      <w:tr>
        <w:trPr>
          <w:trHeight w:val="302"/>
        </w:trPr>
        <w:tc>
          <w:tcPr>
            <w:tcW w:w="20" w:type="dxa"/>
            <w:vAlign w:val="bottom"/>
          </w:tcPr>
          <w:p>
            <w:pPr>
              <w:spacing w:after="0"/>
              <w:rPr>
                <w:sz w:val="24"/>
                <w:szCs w:val="24"/>
                <w:color w:val="auto"/>
              </w:rPr>
            </w:pPr>
          </w:p>
        </w:tc>
        <w:tc>
          <w:tcPr>
            <w:tcW w:w="360" w:type="dxa"/>
            <w:vAlign w:val="bottom"/>
            <w:tcBorders>
              <w:bottom w:val="single" w:sz="8" w:color="auto"/>
            </w:tcBorders>
            <w:gridSpan w:val="3"/>
          </w:tcPr>
          <w:p>
            <w:pPr>
              <w:spacing w:after="0"/>
              <w:rPr>
                <w:sz w:val="20"/>
                <w:szCs w:val="20"/>
                <w:color w:val="auto"/>
              </w:rPr>
            </w:pPr>
            <w:r>
              <w:rPr>
                <w:rFonts w:ascii="Arial" w:cs="Arial" w:eastAsia="Arial" w:hAnsi="Arial"/>
                <w:sz w:val="9"/>
                <w:szCs w:val="9"/>
                <w:b w:val="1"/>
                <w:bCs w:val="1"/>
                <w:color w:val="auto"/>
                <w:w w:val="93"/>
              </w:rPr>
              <w:t>Vermont</w:t>
            </w:r>
          </w:p>
        </w:tc>
        <w:tc>
          <w:tcPr>
            <w:tcW w:w="1120" w:type="dxa"/>
            <w:vAlign w:val="bottom"/>
            <w:gridSpan w:val="6"/>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The Gateway Shopping Center</w:t>
            </w:r>
          </w:p>
        </w:tc>
        <w:tc>
          <w:tcPr>
            <w:tcW w:w="1860" w:type="dxa"/>
            <w:vAlign w:val="bottom"/>
          </w:tcPr>
          <w:p>
            <w:pPr>
              <w:ind w:left="100"/>
              <w:spacing w:after="0"/>
              <w:rPr>
                <w:sz w:val="20"/>
                <w:szCs w:val="20"/>
                <w:color w:val="auto"/>
              </w:rPr>
            </w:pPr>
            <w:r>
              <w:rPr>
                <w:rFonts w:ascii="Arial" w:cs="Arial" w:eastAsia="Arial" w:hAnsi="Arial"/>
                <w:sz w:val="9"/>
                <w:szCs w:val="9"/>
                <w:color w:val="auto"/>
              </w:rPr>
              <w:t>Shaw's (Supervalu)</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1999</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73,184</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28,471</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101,655</w:t>
            </w:r>
          </w:p>
        </w:tc>
        <w:tc>
          <w:tcPr>
            <w:tcW w:w="18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93.7%</w:t>
            </w:r>
          </w:p>
        </w:tc>
        <w:tc>
          <w:tcPr>
            <w:tcW w:w="480" w:type="dxa"/>
            <w:vAlign w:val="bottom"/>
          </w:tcPr>
          <w:p>
            <w:pPr>
              <w:jc w:val="right"/>
              <w:spacing w:after="0"/>
              <w:rPr>
                <w:sz w:val="20"/>
                <w:szCs w:val="20"/>
                <w:color w:val="auto"/>
              </w:rPr>
            </w:pPr>
            <w:r>
              <w:rPr>
                <w:rFonts w:ascii="Arial" w:cs="Arial" w:eastAsia="Arial" w:hAnsi="Arial"/>
                <w:sz w:val="9"/>
                <w:szCs w:val="9"/>
                <w:color w:val="auto"/>
              </w:rPr>
              <w:t>98.2%</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98.2%</w:t>
            </w:r>
          </w:p>
        </w:tc>
        <w:tc>
          <w:tcPr>
            <w:tcW w:w="200" w:type="dxa"/>
            <w:vAlign w:val="bottom"/>
          </w:tcPr>
          <w:p>
            <w:pPr>
              <w:spacing w:after="0"/>
              <w:rPr>
                <w:sz w:val="18"/>
                <w:szCs w:val="18"/>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2,054,421</w:t>
            </w:r>
          </w:p>
        </w:tc>
        <w:tc>
          <w:tcPr>
            <w:tcW w:w="180" w:type="dxa"/>
            <w:vAlign w:val="bottom"/>
          </w:tcPr>
          <w:p>
            <w:pPr>
              <w:spacing w:after="0"/>
              <w:rPr>
                <w:sz w:val="18"/>
                <w:szCs w:val="18"/>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20.58</w:t>
            </w:r>
          </w:p>
        </w:tc>
      </w:tr>
      <w:tr>
        <w:trPr>
          <w:trHeight w:val="302"/>
        </w:trPr>
        <w:tc>
          <w:tcPr>
            <w:tcW w:w="20" w:type="dxa"/>
            <w:vAlign w:val="bottom"/>
          </w:tcPr>
          <w:p>
            <w:pPr>
              <w:spacing w:after="0"/>
              <w:rPr>
                <w:sz w:val="24"/>
                <w:szCs w:val="24"/>
                <w:color w:val="auto"/>
              </w:rPr>
            </w:pPr>
          </w:p>
        </w:tc>
        <w:tc>
          <w:tcPr>
            <w:tcW w:w="1480" w:type="dxa"/>
            <w:vAlign w:val="bottom"/>
            <w:gridSpan w:val="9"/>
          </w:tcPr>
          <w:p>
            <w:pPr>
              <w:spacing w:after="0"/>
              <w:rPr>
                <w:sz w:val="20"/>
                <w:szCs w:val="20"/>
                <w:color w:val="auto"/>
              </w:rPr>
            </w:pPr>
            <w:r>
              <w:rPr>
                <w:rFonts w:ascii="Arial" w:cs="Arial" w:eastAsia="Arial" w:hAnsi="Arial"/>
                <w:sz w:val="9"/>
                <w:szCs w:val="9"/>
                <w:b w:val="1"/>
                <w:bCs w:val="1"/>
                <w:color w:val="auto"/>
              </w:rPr>
              <w:t>Illinois</w:t>
            </w: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Hobson West Plaza</w:t>
            </w:r>
          </w:p>
        </w:tc>
        <w:tc>
          <w:tcPr>
            <w:tcW w:w="1860" w:type="dxa"/>
            <w:vAlign w:val="bottom"/>
          </w:tcPr>
          <w:p>
            <w:pPr>
              <w:ind w:left="100"/>
              <w:spacing w:after="0"/>
              <w:rPr>
                <w:sz w:val="20"/>
                <w:szCs w:val="20"/>
                <w:color w:val="auto"/>
              </w:rPr>
            </w:pPr>
            <w:r>
              <w:rPr>
                <w:rFonts w:ascii="Arial" w:cs="Arial" w:eastAsia="Arial" w:hAnsi="Arial"/>
                <w:sz w:val="9"/>
                <w:szCs w:val="9"/>
                <w:color w:val="auto"/>
              </w:rPr>
              <w:t>Garden Fresh Markets</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1998</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51,692</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47,445</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99,137</w:t>
            </w:r>
          </w:p>
        </w:tc>
        <w:tc>
          <w:tcPr>
            <w:tcW w:w="18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66.7%</w:t>
            </w:r>
          </w:p>
        </w:tc>
        <w:tc>
          <w:tcPr>
            <w:tcW w:w="480" w:type="dxa"/>
            <w:vAlign w:val="bottom"/>
          </w:tcPr>
          <w:p>
            <w:pPr>
              <w:jc w:val="right"/>
              <w:spacing w:after="0"/>
              <w:rPr>
                <w:sz w:val="20"/>
                <w:szCs w:val="20"/>
                <w:color w:val="auto"/>
              </w:rPr>
            </w:pPr>
            <w:r>
              <w:rPr>
                <w:rFonts w:ascii="Arial" w:cs="Arial" w:eastAsia="Arial" w:hAnsi="Arial"/>
                <w:sz w:val="9"/>
                <w:szCs w:val="9"/>
                <w:color w:val="auto"/>
              </w:rPr>
              <w:t>84.1%</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84.1%</w:t>
            </w:r>
          </w:p>
        </w:tc>
        <w:tc>
          <w:tcPr>
            <w:tcW w:w="200" w:type="dxa"/>
            <w:vAlign w:val="bottom"/>
          </w:tcPr>
          <w:p>
            <w:pPr>
              <w:spacing w:after="0"/>
              <w:rPr>
                <w:sz w:val="18"/>
                <w:szCs w:val="18"/>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919,702</w:t>
            </w:r>
          </w:p>
        </w:tc>
        <w:tc>
          <w:tcPr>
            <w:tcW w:w="180" w:type="dxa"/>
            <w:vAlign w:val="bottom"/>
          </w:tcPr>
          <w:p>
            <w:pPr>
              <w:spacing w:after="0"/>
              <w:rPr>
                <w:sz w:val="18"/>
                <w:szCs w:val="18"/>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11.03</w:t>
            </w:r>
          </w:p>
        </w:tc>
      </w:tr>
      <w:tr>
        <w:trPr>
          <w:trHeight w:val="302"/>
        </w:trPr>
        <w:tc>
          <w:tcPr>
            <w:tcW w:w="20" w:type="dxa"/>
            <w:vAlign w:val="bottom"/>
          </w:tcPr>
          <w:p>
            <w:pPr>
              <w:spacing w:after="0"/>
              <w:rPr>
                <w:sz w:val="24"/>
                <w:szCs w:val="24"/>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w w:val="95"/>
              </w:rPr>
              <w:t>Indiana</w:t>
            </w:r>
          </w:p>
        </w:tc>
        <w:tc>
          <w:tcPr>
            <w:tcW w:w="1160" w:type="dxa"/>
            <w:vAlign w:val="bottom"/>
            <w:gridSpan w:val="7"/>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Merrillville Plaza</w:t>
            </w:r>
          </w:p>
        </w:tc>
        <w:tc>
          <w:tcPr>
            <w:tcW w:w="1860" w:type="dxa"/>
            <w:vAlign w:val="bottom"/>
          </w:tcPr>
          <w:p>
            <w:pPr>
              <w:ind w:left="100"/>
              <w:spacing w:after="0"/>
              <w:rPr>
                <w:sz w:val="20"/>
                <w:szCs w:val="20"/>
                <w:color w:val="auto"/>
              </w:rPr>
            </w:pPr>
            <w:r>
              <w:rPr>
                <w:rFonts w:ascii="Arial" w:cs="Arial" w:eastAsia="Arial" w:hAnsi="Arial"/>
                <w:sz w:val="9"/>
                <w:szCs w:val="9"/>
                <w:color w:val="auto"/>
              </w:rPr>
              <w:t>Jo-Ann Fabrics, TJ Maxx</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1998</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123,220</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112,867</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236,087</w:t>
            </w:r>
          </w:p>
        </w:tc>
        <w:tc>
          <w:tcPr>
            <w:tcW w:w="18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93.4%</w:t>
            </w:r>
          </w:p>
        </w:tc>
        <w:tc>
          <w:tcPr>
            <w:tcW w:w="480" w:type="dxa"/>
            <w:vAlign w:val="bottom"/>
          </w:tcPr>
          <w:p>
            <w:pPr>
              <w:jc w:val="right"/>
              <w:spacing w:after="0"/>
              <w:rPr>
                <w:sz w:val="20"/>
                <w:szCs w:val="20"/>
                <w:color w:val="auto"/>
              </w:rPr>
            </w:pPr>
            <w:r>
              <w:rPr>
                <w:rFonts w:ascii="Arial" w:cs="Arial" w:eastAsia="Arial" w:hAnsi="Arial"/>
                <w:sz w:val="9"/>
                <w:szCs w:val="9"/>
                <w:color w:val="auto"/>
              </w:rPr>
              <w:t>96.8%</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96.8%</w:t>
            </w:r>
          </w:p>
        </w:tc>
        <w:tc>
          <w:tcPr>
            <w:tcW w:w="200" w:type="dxa"/>
            <w:vAlign w:val="bottom"/>
          </w:tcPr>
          <w:p>
            <w:pPr>
              <w:spacing w:after="0"/>
              <w:rPr>
                <w:sz w:val="18"/>
                <w:szCs w:val="18"/>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3,429,559</w:t>
            </w:r>
          </w:p>
        </w:tc>
        <w:tc>
          <w:tcPr>
            <w:tcW w:w="180" w:type="dxa"/>
            <w:vAlign w:val="bottom"/>
          </w:tcPr>
          <w:p>
            <w:pPr>
              <w:spacing w:after="0"/>
              <w:rPr>
                <w:sz w:val="18"/>
                <w:szCs w:val="18"/>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15.01</w:t>
            </w:r>
          </w:p>
        </w:tc>
      </w:tr>
      <w:tr>
        <w:trPr>
          <w:trHeight w:val="302"/>
        </w:trPr>
        <w:tc>
          <w:tcPr>
            <w:tcW w:w="20" w:type="dxa"/>
            <w:vAlign w:val="bottom"/>
          </w:tcPr>
          <w:p>
            <w:pPr>
              <w:spacing w:after="0"/>
              <w:rPr>
                <w:sz w:val="24"/>
                <w:szCs w:val="24"/>
                <w:color w:val="auto"/>
              </w:rPr>
            </w:pPr>
          </w:p>
        </w:tc>
        <w:tc>
          <w:tcPr>
            <w:tcW w:w="1480" w:type="dxa"/>
            <w:vAlign w:val="bottom"/>
            <w:gridSpan w:val="9"/>
          </w:tcPr>
          <w:p>
            <w:pPr>
              <w:spacing w:after="0"/>
              <w:rPr>
                <w:sz w:val="20"/>
                <w:szCs w:val="20"/>
                <w:color w:val="auto"/>
              </w:rPr>
            </w:pPr>
            <w:r>
              <w:rPr>
                <w:rFonts w:ascii="Arial" w:cs="Arial" w:eastAsia="Arial" w:hAnsi="Arial"/>
                <w:sz w:val="9"/>
                <w:szCs w:val="9"/>
                <w:b w:val="1"/>
                <w:bCs w:val="1"/>
                <w:color w:val="auto"/>
              </w:rPr>
              <w:t>Michigan</w:t>
            </w: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30"/>
        </w:trPr>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60" w:type="dxa"/>
            <w:vAlign w:val="bottom"/>
          </w:tcPr>
          <w:p>
            <w:pPr>
              <w:ind w:left="100"/>
              <w:spacing w:after="0"/>
              <w:rPr>
                <w:sz w:val="20"/>
                <w:szCs w:val="20"/>
                <w:color w:val="auto"/>
              </w:rPr>
            </w:pPr>
            <w:r>
              <w:rPr>
                <w:rFonts w:ascii="Arial" w:cs="Arial" w:eastAsia="Arial" w:hAnsi="Arial"/>
                <w:sz w:val="9"/>
                <w:szCs w:val="9"/>
                <w:color w:val="auto"/>
              </w:rPr>
              <w:t>Best Buy, Home Goods, TJ Maxx, Dick's</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1480" w:type="dxa"/>
            <w:vAlign w:val="bottom"/>
            <w:gridSpan w:val="9"/>
          </w:tcPr>
          <w:p>
            <w:pPr>
              <w:spacing w:after="0"/>
              <w:rPr>
                <w:sz w:val="20"/>
                <w:szCs w:val="20"/>
                <w:color w:val="auto"/>
              </w:rPr>
            </w:pPr>
            <w:r>
              <w:rPr>
                <w:rFonts w:ascii="Arial" w:cs="Arial" w:eastAsia="Arial" w:hAnsi="Arial"/>
                <w:sz w:val="9"/>
                <w:szCs w:val="9"/>
                <w:color w:val="auto"/>
              </w:rPr>
              <w:t>Bloomfield Town Square</w:t>
            </w:r>
          </w:p>
        </w:tc>
        <w:tc>
          <w:tcPr>
            <w:tcW w:w="1860" w:type="dxa"/>
            <w:vAlign w:val="bottom"/>
          </w:tcPr>
          <w:p>
            <w:pPr>
              <w:ind w:left="100"/>
              <w:spacing w:after="0"/>
              <w:rPr>
                <w:sz w:val="20"/>
                <w:szCs w:val="20"/>
                <w:color w:val="auto"/>
              </w:rPr>
            </w:pPr>
            <w:r>
              <w:rPr>
                <w:rFonts w:ascii="Arial" w:cs="Arial" w:eastAsia="Arial" w:hAnsi="Arial"/>
                <w:sz w:val="9"/>
                <w:szCs w:val="9"/>
                <w:color w:val="auto"/>
              </w:rPr>
              <w:t>Sporting Goods</w:t>
            </w:r>
          </w:p>
        </w:tc>
        <w:tc>
          <w:tcPr>
            <w:tcW w:w="600" w:type="dxa"/>
            <w:vAlign w:val="bottom"/>
          </w:tcPr>
          <w:p>
            <w:pPr>
              <w:jc w:val="center"/>
              <w:ind w:left="116"/>
              <w:spacing w:after="0"/>
              <w:rPr>
                <w:sz w:val="20"/>
                <w:szCs w:val="20"/>
                <w:color w:val="auto"/>
              </w:rPr>
            </w:pPr>
            <w:r>
              <w:rPr>
                <w:rFonts w:ascii="Arial" w:cs="Arial" w:eastAsia="Arial" w:hAnsi="Arial"/>
                <w:sz w:val="9"/>
                <w:szCs w:val="9"/>
                <w:color w:val="auto"/>
                <w:w w:val="99"/>
              </w:rPr>
              <w:t>1998</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153,839</w:t>
            </w:r>
          </w:p>
        </w:tc>
        <w:tc>
          <w:tcPr>
            <w:tcW w:w="580" w:type="dxa"/>
            <w:vAlign w:val="bottom"/>
          </w:tcPr>
          <w:p>
            <w:pPr>
              <w:jc w:val="right"/>
              <w:ind w:right="116"/>
              <w:spacing w:after="0"/>
              <w:rPr>
                <w:sz w:val="20"/>
                <w:szCs w:val="20"/>
                <w:color w:val="auto"/>
              </w:rPr>
            </w:pPr>
            <w:r>
              <w:rPr>
                <w:rFonts w:ascii="Arial" w:cs="Arial" w:eastAsia="Arial" w:hAnsi="Arial"/>
                <w:sz w:val="9"/>
                <w:szCs w:val="9"/>
                <w:color w:val="auto"/>
              </w:rPr>
              <w:t>81,947</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235,786</w:t>
            </w:r>
          </w:p>
        </w:tc>
        <w:tc>
          <w:tcPr>
            <w:tcW w:w="180" w:type="dxa"/>
            <w:vAlign w:val="bottom"/>
          </w:tcPr>
          <w:p>
            <w:pPr>
              <w:spacing w:after="0"/>
              <w:rPr>
                <w:sz w:val="9"/>
                <w:szCs w:val="9"/>
                <w:color w:val="auto"/>
              </w:rPr>
            </w:pPr>
          </w:p>
        </w:tc>
        <w:tc>
          <w:tcPr>
            <w:tcW w:w="6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36"/>
              <w:spacing w:after="0"/>
              <w:rPr>
                <w:sz w:val="20"/>
                <w:szCs w:val="20"/>
                <w:color w:val="auto"/>
              </w:rPr>
            </w:pPr>
            <w:r>
              <w:rPr>
                <w:rFonts w:ascii="Arial" w:cs="Arial" w:eastAsia="Arial" w:hAnsi="Arial"/>
                <w:sz w:val="9"/>
                <w:szCs w:val="9"/>
                <w:color w:val="auto"/>
              </w:rPr>
              <w:t>100.0%</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72.9%</w:t>
            </w:r>
          </w:p>
        </w:tc>
        <w:tc>
          <w:tcPr>
            <w:tcW w:w="480" w:type="dxa"/>
            <w:vAlign w:val="bottom"/>
          </w:tcPr>
          <w:p>
            <w:pPr>
              <w:jc w:val="right"/>
              <w:spacing w:after="0"/>
              <w:rPr>
                <w:sz w:val="20"/>
                <w:szCs w:val="20"/>
                <w:color w:val="auto"/>
              </w:rPr>
            </w:pPr>
            <w:r>
              <w:rPr>
                <w:rFonts w:ascii="Arial" w:cs="Arial" w:eastAsia="Arial" w:hAnsi="Arial"/>
                <w:sz w:val="9"/>
                <w:szCs w:val="9"/>
                <w:color w:val="auto"/>
              </w:rPr>
              <w:t>90.6%</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90.6%</w:t>
            </w:r>
          </w:p>
        </w:tc>
        <w:tc>
          <w:tcPr>
            <w:tcW w:w="200" w:type="dxa"/>
            <w:vAlign w:val="bottom"/>
          </w:tcPr>
          <w:p>
            <w:pPr>
              <w:spacing w:after="0"/>
              <w:rPr>
                <w:sz w:val="9"/>
                <w:szCs w:val="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3,320,116</w:t>
            </w:r>
          </w:p>
        </w:tc>
        <w:tc>
          <w:tcPr>
            <w:tcW w:w="180" w:type="dxa"/>
            <w:vAlign w:val="bottom"/>
          </w:tcPr>
          <w:p>
            <w:pPr>
              <w:spacing w:after="0"/>
              <w:rPr>
                <w:sz w:val="9"/>
                <w:szCs w:val="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15.54</w:t>
            </w:r>
          </w:p>
        </w:tc>
      </w:tr>
    </w:tbl>
    <w:p>
      <w:pPr>
        <w:spacing w:after="0" w:line="200" w:lineRule="exact"/>
        <w:rPr>
          <w:sz w:val="20"/>
          <w:szCs w:val="20"/>
          <w:color w:val="auto"/>
        </w:rPr>
      </w:pPr>
    </w:p>
    <w:p>
      <w:pPr>
        <w:spacing w:after="0" w:line="240"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26</w:t>
            </w:r>
          </w:p>
        </w:tc>
      </w:tr>
    </w:tbl>
    <w:p>
      <w:pPr>
        <w:sectPr>
          <w:pgSz w:w="11900" w:h="16838" w:orient="portrait"/>
          <w:cols w:equalWidth="0" w:num="1">
            <w:col w:w="11480"/>
          </w:cols>
          <w:pgMar w:left="220" w:top="617" w:right="199" w:bottom="1440" w:gutter="0" w:footer="0" w:header="0"/>
        </w:sectPr>
      </w:pPr>
    </w:p>
    <w:bookmarkStart w:id="38" w:name="page39"/>
    <w:bookmarkEnd w:id="38"/>
    <w:p>
      <w:pPr>
        <w:ind w:left="20"/>
        <w:spacing w:after="0"/>
        <w:rPr>
          <w:sz w:val="20"/>
          <w:szCs w:val="20"/>
          <w:color w:val="auto"/>
        </w:rPr>
      </w:pPr>
      <w:r>
        <w:rPr>
          <w:rFonts w:ascii="Arial" w:cs="Arial" w:eastAsia="Arial" w:hAnsi="Arial"/>
          <w:sz w:val="20"/>
          <w:szCs w:val="20"/>
          <w:b w:val="1"/>
          <w:bCs w:val="1"/>
          <w:color w:val="auto"/>
        </w:rPr>
        <w:t xml:space="preserve">Core Portfolio Retail Properties - Detail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7265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jc w:val="center"/>
              <w:ind w:left="56"/>
              <w:spacing w:after="0"/>
              <w:rPr>
                <w:sz w:val="20"/>
                <w:szCs w:val="20"/>
                <w:color w:val="auto"/>
              </w:rPr>
            </w:pPr>
            <w:r>
              <w:rPr>
                <w:rFonts w:ascii="Arial" w:cs="Arial" w:eastAsia="Arial" w:hAnsi="Arial"/>
                <w:sz w:val="9"/>
                <w:szCs w:val="9"/>
                <w:b w:val="1"/>
                <w:bCs w:val="1"/>
                <w:color w:val="auto"/>
                <w:w w:val="96"/>
              </w:rPr>
              <w:t>Leased</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227"/>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jc w:val="center"/>
              <w:ind w:left="56"/>
              <w:spacing w:after="0"/>
              <w:rPr>
                <w:sz w:val="20"/>
                <w:szCs w:val="20"/>
                <w:color w:val="auto"/>
              </w:rPr>
            </w:pPr>
            <w:r>
              <w:rPr>
                <w:rFonts w:ascii="Arial" w:cs="Arial" w:eastAsia="Arial" w:hAnsi="Arial"/>
                <w:sz w:val="9"/>
                <w:szCs w:val="9"/>
                <w:b w:val="1"/>
                <w:bCs w:val="1"/>
                <w:color w:val="auto"/>
                <w:w w:val="91"/>
              </w:rPr>
              <w:t>Year</w:t>
            </w:r>
          </w:p>
        </w:tc>
        <w:tc>
          <w:tcPr>
            <w:tcW w:w="560" w:type="dxa"/>
            <w:vAlign w:val="bottom"/>
          </w:tcPr>
          <w:p>
            <w:pPr>
              <w:jc w:val="right"/>
              <w:ind w:right="116"/>
              <w:spacing w:after="0"/>
              <w:rPr>
                <w:sz w:val="20"/>
                <w:szCs w:val="20"/>
                <w:color w:val="auto"/>
              </w:rPr>
            </w:pPr>
            <w:r>
              <w:rPr>
                <w:rFonts w:ascii="Arial" w:cs="Arial" w:eastAsia="Arial" w:hAnsi="Arial"/>
                <w:sz w:val="9"/>
                <w:szCs w:val="9"/>
                <w:b w:val="1"/>
                <w:bCs w:val="1"/>
                <w:color w:val="auto"/>
              </w:rPr>
              <w:t>Acadia's</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Gross Leasable Area (GLA)</w:t>
            </w: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9"/>
                <w:szCs w:val="9"/>
                <w:b w:val="1"/>
                <w:bCs w:val="1"/>
                <w:color w:val="auto"/>
              </w:rPr>
              <w:t>In Place Occupancy</w:t>
            </w:r>
          </w:p>
        </w:tc>
        <w:tc>
          <w:tcPr>
            <w:tcW w:w="500" w:type="dxa"/>
            <w:vAlign w:val="bottom"/>
            <w:tcBorders>
              <w:bottom w:val="single" w:sz="8" w:color="auto"/>
            </w:tcBorders>
          </w:tcPr>
          <w:p>
            <w:pPr>
              <w:spacing w:after="0"/>
              <w:rPr>
                <w:sz w:val="19"/>
                <w:szCs w:val="19"/>
                <w:color w:val="auto"/>
              </w:rPr>
            </w:pPr>
          </w:p>
        </w:tc>
        <w:tc>
          <w:tcPr>
            <w:tcW w:w="840" w:type="dxa"/>
            <w:vAlign w:val="bottom"/>
          </w:tcPr>
          <w:p>
            <w:pPr>
              <w:jc w:val="center"/>
              <w:ind w:left="56"/>
              <w:spacing w:after="0"/>
              <w:rPr>
                <w:sz w:val="20"/>
                <w:szCs w:val="20"/>
                <w:color w:val="auto"/>
              </w:rPr>
            </w:pPr>
            <w:r>
              <w:rPr>
                <w:rFonts w:ascii="Arial" w:cs="Arial" w:eastAsia="Arial" w:hAnsi="Arial"/>
                <w:sz w:val="9"/>
                <w:szCs w:val="9"/>
                <w:b w:val="1"/>
                <w:bCs w:val="1"/>
                <w:color w:val="auto"/>
                <w:w w:val="94"/>
              </w:rPr>
              <w:t>Occupancy</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gridSpan w:val="2"/>
          </w:tcPr>
          <w:p>
            <w:pPr>
              <w:jc w:val="center"/>
              <w:spacing w:after="0"/>
              <w:rPr>
                <w:sz w:val="20"/>
                <w:szCs w:val="20"/>
                <w:color w:val="auto"/>
              </w:rPr>
            </w:pPr>
            <w:r>
              <w:rPr>
                <w:rFonts w:ascii="Arial" w:cs="Arial" w:eastAsia="Arial" w:hAnsi="Arial"/>
                <w:sz w:val="9"/>
                <w:szCs w:val="9"/>
                <w:b w:val="1"/>
                <w:bCs w:val="1"/>
                <w:color w:val="auto"/>
                <w:w w:val="99"/>
              </w:rPr>
              <w:t>Annualized</w:t>
            </w:r>
          </w:p>
        </w:tc>
      </w:tr>
      <w:tr>
        <w:trPr>
          <w:trHeight w:val="75"/>
        </w:trPr>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jc w:val="right"/>
              <w:ind w:right="117"/>
              <w:spacing w:after="0" w:line="75" w:lineRule="exact"/>
              <w:rPr>
                <w:sz w:val="20"/>
                <w:szCs w:val="20"/>
                <w:color w:val="auto"/>
              </w:rPr>
            </w:pPr>
            <w:r>
              <w:rPr>
                <w:rFonts w:ascii="Arial" w:cs="Arial" w:eastAsia="Arial" w:hAnsi="Arial"/>
                <w:sz w:val="8"/>
                <w:szCs w:val="8"/>
                <w:b w:val="1"/>
                <w:bCs w:val="1"/>
                <w:color w:val="auto"/>
              </w:rPr>
              <w:t>Annualized</w:t>
            </w:r>
          </w:p>
        </w:tc>
        <w:tc>
          <w:tcPr>
            <w:tcW w:w="640" w:type="dxa"/>
            <w:vAlign w:val="bottom"/>
            <w:gridSpan w:val="2"/>
          </w:tcPr>
          <w:p>
            <w:pPr>
              <w:jc w:val="center"/>
              <w:spacing w:after="0" w:line="75" w:lineRule="exact"/>
              <w:rPr>
                <w:sz w:val="20"/>
                <w:szCs w:val="20"/>
                <w:color w:val="auto"/>
              </w:rPr>
            </w:pPr>
            <w:r>
              <w:rPr>
                <w:rFonts w:ascii="Arial" w:cs="Arial" w:eastAsia="Arial" w:hAnsi="Arial"/>
                <w:sz w:val="8"/>
                <w:szCs w:val="8"/>
                <w:b w:val="1"/>
                <w:bCs w:val="1"/>
                <w:color w:val="auto"/>
              </w:rPr>
              <w:t>Base Rent</w:t>
            </w:r>
          </w:p>
        </w:tc>
      </w:tr>
      <w:tr>
        <w:trPr>
          <w:trHeight w:val="124"/>
        </w:trPr>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9"/>
                <w:szCs w:val="9"/>
                <w:b w:val="1"/>
                <w:bCs w:val="1"/>
                <w:color w:val="auto"/>
              </w:rPr>
              <w:t>Property</w:t>
            </w:r>
          </w:p>
        </w:tc>
        <w:tc>
          <w:tcPr>
            <w:tcW w:w="1820" w:type="dxa"/>
            <w:vAlign w:val="bottom"/>
          </w:tcPr>
          <w:p>
            <w:pPr>
              <w:ind w:left="60"/>
              <w:spacing w:after="0"/>
              <w:rPr>
                <w:sz w:val="20"/>
                <w:szCs w:val="20"/>
                <w:color w:val="auto"/>
              </w:rPr>
            </w:pPr>
            <w:r>
              <w:rPr>
                <w:rFonts w:ascii="Arial" w:cs="Arial" w:eastAsia="Arial" w:hAnsi="Arial"/>
                <w:sz w:val="9"/>
                <w:szCs w:val="9"/>
                <w:b w:val="1"/>
                <w:bCs w:val="1"/>
                <w:color w:val="auto"/>
              </w:rPr>
              <w:t>Key Tenants</w:t>
            </w:r>
          </w:p>
        </w:tc>
        <w:tc>
          <w:tcPr>
            <w:tcW w:w="560" w:type="dxa"/>
            <w:vAlign w:val="bottom"/>
          </w:tcPr>
          <w:p>
            <w:pPr>
              <w:jc w:val="center"/>
              <w:ind w:left="56"/>
              <w:spacing w:after="0"/>
              <w:rPr>
                <w:sz w:val="20"/>
                <w:szCs w:val="20"/>
                <w:color w:val="auto"/>
              </w:rPr>
            </w:pPr>
            <w:r>
              <w:rPr>
                <w:rFonts w:ascii="Arial" w:cs="Arial" w:eastAsia="Arial" w:hAnsi="Arial"/>
                <w:sz w:val="9"/>
                <w:szCs w:val="9"/>
                <w:b w:val="1"/>
                <w:bCs w:val="1"/>
                <w:color w:val="auto"/>
                <w:w w:val="97"/>
              </w:rPr>
              <w:t>Acquired</w:t>
            </w:r>
          </w:p>
        </w:tc>
        <w:tc>
          <w:tcPr>
            <w:tcW w:w="560" w:type="dxa"/>
            <w:vAlign w:val="bottom"/>
          </w:tcPr>
          <w:p>
            <w:pPr>
              <w:jc w:val="right"/>
              <w:ind w:right="136"/>
              <w:spacing w:after="0"/>
              <w:rPr>
                <w:sz w:val="20"/>
                <w:szCs w:val="20"/>
                <w:color w:val="auto"/>
              </w:rPr>
            </w:pPr>
            <w:r>
              <w:rPr>
                <w:rFonts w:ascii="Arial" w:cs="Arial" w:eastAsia="Arial" w:hAnsi="Arial"/>
                <w:sz w:val="9"/>
                <w:szCs w:val="9"/>
                <w:b w:val="1"/>
                <w:bCs w:val="1"/>
                <w:color w:val="auto"/>
              </w:rPr>
              <w:t>Interest</w:t>
            </w:r>
          </w:p>
        </w:tc>
        <w:tc>
          <w:tcPr>
            <w:tcW w:w="500" w:type="dxa"/>
            <w:vAlign w:val="bottom"/>
          </w:tcPr>
          <w:p>
            <w:pPr>
              <w:jc w:val="right"/>
              <w:ind w:right="56"/>
              <w:spacing w:after="0"/>
              <w:rPr>
                <w:sz w:val="20"/>
                <w:szCs w:val="20"/>
                <w:color w:val="auto"/>
              </w:rPr>
            </w:pPr>
            <w:r>
              <w:rPr>
                <w:rFonts w:ascii="Arial" w:cs="Arial" w:eastAsia="Arial" w:hAnsi="Arial"/>
                <w:sz w:val="9"/>
                <w:szCs w:val="9"/>
                <w:b w:val="1"/>
                <w:bCs w:val="1"/>
                <w:color w:val="auto"/>
              </w:rPr>
              <w:t>Street</w:t>
            </w:r>
          </w:p>
        </w:tc>
        <w:tc>
          <w:tcPr>
            <w:tcW w:w="600" w:type="dxa"/>
            <w:vAlign w:val="bottom"/>
          </w:tcPr>
          <w:p>
            <w:pPr>
              <w:jc w:val="right"/>
              <w:ind w:right="36"/>
              <w:spacing w:after="0"/>
              <w:rPr>
                <w:sz w:val="20"/>
                <w:szCs w:val="20"/>
                <w:color w:val="auto"/>
              </w:rPr>
            </w:pPr>
            <w:r>
              <w:rPr>
                <w:rFonts w:ascii="Arial" w:cs="Arial" w:eastAsia="Arial" w:hAnsi="Arial"/>
                <w:sz w:val="9"/>
                <w:szCs w:val="9"/>
                <w:b w:val="1"/>
                <w:bCs w:val="1"/>
                <w:color w:val="auto"/>
              </w:rPr>
              <w:t>Anchors</w:t>
            </w:r>
          </w:p>
        </w:tc>
        <w:tc>
          <w:tcPr>
            <w:tcW w:w="620" w:type="dxa"/>
            <w:vAlign w:val="bottom"/>
          </w:tcPr>
          <w:p>
            <w:pPr>
              <w:jc w:val="right"/>
              <w:ind w:right="156"/>
              <w:spacing w:after="0"/>
              <w:rPr>
                <w:sz w:val="20"/>
                <w:szCs w:val="20"/>
                <w:color w:val="auto"/>
              </w:rPr>
            </w:pPr>
            <w:r>
              <w:rPr>
                <w:rFonts w:ascii="Arial" w:cs="Arial" w:eastAsia="Arial" w:hAnsi="Arial"/>
                <w:sz w:val="9"/>
                <w:szCs w:val="9"/>
                <w:b w:val="1"/>
                <w:bCs w:val="1"/>
                <w:color w:val="auto"/>
              </w:rPr>
              <w:t>Shops</w:t>
            </w: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Total</w:t>
            </w:r>
          </w:p>
        </w:tc>
        <w:tc>
          <w:tcPr>
            <w:tcW w:w="600" w:type="dxa"/>
            <w:vAlign w:val="bottom"/>
          </w:tcPr>
          <w:p>
            <w:pPr>
              <w:jc w:val="right"/>
              <w:ind w:right="156"/>
              <w:spacing w:after="0"/>
              <w:rPr>
                <w:sz w:val="20"/>
                <w:szCs w:val="20"/>
                <w:color w:val="auto"/>
              </w:rPr>
            </w:pPr>
            <w:r>
              <w:rPr>
                <w:rFonts w:ascii="Arial" w:cs="Arial" w:eastAsia="Arial" w:hAnsi="Arial"/>
                <w:sz w:val="9"/>
                <w:szCs w:val="9"/>
                <w:b w:val="1"/>
                <w:bCs w:val="1"/>
                <w:color w:val="auto"/>
              </w:rPr>
              <w:t>Street</w:t>
            </w:r>
          </w:p>
        </w:tc>
        <w:tc>
          <w:tcPr>
            <w:tcW w:w="580" w:type="dxa"/>
            <w:vAlign w:val="bottom"/>
          </w:tcPr>
          <w:p>
            <w:pPr>
              <w:jc w:val="right"/>
              <w:ind w:right="116"/>
              <w:spacing w:after="0"/>
              <w:rPr>
                <w:sz w:val="20"/>
                <w:szCs w:val="20"/>
                <w:color w:val="auto"/>
              </w:rPr>
            </w:pPr>
            <w:r>
              <w:rPr>
                <w:rFonts w:ascii="Arial" w:cs="Arial" w:eastAsia="Arial" w:hAnsi="Arial"/>
                <w:sz w:val="9"/>
                <w:szCs w:val="9"/>
                <w:b w:val="1"/>
                <w:bCs w:val="1"/>
                <w:color w:val="auto"/>
              </w:rPr>
              <w:t>Anchors</w:t>
            </w:r>
          </w:p>
        </w:tc>
        <w:tc>
          <w:tcPr>
            <w:tcW w:w="560" w:type="dxa"/>
            <w:vAlign w:val="bottom"/>
          </w:tcPr>
          <w:p>
            <w:pPr>
              <w:jc w:val="right"/>
              <w:ind w:right="156"/>
              <w:spacing w:after="0"/>
              <w:rPr>
                <w:sz w:val="20"/>
                <w:szCs w:val="20"/>
                <w:color w:val="auto"/>
              </w:rPr>
            </w:pPr>
            <w:r>
              <w:rPr>
                <w:rFonts w:ascii="Arial" w:cs="Arial" w:eastAsia="Arial" w:hAnsi="Arial"/>
                <w:sz w:val="9"/>
                <w:szCs w:val="9"/>
                <w:b w:val="1"/>
                <w:bCs w:val="1"/>
                <w:color w:val="auto"/>
              </w:rPr>
              <w:t>Shops</w:t>
            </w:r>
          </w:p>
        </w:tc>
        <w:tc>
          <w:tcPr>
            <w:tcW w:w="500" w:type="dxa"/>
            <w:vAlign w:val="bottom"/>
          </w:tcPr>
          <w:p>
            <w:pPr>
              <w:jc w:val="right"/>
              <w:ind w:right="136"/>
              <w:spacing w:after="0"/>
              <w:rPr>
                <w:sz w:val="20"/>
                <w:szCs w:val="20"/>
                <w:color w:val="auto"/>
              </w:rPr>
            </w:pPr>
            <w:r>
              <w:rPr>
                <w:rFonts w:ascii="Arial" w:cs="Arial" w:eastAsia="Arial" w:hAnsi="Arial"/>
                <w:sz w:val="9"/>
                <w:szCs w:val="9"/>
                <w:b w:val="1"/>
                <w:bCs w:val="1"/>
                <w:color w:val="auto"/>
              </w:rPr>
              <w:t>Total</w:t>
            </w:r>
          </w:p>
        </w:tc>
        <w:tc>
          <w:tcPr>
            <w:tcW w:w="840" w:type="dxa"/>
            <w:vAlign w:val="bottom"/>
          </w:tcPr>
          <w:p>
            <w:pPr>
              <w:jc w:val="center"/>
              <w:ind w:left="36"/>
              <w:spacing w:after="0"/>
              <w:rPr>
                <w:sz w:val="20"/>
                <w:szCs w:val="20"/>
                <w:color w:val="auto"/>
              </w:rPr>
            </w:pPr>
            <w:r>
              <w:rPr>
                <w:rFonts w:ascii="Arial" w:cs="Arial" w:eastAsia="Arial" w:hAnsi="Arial"/>
                <w:sz w:val="9"/>
                <w:szCs w:val="9"/>
                <w:b w:val="1"/>
                <w:bCs w:val="1"/>
                <w:color w:val="auto"/>
                <w:w w:val="92"/>
              </w:rPr>
              <w:t>Total</w:t>
            </w:r>
          </w:p>
        </w:tc>
        <w:tc>
          <w:tcPr>
            <w:tcW w:w="860" w:type="dxa"/>
            <w:vAlign w:val="bottom"/>
            <w:gridSpan w:val="2"/>
          </w:tcPr>
          <w:p>
            <w:pPr>
              <w:ind w:left="140"/>
              <w:spacing w:after="0"/>
              <w:rPr>
                <w:sz w:val="20"/>
                <w:szCs w:val="20"/>
                <w:color w:val="auto"/>
              </w:rPr>
            </w:pPr>
            <w:r>
              <w:rPr>
                <w:rFonts w:ascii="Arial" w:cs="Arial" w:eastAsia="Arial" w:hAnsi="Arial"/>
                <w:sz w:val="9"/>
                <w:szCs w:val="9"/>
                <w:b w:val="1"/>
                <w:bCs w:val="1"/>
                <w:color w:val="auto"/>
              </w:rPr>
              <w:t>Base Rent Total</w:t>
            </w:r>
          </w:p>
        </w:tc>
        <w:tc>
          <w:tcPr>
            <w:tcW w:w="140" w:type="dxa"/>
            <w:vAlign w:val="bottom"/>
          </w:tcPr>
          <w:p>
            <w:pPr>
              <w:spacing w:after="0"/>
              <w:rPr>
                <w:sz w:val="10"/>
                <w:szCs w:val="10"/>
                <w:color w:val="auto"/>
              </w:rPr>
            </w:pPr>
          </w:p>
        </w:tc>
        <w:tc>
          <w:tcPr>
            <w:tcW w:w="500" w:type="dxa"/>
            <w:vAlign w:val="bottom"/>
          </w:tcPr>
          <w:p>
            <w:pPr>
              <w:jc w:val="center"/>
              <w:ind w:right="56"/>
              <w:spacing w:after="0"/>
              <w:rPr>
                <w:sz w:val="20"/>
                <w:szCs w:val="20"/>
                <w:color w:val="auto"/>
              </w:rPr>
            </w:pPr>
            <w:r>
              <w:rPr>
                <w:rFonts w:ascii="Arial" w:cs="Arial" w:eastAsia="Arial" w:hAnsi="Arial"/>
                <w:sz w:val="9"/>
                <w:szCs w:val="9"/>
                <w:b w:val="1"/>
                <w:bCs w:val="1"/>
                <w:color w:val="auto"/>
                <w:w w:val="96"/>
              </w:rPr>
              <w:t>PSF Total</w:t>
            </w:r>
          </w:p>
        </w:tc>
      </w:tr>
      <w:tr>
        <w:trPr>
          <w:trHeight w:val="186"/>
        </w:trPr>
        <w:tc>
          <w:tcPr>
            <w:tcW w:w="1540" w:type="dxa"/>
            <w:vAlign w:val="bottom"/>
            <w:tcBorders>
              <w:top w:val="single" w:sz="8" w:color="auto"/>
            </w:tcBorders>
            <w:gridSpan w:val="3"/>
          </w:tcPr>
          <w:p>
            <w:pPr>
              <w:ind w:left="20"/>
              <w:spacing w:after="0"/>
              <w:rPr>
                <w:sz w:val="20"/>
                <w:szCs w:val="20"/>
                <w:color w:val="auto"/>
              </w:rPr>
            </w:pPr>
            <w:r>
              <w:rPr>
                <w:rFonts w:ascii="Arial" w:cs="Arial" w:eastAsia="Arial" w:hAnsi="Arial"/>
                <w:sz w:val="9"/>
                <w:szCs w:val="9"/>
                <w:b w:val="1"/>
                <w:bCs w:val="1"/>
                <w:color w:val="auto"/>
              </w:rPr>
              <w:t>Delaware</w:t>
            </w:r>
          </w:p>
        </w:tc>
        <w:tc>
          <w:tcPr>
            <w:tcW w:w="18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r>
      <w:tr>
        <w:trPr>
          <w:trHeight w:val="130"/>
        </w:trPr>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20" w:type="dxa"/>
            <w:vAlign w:val="bottom"/>
          </w:tcPr>
          <w:p>
            <w:pPr>
              <w:ind w:left="60"/>
              <w:spacing w:after="0"/>
              <w:rPr>
                <w:sz w:val="20"/>
                <w:szCs w:val="20"/>
                <w:color w:val="auto"/>
              </w:rPr>
            </w:pPr>
            <w:r>
              <w:rPr>
                <w:rFonts w:ascii="Arial" w:cs="Arial" w:eastAsia="Arial" w:hAnsi="Arial"/>
                <w:sz w:val="9"/>
                <w:szCs w:val="9"/>
                <w:color w:val="auto"/>
              </w:rPr>
              <w:t>Lowes, Bed Bath &amp; Beyond, Target, Dick's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05"/>
        </w:trPr>
        <w:tc>
          <w:tcPr>
            <w:tcW w:w="1540" w:type="dxa"/>
            <w:vAlign w:val="bottom"/>
            <w:gridSpan w:val="3"/>
          </w:tcPr>
          <w:p>
            <w:pPr>
              <w:ind w:left="20"/>
              <w:spacing w:after="0"/>
              <w:rPr>
                <w:sz w:val="20"/>
                <w:szCs w:val="20"/>
                <w:color w:val="auto"/>
              </w:rPr>
            </w:pPr>
            <w:r>
              <w:rPr>
                <w:rFonts w:ascii="Arial" w:cs="Arial" w:eastAsia="Arial" w:hAnsi="Arial"/>
                <w:sz w:val="9"/>
                <w:szCs w:val="9"/>
                <w:color w:val="auto"/>
              </w:rPr>
              <w:t>Town Center and Other</w:t>
            </w:r>
          </w:p>
        </w:tc>
        <w:tc>
          <w:tcPr>
            <w:tcW w:w="1820" w:type="dxa"/>
            <w:vAlign w:val="bottom"/>
          </w:tcPr>
          <w:p>
            <w:pPr>
              <w:ind w:left="60"/>
              <w:spacing w:after="0"/>
              <w:rPr>
                <w:sz w:val="20"/>
                <w:szCs w:val="20"/>
                <w:color w:val="auto"/>
              </w:rPr>
            </w:pPr>
            <w:r>
              <w:rPr>
                <w:rFonts w:ascii="Arial" w:cs="Arial" w:eastAsia="Arial" w:hAnsi="Arial"/>
                <w:sz w:val="9"/>
                <w:szCs w:val="9"/>
                <w:color w:val="auto"/>
              </w:rPr>
              <w:t>Sporting Goods</w:t>
            </w:r>
          </w:p>
        </w:tc>
        <w:tc>
          <w:tcPr>
            <w:tcW w:w="560" w:type="dxa"/>
            <w:vAlign w:val="bottom"/>
          </w:tcPr>
          <w:p>
            <w:pPr>
              <w:jc w:val="center"/>
              <w:ind w:left="76"/>
              <w:spacing w:after="0"/>
              <w:rPr>
                <w:sz w:val="20"/>
                <w:szCs w:val="20"/>
                <w:color w:val="auto"/>
              </w:rPr>
            </w:pPr>
            <w:r>
              <w:rPr>
                <w:rFonts w:ascii="Arial" w:cs="Arial" w:eastAsia="Arial" w:hAnsi="Arial"/>
                <w:sz w:val="9"/>
                <w:szCs w:val="9"/>
                <w:color w:val="auto"/>
                <w:w w:val="99"/>
              </w:rPr>
              <w:t>2003</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75.2%</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6"/>
              <w:spacing w:after="0"/>
              <w:rPr>
                <w:sz w:val="20"/>
                <w:szCs w:val="20"/>
                <w:color w:val="auto"/>
              </w:rPr>
            </w:pPr>
            <w:r>
              <w:rPr>
                <w:rFonts w:ascii="Arial" w:cs="Arial" w:eastAsia="Arial" w:hAnsi="Arial"/>
                <w:sz w:val="9"/>
                <w:szCs w:val="9"/>
                <w:color w:val="auto"/>
              </w:rPr>
              <w:t>748,210</w:t>
            </w:r>
          </w:p>
        </w:tc>
        <w:tc>
          <w:tcPr>
            <w:tcW w:w="620" w:type="dxa"/>
            <w:vAlign w:val="bottom"/>
          </w:tcPr>
          <w:p>
            <w:pPr>
              <w:jc w:val="right"/>
              <w:ind w:right="116"/>
              <w:spacing w:after="0"/>
              <w:rPr>
                <w:sz w:val="20"/>
                <w:szCs w:val="20"/>
                <w:color w:val="auto"/>
              </w:rPr>
            </w:pPr>
            <w:r>
              <w:rPr>
                <w:rFonts w:ascii="Arial" w:cs="Arial" w:eastAsia="Arial" w:hAnsi="Arial"/>
                <w:sz w:val="9"/>
                <w:szCs w:val="9"/>
                <w:color w:val="auto"/>
              </w:rPr>
              <w:t>51,808</w:t>
            </w:r>
          </w:p>
        </w:tc>
        <w:tc>
          <w:tcPr>
            <w:tcW w:w="500" w:type="dxa"/>
            <w:vAlign w:val="bottom"/>
          </w:tcPr>
          <w:p>
            <w:pPr>
              <w:jc w:val="right"/>
              <w:ind w:right="56"/>
              <w:spacing w:after="0"/>
              <w:rPr>
                <w:sz w:val="20"/>
                <w:szCs w:val="20"/>
                <w:color w:val="auto"/>
              </w:rPr>
            </w:pPr>
            <w:r>
              <w:rPr>
                <w:rFonts w:ascii="Arial" w:cs="Arial" w:eastAsia="Arial" w:hAnsi="Arial"/>
                <w:sz w:val="9"/>
                <w:szCs w:val="9"/>
                <w:color w:val="auto"/>
              </w:rPr>
              <w:t>800,018</w:t>
            </w:r>
          </w:p>
        </w:tc>
        <w:tc>
          <w:tcPr>
            <w:tcW w:w="200" w:type="dxa"/>
            <w:vAlign w:val="bottom"/>
          </w:tcPr>
          <w:p>
            <w:pPr>
              <w:spacing w:after="0"/>
              <w:rPr>
                <w:sz w:val="9"/>
                <w:szCs w:val="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94.1%</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91.9%</w:t>
            </w:r>
          </w:p>
        </w:tc>
        <w:tc>
          <w:tcPr>
            <w:tcW w:w="500" w:type="dxa"/>
            <w:vAlign w:val="bottom"/>
          </w:tcPr>
          <w:p>
            <w:pPr>
              <w:jc w:val="right"/>
              <w:spacing w:after="0"/>
              <w:rPr>
                <w:sz w:val="20"/>
                <w:szCs w:val="20"/>
                <w:color w:val="auto"/>
              </w:rPr>
            </w:pPr>
            <w:r>
              <w:rPr>
                <w:rFonts w:ascii="Arial" w:cs="Arial" w:eastAsia="Arial" w:hAnsi="Arial"/>
                <w:sz w:val="9"/>
                <w:szCs w:val="9"/>
                <w:color w:val="auto"/>
              </w:rPr>
              <w:t>94.0%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94.0%</w:t>
            </w:r>
          </w:p>
        </w:tc>
        <w:tc>
          <w:tcPr>
            <w:tcW w:w="200" w:type="dxa"/>
            <w:vAlign w:val="bottom"/>
          </w:tcPr>
          <w:p>
            <w:pPr>
              <w:spacing w:after="0"/>
              <w:rPr>
                <w:sz w:val="9"/>
                <w:szCs w:val="9"/>
                <w:color w:val="auto"/>
              </w:rPr>
            </w:pPr>
          </w:p>
        </w:tc>
        <w:tc>
          <w:tcPr>
            <w:tcW w:w="660" w:type="dxa"/>
            <w:vAlign w:val="bottom"/>
          </w:tcPr>
          <w:p>
            <w:pPr>
              <w:jc w:val="right"/>
              <w:ind w:right="117"/>
              <w:spacing w:after="0"/>
              <w:rPr>
                <w:sz w:val="20"/>
                <w:szCs w:val="20"/>
                <w:color w:val="auto"/>
              </w:rPr>
            </w:pPr>
            <w:r>
              <w:rPr>
                <w:rFonts w:ascii="Arial" w:cs="Arial" w:eastAsia="Arial" w:hAnsi="Arial"/>
                <w:sz w:val="9"/>
                <w:szCs w:val="9"/>
                <w:color w:val="auto"/>
              </w:rPr>
              <w:t>12,732,948</w:t>
            </w:r>
          </w:p>
        </w:tc>
        <w:tc>
          <w:tcPr>
            <w:tcW w:w="140" w:type="dxa"/>
            <w:vAlign w:val="bottom"/>
          </w:tcPr>
          <w:p>
            <w:pPr>
              <w:spacing w:after="0"/>
              <w:rPr>
                <w:sz w:val="9"/>
                <w:szCs w:val="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15.92</w:t>
            </w:r>
          </w:p>
        </w:tc>
      </w:tr>
      <w:tr>
        <w:trPr>
          <w:trHeight w:val="219"/>
        </w:trPr>
        <w:tc>
          <w:tcPr>
            <w:tcW w:w="1540" w:type="dxa"/>
            <w:vAlign w:val="bottom"/>
            <w:gridSpan w:val="3"/>
          </w:tcPr>
          <w:p>
            <w:pPr>
              <w:ind w:left="20"/>
              <w:spacing w:after="0"/>
              <w:rPr>
                <w:sz w:val="20"/>
                <w:szCs w:val="20"/>
                <w:color w:val="auto"/>
              </w:rPr>
            </w:pPr>
            <w:r>
              <w:rPr>
                <w:rFonts w:ascii="Arial" w:cs="Arial" w:eastAsia="Arial" w:hAnsi="Arial"/>
                <w:sz w:val="9"/>
                <w:szCs w:val="9"/>
                <w:color w:val="auto"/>
              </w:rPr>
              <w:t>Market Square Shopping Center</w:t>
            </w:r>
          </w:p>
        </w:tc>
        <w:tc>
          <w:tcPr>
            <w:tcW w:w="1820" w:type="dxa"/>
            <w:vAlign w:val="bottom"/>
          </w:tcPr>
          <w:p>
            <w:pPr>
              <w:ind w:left="60"/>
              <w:spacing w:after="0"/>
              <w:rPr>
                <w:sz w:val="20"/>
                <w:szCs w:val="20"/>
                <w:color w:val="auto"/>
              </w:rPr>
            </w:pPr>
            <w:r>
              <w:rPr>
                <w:rFonts w:ascii="Arial" w:cs="Arial" w:eastAsia="Arial" w:hAnsi="Arial"/>
                <w:sz w:val="9"/>
                <w:szCs w:val="9"/>
                <w:color w:val="auto"/>
              </w:rPr>
              <w:t>Trader Joe's, TJ Maxx</w:t>
            </w:r>
          </w:p>
        </w:tc>
        <w:tc>
          <w:tcPr>
            <w:tcW w:w="560" w:type="dxa"/>
            <w:vAlign w:val="bottom"/>
          </w:tcPr>
          <w:p>
            <w:pPr>
              <w:jc w:val="center"/>
              <w:ind w:left="76"/>
              <w:spacing w:after="0"/>
              <w:rPr>
                <w:sz w:val="20"/>
                <w:szCs w:val="20"/>
                <w:color w:val="auto"/>
              </w:rPr>
            </w:pPr>
            <w:r>
              <w:rPr>
                <w:rFonts w:ascii="Arial" w:cs="Arial" w:eastAsia="Arial" w:hAnsi="Arial"/>
                <w:sz w:val="9"/>
                <w:szCs w:val="9"/>
                <w:color w:val="auto"/>
                <w:w w:val="99"/>
              </w:rPr>
              <w:t>2003</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6"/>
              <w:spacing w:after="0"/>
              <w:rPr>
                <w:sz w:val="20"/>
                <w:szCs w:val="20"/>
                <w:color w:val="auto"/>
              </w:rPr>
            </w:pPr>
            <w:r>
              <w:rPr>
                <w:rFonts w:ascii="Arial" w:cs="Arial" w:eastAsia="Arial" w:hAnsi="Arial"/>
                <w:sz w:val="9"/>
                <w:szCs w:val="9"/>
                <w:color w:val="auto"/>
              </w:rPr>
              <w:t>42,850</w:t>
            </w:r>
          </w:p>
        </w:tc>
        <w:tc>
          <w:tcPr>
            <w:tcW w:w="620" w:type="dxa"/>
            <w:vAlign w:val="bottom"/>
          </w:tcPr>
          <w:p>
            <w:pPr>
              <w:jc w:val="right"/>
              <w:ind w:right="116"/>
              <w:spacing w:after="0"/>
              <w:rPr>
                <w:sz w:val="20"/>
                <w:szCs w:val="20"/>
                <w:color w:val="auto"/>
              </w:rPr>
            </w:pPr>
            <w:r>
              <w:rPr>
                <w:rFonts w:ascii="Arial" w:cs="Arial" w:eastAsia="Arial" w:hAnsi="Arial"/>
                <w:sz w:val="9"/>
                <w:szCs w:val="9"/>
                <w:color w:val="auto"/>
              </w:rPr>
              <w:t>59,197</w:t>
            </w:r>
          </w:p>
        </w:tc>
        <w:tc>
          <w:tcPr>
            <w:tcW w:w="500" w:type="dxa"/>
            <w:vAlign w:val="bottom"/>
          </w:tcPr>
          <w:p>
            <w:pPr>
              <w:jc w:val="right"/>
              <w:ind w:right="56"/>
              <w:spacing w:after="0"/>
              <w:rPr>
                <w:sz w:val="20"/>
                <w:szCs w:val="20"/>
                <w:color w:val="auto"/>
              </w:rPr>
            </w:pPr>
            <w:r>
              <w:rPr>
                <w:rFonts w:ascii="Arial" w:cs="Arial" w:eastAsia="Arial" w:hAnsi="Arial"/>
                <w:sz w:val="9"/>
                <w:szCs w:val="9"/>
                <w:color w:val="auto"/>
              </w:rPr>
              <w:t>102,047</w:t>
            </w:r>
          </w:p>
        </w:tc>
        <w:tc>
          <w:tcPr>
            <w:tcW w:w="20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9"/>
                <w:szCs w:val="19"/>
                <w:color w:val="auto"/>
              </w:rPr>
            </w:pPr>
          </w:p>
        </w:tc>
        <w:tc>
          <w:tcPr>
            <w:tcW w:w="660" w:type="dxa"/>
            <w:vAlign w:val="bottom"/>
          </w:tcPr>
          <w:p>
            <w:pPr>
              <w:jc w:val="right"/>
              <w:ind w:right="117"/>
              <w:spacing w:after="0"/>
              <w:rPr>
                <w:sz w:val="20"/>
                <w:szCs w:val="20"/>
                <w:color w:val="auto"/>
              </w:rPr>
            </w:pPr>
            <w:r>
              <w:rPr>
                <w:rFonts w:ascii="Arial" w:cs="Arial" w:eastAsia="Arial" w:hAnsi="Arial"/>
                <w:sz w:val="9"/>
                <w:szCs w:val="9"/>
                <w:color w:val="auto"/>
              </w:rPr>
              <w:t>3,039,722</w:t>
            </w:r>
          </w:p>
        </w:tc>
        <w:tc>
          <w:tcPr>
            <w:tcW w:w="14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29.79</w:t>
            </w:r>
          </w:p>
        </w:tc>
      </w:tr>
      <w:tr>
        <w:trPr>
          <w:trHeight w:val="219"/>
        </w:trPr>
        <w:tc>
          <w:tcPr>
            <w:tcW w:w="1540" w:type="dxa"/>
            <w:vAlign w:val="bottom"/>
            <w:gridSpan w:val="3"/>
          </w:tcPr>
          <w:p>
            <w:pPr>
              <w:ind w:left="20"/>
              <w:spacing w:after="0"/>
              <w:rPr>
                <w:sz w:val="20"/>
                <w:szCs w:val="20"/>
                <w:color w:val="auto"/>
              </w:rPr>
            </w:pPr>
            <w:r>
              <w:rPr>
                <w:rFonts w:ascii="Arial" w:cs="Arial" w:eastAsia="Arial" w:hAnsi="Arial"/>
                <w:sz w:val="9"/>
                <w:szCs w:val="9"/>
                <w:color w:val="auto"/>
              </w:rPr>
              <w:t>Naamans Road</w:t>
            </w:r>
          </w:p>
        </w:tc>
        <w:tc>
          <w:tcPr>
            <w:tcW w:w="1820" w:type="dxa"/>
            <w:vAlign w:val="bottom"/>
          </w:tcPr>
          <w:p>
            <w:pPr>
              <w:ind w:left="60"/>
              <w:spacing w:after="0"/>
              <w:rPr>
                <w:sz w:val="20"/>
                <w:szCs w:val="20"/>
                <w:color w:val="auto"/>
              </w:rPr>
            </w:pPr>
            <w:r>
              <w:rPr>
                <w:rFonts w:ascii="Arial" w:cs="Arial" w:eastAsia="Arial" w:hAnsi="Arial"/>
                <w:sz w:val="9"/>
                <w:szCs w:val="9"/>
                <w:color w:val="auto"/>
              </w:rPr>
              <w:t>—</w:t>
            </w:r>
          </w:p>
        </w:tc>
        <w:tc>
          <w:tcPr>
            <w:tcW w:w="560" w:type="dxa"/>
            <w:vAlign w:val="bottom"/>
          </w:tcPr>
          <w:p>
            <w:pPr>
              <w:jc w:val="center"/>
              <w:ind w:left="76"/>
              <w:spacing w:after="0"/>
              <w:rPr>
                <w:sz w:val="20"/>
                <w:szCs w:val="20"/>
                <w:color w:val="auto"/>
              </w:rPr>
            </w:pPr>
            <w:r>
              <w:rPr>
                <w:rFonts w:ascii="Arial" w:cs="Arial" w:eastAsia="Arial" w:hAnsi="Arial"/>
                <w:sz w:val="9"/>
                <w:szCs w:val="9"/>
                <w:color w:val="auto"/>
                <w:w w:val="99"/>
              </w:rPr>
              <w:t>2006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16"/>
              <w:spacing w:after="0"/>
              <w:rPr>
                <w:sz w:val="20"/>
                <w:szCs w:val="20"/>
                <w:color w:val="auto"/>
              </w:rPr>
            </w:pPr>
            <w:r>
              <w:rPr>
                <w:rFonts w:ascii="Arial" w:cs="Arial" w:eastAsia="Arial" w:hAnsi="Arial"/>
                <w:sz w:val="9"/>
                <w:szCs w:val="9"/>
                <w:color w:val="auto"/>
              </w:rPr>
              <w:t>19,850</w:t>
            </w:r>
          </w:p>
        </w:tc>
        <w:tc>
          <w:tcPr>
            <w:tcW w:w="500" w:type="dxa"/>
            <w:vAlign w:val="bottom"/>
          </w:tcPr>
          <w:p>
            <w:pPr>
              <w:jc w:val="right"/>
              <w:ind w:right="56"/>
              <w:spacing w:after="0"/>
              <w:rPr>
                <w:sz w:val="20"/>
                <w:szCs w:val="20"/>
                <w:color w:val="auto"/>
              </w:rPr>
            </w:pPr>
            <w:r>
              <w:rPr>
                <w:rFonts w:ascii="Arial" w:cs="Arial" w:eastAsia="Arial" w:hAnsi="Arial"/>
                <w:sz w:val="9"/>
                <w:szCs w:val="9"/>
                <w:color w:val="auto"/>
              </w:rPr>
              <w:t>19,850</w:t>
            </w:r>
          </w:p>
        </w:tc>
        <w:tc>
          <w:tcPr>
            <w:tcW w:w="20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30.1%</w:t>
            </w:r>
          </w:p>
        </w:tc>
        <w:tc>
          <w:tcPr>
            <w:tcW w:w="500" w:type="dxa"/>
            <w:vAlign w:val="bottom"/>
          </w:tcPr>
          <w:p>
            <w:pPr>
              <w:jc w:val="right"/>
              <w:spacing w:after="0"/>
              <w:rPr>
                <w:sz w:val="20"/>
                <w:szCs w:val="20"/>
                <w:color w:val="auto"/>
              </w:rPr>
            </w:pPr>
            <w:r>
              <w:rPr>
                <w:rFonts w:ascii="Arial" w:cs="Arial" w:eastAsia="Arial" w:hAnsi="Arial"/>
                <w:sz w:val="9"/>
                <w:szCs w:val="9"/>
                <w:color w:val="auto"/>
              </w:rPr>
              <w:t>30.1%</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63.9%</w:t>
            </w:r>
          </w:p>
        </w:tc>
        <w:tc>
          <w:tcPr>
            <w:tcW w:w="200" w:type="dxa"/>
            <w:vAlign w:val="bottom"/>
          </w:tcPr>
          <w:p>
            <w:pPr>
              <w:spacing w:after="0"/>
              <w:rPr>
                <w:sz w:val="19"/>
                <w:szCs w:val="19"/>
                <w:color w:val="auto"/>
              </w:rPr>
            </w:pPr>
          </w:p>
        </w:tc>
        <w:tc>
          <w:tcPr>
            <w:tcW w:w="660" w:type="dxa"/>
            <w:vAlign w:val="bottom"/>
          </w:tcPr>
          <w:p>
            <w:pPr>
              <w:jc w:val="right"/>
              <w:ind w:right="117"/>
              <w:spacing w:after="0"/>
              <w:rPr>
                <w:sz w:val="20"/>
                <w:szCs w:val="20"/>
                <w:color w:val="auto"/>
              </w:rPr>
            </w:pPr>
            <w:r>
              <w:rPr>
                <w:rFonts w:ascii="Arial" w:cs="Arial" w:eastAsia="Arial" w:hAnsi="Arial"/>
                <w:sz w:val="9"/>
                <w:szCs w:val="9"/>
                <w:color w:val="auto"/>
              </w:rPr>
              <w:t>433,785</w:t>
            </w:r>
          </w:p>
        </w:tc>
        <w:tc>
          <w:tcPr>
            <w:tcW w:w="14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72.60</w:t>
            </w:r>
          </w:p>
        </w:tc>
      </w:tr>
      <w:tr>
        <w:trPr>
          <w:trHeight w:val="302"/>
        </w:trPr>
        <w:tc>
          <w:tcPr>
            <w:tcW w:w="1540" w:type="dxa"/>
            <w:vAlign w:val="bottom"/>
            <w:gridSpan w:val="3"/>
          </w:tcPr>
          <w:p>
            <w:pPr>
              <w:ind w:left="20"/>
              <w:spacing w:after="0"/>
              <w:rPr>
                <w:sz w:val="20"/>
                <w:szCs w:val="20"/>
                <w:color w:val="auto"/>
              </w:rPr>
            </w:pPr>
            <w:r>
              <w:rPr>
                <w:rFonts w:ascii="Arial" w:cs="Arial" w:eastAsia="Arial" w:hAnsi="Arial"/>
                <w:sz w:val="9"/>
                <w:szCs w:val="9"/>
                <w:b w:val="1"/>
                <w:bCs w:val="1"/>
                <w:color w:val="auto"/>
              </w:rPr>
              <w:t>Pennsylvania</w:t>
            </w: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4"/>
        </w:trPr>
        <w:tc>
          <w:tcPr>
            <w:tcW w:w="580" w:type="dxa"/>
            <w:vAlign w:val="bottom"/>
            <w:tcBorders>
              <w:top w:val="single" w:sz="8" w:color="auto"/>
            </w:tcBorders>
            <w:gridSpan w:val="2"/>
          </w:tcPr>
          <w:p>
            <w:pPr>
              <w:ind w:left="20"/>
              <w:spacing w:after="0"/>
              <w:rPr>
                <w:sz w:val="20"/>
                <w:szCs w:val="20"/>
                <w:color w:val="auto"/>
              </w:rPr>
            </w:pPr>
            <w:r>
              <w:rPr>
                <w:rFonts w:ascii="Arial" w:cs="Arial" w:eastAsia="Arial" w:hAnsi="Arial"/>
                <w:sz w:val="9"/>
                <w:szCs w:val="9"/>
                <w:color w:val="auto"/>
              </w:rPr>
              <w:t>Mark Plaza</w:t>
            </w:r>
          </w:p>
        </w:tc>
        <w:tc>
          <w:tcPr>
            <w:tcW w:w="96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9"/>
                <w:szCs w:val="9"/>
                <w:color w:val="auto"/>
              </w:rPr>
              <w:t>Kmart</w:t>
            </w:r>
          </w:p>
        </w:tc>
        <w:tc>
          <w:tcPr>
            <w:tcW w:w="560" w:type="dxa"/>
            <w:vAlign w:val="bottom"/>
          </w:tcPr>
          <w:p>
            <w:pPr>
              <w:jc w:val="center"/>
              <w:ind w:left="76"/>
              <w:spacing w:after="0"/>
              <w:rPr>
                <w:sz w:val="20"/>
                <w:szCs w:val="20"/>
                <w:color w:val="auto"/>
              </w:rPr>
            </w:pPr>
            <w:r>
              <w:rPr>
                <w:rFonts w:ascii="Arial" w:cs="Arial" w:eastAsia="Arial" w:hAnsi="Arial"/>
                <w:sz w:val="9"/>
                <w:szCs w:val="9"/>
                <w:color w:val="auto"/>
                <w:w w:val="99"/>
              </w:rPr>
              <w:t>1993</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6"/>
              <w:spacing w:after="0"/>
              <w:rPr>
                <w:sz w:val="20"/>
                <w:szCs w:val="20"/>
                <w:color w:val="auto"/>
              </w:rPr>
            </w:pPr>
            <w:r>
              <w:rPr>
                <w:rFonts w:ascii="Arial" w:cs="Arial" w:eastAsia="Arial" w:hAnsi="Arial"/>
                <w:sz w:val="9"/>
                <w:szCs w:val="9"/>
                <w:color w:val="auto"/>
              </w:rPr>
              <w:t>104,956</w:t>
            </w:r>
          </w:p>
        </w:tc>
        <w:tc>
          <w:tcPr>
            <w:tcW w:w="620" w:type="dxa"/>
            <w:vAlign w:val="bottom"/>
          </w:tcPr>
          <w:p>
            <w:pPr>
              <w:jc w:val="right"/>
              <w:ind w:right="116"/>
              <w:spacing w:after="0"/>
              <w:rPr>
                <w:sz w:val="20"/>
                <w:szCs w:val="20"/>
                <w:color w:val="auto"/>
              </w:rPr>
            </w:pPr>
            <w:r>
              <w:rPr>
                <w:rFonts w:ascii="Arial" w:cs="Arial" w:eastAsia="Arial" w:hAnsi="Arial"/>
                <w:sz w:val="9"/>
                <w:szCs w:val="9"/>
                <w:color w:val="auto"/>
              </w:rPr>
              <w:t>1,900</w:t>
            </w:r>
          </w:p>
        </w:tc>
        <w:tc>
          <w:tcPr>
            <w:tcW w:w="500" w:type="dxa"/>
            <w:vAlign w:val="bottom"/>
          </w:tcPr>
          <w:p>
            <w:pPr>
              <w:jc w:val="right"/>
              <w:ind w:right="56"/>
              <w:spacing w:after="0"/>
              <w:rPr>
                <w:sz w:val="20"/>
                <w:szCs w:val="20"/>
                <w:color w:val="auto"/>
              </w:rPr>
            </w:pPr>
            <w:r>
              <w:rPr>
                <w:rFonts w:ascii="Arial" w:cs="Arial" w:eastAsia="Arial" w:hAnsi="Arial"/>
                <w:sz w:val="9"/>
                <w:szCs w:val="9"/>
                <w:color w:val="auto"/>
              </w:rPr>
              <w:t>106,856</w:t>
            </w:r>
          </w:p>
        </w:tc>
        <w:tc>
          <w:tcPr>
            <w:tcW w:w="200" w:type="dxa"/>
            <w:vAlign w:val="bottom"/>
          </w:tcPr>
          <w:p>
            <w:pPr>
              <w:spacing w:after="0"/>
              <w:rPr>
                <w:sz w:val="18"/>
                <w:szCs w:val="18"/>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8"/>
                <w:szCs w:val="18"/>
                <w:color w:val="auto"/>
              </w:rPr>
            </w:pPr>
          </w:p>
        </w:tc>
        <w:tc>
          <w:tcPr>
            <w:tcW w:w="660" w:type="dxa"/>
            <w:vAlign w:val="bottom"/>
          </w:tcPr>
          <w:p>
            <w:pPr>
              <w:jc w:val="right"/>
              <w:ind w:right="117"/>
              <w:spacing w:after="0"/>
              <w:rPr>
                <w:sz w:val="20"/>
                <w:szCs w:val="20"/>
                <w:color w:val="auto"/>
              </w:rPr>
            </w:pPr>
            <w:r>
              <w:rPr>
                <w:rFonts w:ascii="Arial" w:cs="Arial" w:eastAsia="Arial" w:hAnsi="Arial"/>
                <w:sz w:val="9"/>
                <w:szCs w:val="9"/>
                <w:color w:val="auto"/>
              </w:rPr>
              <w:t>244,279</w:t>
            </w:r>
          </w:p>
        </w:tc>
        <w:tc>
          <w:tcPr>
            <w:tcW w:w="140" w:type="dxa"/>
            <w:vAlign w:val="bottom"/>
          </w:tcPr>
          <w:p>
            <w:pPr>
              <w:spacing w:after="0"/>
              <w:rPr>
                <w:sz w:val="18"/>
                <w:szCs w:val="18"/>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2.29</w:t>
            </w:r>
          </w:p>
        </w:tc>
      </w:tr>
      <w:tr>
        <w:trPr>
          <w:trHeight w:val="219"/>
        </w:trPr>
        <w:tc>
          <w:tcPr>
            <w:tcW w:w="1540" w:type="dxa"/>
            <w:vAlign w:val="bottom"/>
            <w:gridSpan w:val="3"/>
          </w:tcPr>
          <w:p>
            <w:pPr>
              <w:ind w:left="20"/>
              <w:spacing w:after="0"/>
              <w:rPr>
                <w:sz w:val="20"/>
                <w:szCs w:val="20"/>
                <w:color w:val="auto"/>
              </w:rPr>
            </w:pPr>
            <w:r>
              <w:rPr>
                <w:rFonts w:ascii="Arial" w:cs="Arial" w:eastAsia="Arial" w:hAnsi="Arial"/>
                <w:sz w:val="9"/>
                <w:szCs w:val="9"/>
                <w:color w:val="auto"/>
              </w:rPr>
              <w:t>Plaza 422</w:t>
            </w:r>
          </w:p>
        </w:tc>
        <w:tc>
          <w:tcPr>
            <w:tcW w:w="1820" w:type="dxa"/>
            <w:vAlign w:val="bottom"/>
          </w:tcPr>
          <w:p>
            <w:pPr>
              <w:ind w:left="60"/>
              <w:spacing w:after="0"/>
              <w:rPr>
                <w:sz w:val="20"/>
                <w:szCs w:val="20"/>
                <w:color w:val="auto"/>
              </w:rPr>
            </w:pPr>
            <w:r>
              <w:rPr>
                <w:rFonts w:ascii="Arial" w:cs="Arial" w:eastAsia="Arial" w:hAnsi="Arial"/>
                <w:sz w:val="9"/>
                <w:szCs w:val="9"/>
                <w:color w:val="auto"/>
              </w:rPr>
              <w:t>Home Depot</w:t>
            </w:r>
          </w:p>
        </w:tc>
        <w:tc>
          <w:tcPr>
            <w:tcW w:w="560" w:type="dxa"/>
            <w:vAlign w:val="bottom"/>
          </w:tcPr>
          <w:p>
            <w:pPr>
              <w:jc w:val="center"/>
              <w:ind w:left="76"/>
              <w:spacing w:after="0"/>
              <w:rPr>
                <w:sz w:val="20"/>
                <w:szCs w:val="20"/>
                <w:color w:val="auto"/>
              </w:rPr>
            </w:pPr>
            <w:r>
              <w:rPr>
                <w:rFonts w:ascii="Arial" w:cs="Arial" w:eastAsia="Arial" w:hAnsi="Arial"/>
                <w:sz w:val="9"/>
                <w:szCs w:val="9"/>
                <w:color w:val="auto"/>
                <w:w w:val="99"/>
              </w:rPr>
              <w:t>1993</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6"/>
              <w:spacing w:after="0"/>
              <w:rPr>
                <w:sz w:val="20"/>
                <w:szCs w:val="20"/>
                <w:color w:val="auto"/>
              </w:rPr>
            </w:pPr>
            <w:r>
              <w:rPr>
                <w:rFonts w:ascii="Arial" w:cs="Arial" w:eastAsia="Arial" w:hAnsi="Arial"/>
                <w:sz w:val="9"/>
                <w:szCs w:val="9"/>
                <w:color w:val="auto"/>
              </w:rPr>
              <w:t>139,968</w:t>
            </w:r>
          </w:p>
        </w:tc>
        <w:tc>
          <w:tcPr>
            <w:tcW w:w="620" w:type="dxa"/>
            <w:vAlign w:val="bottom"/>
          </w:tcPr>
          <w:p>
            <w:pPr>
              <w:jc w:val="right"/>
              <w:ind w:right="116"/>
              <w:spacing w:after="0"/>
              <w:rPr>
                <w:sz w:val="20"/>
                <w:szCs w:val="20"/>
                <w:color w:val="auto"/>
              </w:rPr>
            </w:pPr>
            <w:r>
              <w:rPr>
                <w:rFonts w:ascii="Arial" w:cs="Arial" w:eastAsia="Arial" w:hAnsi="Arial"/>
                <w:sz w:val="9"/>
                <w:szCs w:val="9"/>
                <w:color w:val="auto"/>
              </w:rPr>
              <w:t>16,311</w:t>
            </w:r>
          </w:p>
        </w:tc>
        <w:tc>
          <w:tcPr>
            <w:tcW w:w="500" w:type="dxa"/>
            <w:vAlign w:val="bottom"/>
          </w:tcPr>
          <w:p>
            <w:pPr>
              <w:jc w:val="right"/>
              <w:ind w:right="56"/>
              <w:spacing w:after="0"/>
              <w:rPr>
                <w:sz w:val="20"/>
                <w:szCs w:val="20"/>
                <w:color w:val="auto"/>
              </w:rPr>
            </w:pPr>
            <w:r>
              <w:rPr>
                <w:rFonts w:ascii="Arial" w:cs="Arial" w:eastAsia="Arial" w:hAnsi="Arial"/>
                <w:sz w:val="9"/>
                <w:szCs w:val="9"/>
                <w:color w:val="auto"/>
              </w:rPr>
              <w:t>156,279</w:t>
            </w:r>
          </w:p>
        </w:tc>
        <w:tc>
          <w:tcPr>
            <w:tcW w:w="20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9"/>
                <w:szCs w:val="19"/>
                <w:color w:val="auto"/>
              </w:rPr>
            </w:pPr>
          </w:p>
        </w:tc>
        <w:tc>
          <w:tcPr>
            <w:tcW w:w="660" w:type="dxa"/>
            <w:vAlign w:val="bottom"/>
          </w:tcPr>
          <w:p>
            <w:pPr>
              <w:jc w:val="right"/>
              <w:ind w:right="117"/>
              <w:spacing w:after="0"/>
              <w:rPr>
                <w:sz w:val="20"/>
                <w:szCs w:val="20"/>
                <w:color w:val="auto"/>
              </w:rPr>
            </w:pPr>
            <w:r>
              <w:rPr>
                <w:rFonts w:ascii="Arial" w:cs="Arial" w:eastAsia="Arial" w:hAnsi="Arial"/>
                <w:sz w:val="9"/>
                <w:szCs w:val="9"/>
                <w:color w:val="auto"/>
              </w:rPr>
              <w:t>850,978</w:t>
            </w:r>
          </w:p>
        </w:tc>
        <w:tc>
          <w:tcPr>
            <w:tcW w:w="14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5.45</w:t>
            </w:r>
          </w:p>
        </w:tc>
      </w:tr>
      <w:tr>
        <w:trPr>
          <w:trHeight w:val="219"/>
        </w:trPr>
        <w:tc>
          <w:tcPr>
            <w:tcW w:w="1540" w:type="dxa"/>
            <w:vAlign w:val="bottom"/>
            <w:gridSpan w:val="3"/>
          </w:tcPr>
          <w:p>
            <w:pPr>
              <w:ind w:left="20"/>
              <w:spacing w:after="0"/>
              <w:rPr>
                <w:sz w:val="20"/>
                <w:szCs w:val="20"/>
                <w:color w:val="auto"/>
              </w:rPr>
            </w:pPr>
            <w:r>
              <w:rPr>
                <w:rFonts w:ascii="Arial" w:cs="Arial" w:eastAsia="Arial" w:hAnsi="Arial"/>
                <w:sz w:val="9"/>
                <w:szCs w:val="9"/>
                <w:color w:val="auto"/>
              </w:rPr>
              <w:t>Route 6 Plaza</w:t>
            </w:r>
          </w:p>
        </w:tc>
        <w:tc>
          <w:tcPr>
            <w:tcW w:w="1820" w:type="dxa"/>
            <w:vAlign w:val="bottom"/>
          </w:tcPr>
          <w:p>
            <w:pPr>
              <w:ind w:left="60"/>
              <w:spacing w:after="0"/>
              <w:rPr>
                <w:sz w:val="20"/>
                <w:szCs w:val="20"/>
                <w:color w:val="auto"/>
              </w:rPr>
            </w:pPr>
            <w:r>
              <w:rPr>
                <w:rFonts w:ascii="Arial" w:cs="Arial" w:eastAsia="Arial" w:hAnsi="Arial"/>
                <w:sz w:val="9"/>
                <w:szCs w:val="9"/>
                <w:color w:val="auto"/>
              </w:rPr>
              <w:t>Kmart</w:t>
            </w:r>
          </w:p>
        </w:tc>
        <w:tc>
          <w:tcPr>
            <w:tcW w:w="560" w:type="dxa"/>
            <w:vAlign w:val="bottom"/>
          </w:tcPr>
          <w:p>
            <w:pPr>
              <w:jc w:val="center"/>
              <w:ind w:left="76"/>
              <w:spacing w:after="0"/>
              <w:rPr>
                <w:sz w:val="20"/>
                <w:szCs w:val="20"/>
                <w:color w:val="auto"/>
              </w:rPr>
            </w:pPr>
            <w:r>
              <w:rPr>
                <w:rFonts w:ascii="Arial" w:cs="Arial" w:eastAsia="Arial" w:hAnsi="Arial"/>
                <w:sz w:val="9"/>
                <w:szCs w:val="9"/>
                <w:color w:val="auto"/>
                <w:w w:val="99"/>
              </w:rPr>
              <w:t>1994</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6"/>
              <w:spacing w:after="0"/>
              <w:rPr>
                <w:sz w:val="20"/>
                <w:szCs w:val="20"/>
                <w:color w:val="auto"/>
              </w:rPr>
            </w:pPr>
            <w:r>
              <w:rPr>
                <w:rFonts w:ascii="Arial" w:cs="Arial" w:eastAsia="Arial" w:hAnsi="Arial"/>
                <w:sz w:val="9"/>
                <w:szCs w:val="9"/>
                <w:color w:val="auto"/>
              </w:rPr>
              <w:t>146,568</w:t>
            </w:r>
          </w:p>
        </w:tc>
        <w:tc>
          <w:tcPr>
            <w:tcW w:w="620" w:type="dxa"/>
            <w:vAlign w:val="bottom"/>
          </w:tcPr>
          <w:p>
            <w:pPr>
              <w:jc w:val="right"/>
              <w:ind w:right="116"/>
              <w:spacing w:after="0"/>
              <w:rPr>
                <w:sz w:val="20"/>
                <w:szCs w:val="20"/>
                <w:color w:val="auto"/>
              </w:rPr>
            </w:pPr>
            <w:r>
              <w:rPr>
                <w:rFonts w:ascii="Arial" w:cs="Arial" w:eastAsia="Arial" w:hAnsi="Arial"/>
                <w:sz w:val="9"/>
                <w:szCs w:val="9"/>
                <w:color w:val="auto"/>
              </w:rPr>
              <w:t>29,021</w:t>
            </w:r>
          </w:p>
        </w:tc>
        <w:tc>
          <w:tcPr>
            <w:tcW w:w="500" w:type="dxa"/>
            <w:vAlign w:val="bottom"/>
          </w:tcPr>
          <w:p>
            <w:pPr>
              <w:jc w:val="right"/>
              <w:ind w:right="56"/>
              <w:spacing w:after="0"/>
              <w:rPr>
                <w:sz w:val="20"/>
                <w:szCs w:val="20"/>
                <w:color w:val="auto"/>
              </w:rPr>
            </w:pPr>
            <w:r>
              <w:rPr>
                <w:rFonts w:ascii="Arial" w:cs="Arial" w:eastAsia="Arial" w:hAnsi="Arial"/>
                <w:sz w:val="9"/>
                <w:szCs w:val="9"/>
                <w:color w:val="auto"/>
              </w:rPr>
              <w:t>175,589</w:t>
            </w:r>
          </w:p>
        </w:tc>
        <w:tc>
          <w:tcPr>
            <w:tcW w:w="20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9"/>
                <w:szCs w:val="19"/>
                <w:color w:val="auto"/>
              </w:rPr>
            </w:pPr>
          </w:p>
        </w:tc>
        <w:tc>
          <w:tcPr>
            <w:tcW w:w="660" w:type="dxa"/>
            <w:vAlign w:val="bottom"/>
          </w:tcPr>
          <w:p>
            <w:pPr>
              <w:jc w:val="right"/>
              <w:ind w:right="117"/>
              <w:spacing w:after="0"/>
              <w:rPr>
                <w:sz w:val="20"/>
                <w:szCs w:val="20"/>
                <w:color w:val="auto"/>
              </w:rPr>
            </w:pPr>
            <w:r>
              <w:rPr>
                <w:rFonts w:ascii="Arial" w:cs="Arial" w:eastAsia="Arial" w:hAnsi="Arial"/>
                <w:sz w:val="9"/>
                <w:szCs w:val="9"/>
                <w:color w:val="auto"/>
              </w:rPr>
              <w:t>1,327,687</w:t>
            </w:r>
          </w:p>
        </w:tc>
        <w:tc>
          <w:tcPr>
            <w:tcW w:w="14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7.56</w:t>
            </w:r>
          </w:p>
        </w:tc>
      </w:tr>
      <w:tr>
        <w:trPr>
          <w:trHeight w:val="219"/>
        </w:trPr>
        <w:tc>
          <w:tcPr>
            <w:tcW w:w="1540" w:type="dxa"/>
            <w:vAlign w:val="bottom"/>
            <w:gridSpan w:val="3"/>
          </w:tcPr>
          <w:p>
            <w:pPr>
              <w:ind w:left="20"/>
              <w:spacing w:after="0"/>
              <w:rPr>
                <w:sz w:val="20"/>
                <w:szCs w:val="20"/>
                <w:color w:val="auto"/>
              </w:rPr>
            </w:pPr>
            <w:r>
              <w:rPr>
                <w:rFonts w:ascii="Arial" w:cs="Arial" w:eastAsia="Arial" w:hAnsi="Arial"/>
                <w:sz w:val="9"/>
                <w:szCs w:val="9"/>
                <w:color w:val="auto"/>
              </w:rPr>
              <w:t>Chestnut Hill</w:t>
            </w:r>
          </w:p>
        </w:tc>
        <w:tc>
          <w:tcPr>
            <w:tcW w:w="1820" w:type="dxa"/>
            <w:vAlign w:val="bottom"/>
          </w:tcPr>
          <w:p>
            <w:pPr>
              <w:ind w:left="60"/>
              <w:spacing w:after="0"/>
              <w:rPr>
                <w:sz w:val="20"/>
                <w:szCs w:val="20"/>
                <w:color w:val="auto"/>
              </w:rPr>
            </w:pPr>
            <w:r>
              <w:rPr>
                <w:rFonts w:ascii="Arial" w:cs="Arial" w:eastAsia="Arial" w:hAnsi="Arial"/>
                <w:sz w:val="9"/>
                <w:szCs w:val="9"/>
                <w:color w:val="auto"/>
              </w:rPr>
              <w:t>—</w:t>
            </w:r>
          </w:p>
        </w:tc>
        <w:tc>
          <w:tcPr>
            <w:tcW w:w="560" w:type="dxa"/>
            <w:vAlign w:val="bottom"/>
          </w:tcPr>
          <w:p>
            <w:pPr>
              <w:jc w:val="center"/>
              <w:ind w:left="76"/>
              <w:spacing w:after="0"/>
              <w:rPr>
                <w:sz w:val="20"/>
                <w:szCs w:val="20"/>
                <w:color w:val="auto"/>
              </w:rPr>
            </w:pPr>
            <w:r>
              <w:rPr>
                <w:rFonts w:ascii="Arial" w:cs="Arial" w:eastAsia="Arial" w:hAnsi="Arial"/>
                <w:sz w:val="9"/>
                <w:szCs w:val="9"/>
                <w:color w:val="auto"/>
                <w:w w:val="99"/>
              </w:rPr>
              <w:t>2006</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16"/>
              <w:spacing w:after="0"/>
              <w:rPr>
                <w:sz w:val="20"/>
                <w:szCs w:val="20"/>
                <w:color w:val="auto"/>
              </w:rPr>
            </w:pPr>
            <w:r>
              <w:rPr>
                <w:rFonts w:ascii="Arial" w:cs="Arial" w:eastAsia="Arial" w:hAnsi="Arial"/>
                <w:sz w:val="9"/>
                <w:szCs w:val="9"/>
                <w:color w:val="auto"/>
              </w:rPr>
              <w:t>37,646</w:t>
            </w:r>
          </w:p>
        </w:tc>
        <w:tc>
          <w:tcPr>
            <w:tcW w:w="500" w:type="dxa"/>
            <w:vAlign w:val="bottom"/>
          </w:tcPr>
          <w:p>
            <w:pPr>
              <w:jc w:val="right"/>
              <w:ind w:right="56"/>
              <w:spacing w:after="0"/>
              <w:rPr>
                <w:sz w:val="20"/>
                <w:szCs w:val="20"/>
                <w:color w:val="auto"/>
              </w:rPr>
            </w:pPr>
            <w:r>
              <w:rPr>
                <w:rFonts w:ascii="Arial" w:cs="Arial" w:eastAsia="Arial" w:hAnsi="Arial"/>
                <w:sz w:val="9"/>
                <w:szCs w:val="9"/>
                <w:color w:val="auto"/>
              </w:rPr>
              <w:t>37,646</w:t>
            </w:r>
          </w:p>
        </w:tc>
        <w:tc>
          <w:tcPr>
            <w:tcW w:w="20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500" w:type="dxa"/>
            <w:vAlign w:val="bottom"/>
          </w:tcPr>
          <w:p>
            <w:pPr>
              <w:jc w:val="right"/>
              <w:spacing w:after="0"/>
              <w:rPr>
                <w:sz w:val="20"/>
                <w:szCs w:val="20"/>
                <w:color w:val="auto"/>
              </w:rPr>
            </w:pPr>
            <w:r>
              <w:rPr>
                <w:rFonts w:ascii="Arial" w:cs="Arial" w:eastAsia="Arial" w:hAnsi="Arial"/>
                <w:sz w:val="9"/>
                <w:szCs w:val="9"/>
                <w:color w:val="auto"/>
              </w:rPr>
              <w:t>100.0%</w:t>
            </w:r>
          </w:p>
        </w:tc>
        <w:tc>
          <w:tcPr>
            <w:tcW w:w="84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200" w:type="dxa"/>
            <w:vAlign w:val="bottom"/>
          </w:tcPr>
          <w:p>
            <w:pPr>
              <w:spacing w:after="0"/>
              <w:rPr>
                <w:sz w:val="19"/>
                <w:szCs w:val="19"/>
                <w:color w:val="auto"/>
              </w:rPr>
            </w:pPr>
          </w:p>
        </w:tc>
        <w:tc>
          <w:tcPr>
            <w:tcW w:w="660" w:type="dxa"/>
            <w:vAlign w:val="bottom"/>
          </w:tcPr>
          <w:p>
            <w:pPr>
              <w:jc w:val="right"/>
              <w:ind w:right="117"/>
              <w:spacing w:after="0"/>
              <w:rPr>
                <w:sz w:val="20"/>
                <w:szCs w:val="20"/>
                <w:color w:val="auto"/>
              </w:rPr>
            </w:pPr>
            <w:r>
              <w:rPr>
                <w:rFonts w:ascii="Arial" w:cs="Arial" w:eastAsia="Arial" w:hAnsi="Arial"/>
                <w:sz w:val="9"/>
                <w:szCs w:val="9"/>
                <w:color w:val="auto"/>
              </w:rPr>
              <w:t>957,091</w:t>
            </w:r>
          </w:p>
        </w:tc>
        <w:tc>
          <w:tcPr>
            <w:tcW w:w="140" w:type="dxa"/>
            <w:vAlign w:val="bottom"/>
          </w:tcPr>
          <w:p>
            <w:pPr>
              <w:spacing w:after="0"/>
              <w:rPr>
                <w:sz w:val="19"/>
                <w:szCs w:val="19"/>
                <w:color w:val="auto"/>
              </w:rPr>
            </w:pPr>
          </w:p>
        </w:tc>
        <w:tc>
          <w:tcPr>
            <w:tcW w:w="500" w:type="dxa"/>
            <w:vAlign w:val="bottom"/>
          </w:tcPr>
          <w:p>
            <w:pPr>
              <w:jc w:val="right"/>
              <w:ind w:right="76"/>
              <w:spacing w:after="0"/>
              <w:rPr>
                <w:sz w:val="20"/>
                <w:szCs w:val="20"/>
                <w:color w:val="auto"/>
              </w:rPr>
            </w:pPr>
            <w:r>
              <w:rPr>
                <w:rFonts w:ascii="Arial" w:cs="Arial" w:eastAsia="Arial" w:hAnsi="Arial"/>
                <w:sz w:val="9"/>
                <w:szCs w:val="9"/>
                <w:color w:val="auto"/>
              </w:rPr>
              <w:t>25.42</w:t>
            </w:r>
          </w:p>
        </w:tc>
      </w:tr>
      <w:tr>
        <w:trPr>
          <w:trHeight w:val="227"/>
        </w:trPr>
        <w:tc>
          <w:tcPr>
            <w:tcW w:w="1540" w:type="dxa"/>
            <w:vAlign w:val="bottom"/>
            <w:gridSpan w:val="3"/>
          </w:tcPr>
          <w:p>
            <w:pPr>
              <w:ind w:left="20"/>
              <w:spacing w:after="0"/>
              <w:rPr>
                <w:sz w:val="20"/>
                <w:szCs w:val="20"/>
                <w:color w:val="auto"/>
              </w:rPr>
            </w:pPr>
            <w:r>
              <w:rPr>
                <w:rFonts w:ascii="Arial" w:cs="Arial" w:eastAsia="Arial" w:hAnsi="Arial"/>
                <w:sz w:val="9"/>
                <w:szCs w:val="9"/>
                <w:color w:val="auto"/>
              </w:rPr>
              <w:t xml:space="preserve">Abington Towne Center </w:t>
            </w:r>
            <w:r>
              <w:rPr>
                <w:rFonts w:ascii="Arial" w:cs="Arial" w:eastAsia="Arial" w:hAnsi="Arial"/>
                <w:sz w:val="5"/>
                <w:szCs w:val="5"/>
                <w:color w:val="auto"/>
              </w:rPr>
              <w:t>5</w:t>
            </w:r>
          </w:p>
        </w:tc>
        <w:tc>
          <w:tcPr>
            <w:tcW w:w="1820" w:type="dxa"/>
            <w:vAlign w:val="bottom"/>
          </w:tcPr>
          <w:p>
            <w:pPr>
              <w:ind w:left="60"/>
              <w:spacing w:after="0"/>
              <w:rPr>
                <w:sz w:val="20"/>
                <w:szCs w:val="20"/>
                <w:color w:val="auto"/>
              </w:rPr>
            </w:pPr>
            <w:r>
              <w:rPr>
                <w:rFonts w:ascii="Arial" w:cs="Arial" w:eastAsia="Arial" w:hAnsi="Arial"/>
                <w:sz w:val="9"/>
                <w:szCs w:val="9"/>
                <w:color w:val="auto"/>
              </w:rPr>
              <w:t>Target, TJ Maxx</w:t>
            </w:r>
          </w:p>
        </w:tc>
        <w:tc>
          <w:tcPr>
            <w:tcW w:w="560" w:type="dxa"/>
            <w:vAlign w:val="bottom"/>
          </w:tcPr>
          <w:p>
            <w:pPr>
              <w:jc w:val="center"/>
              <w:ind w:left="76"/>
              <w:spacing w:after="0"/>
              <w:rPr>
                <w:sz w:val="20"/>
                <w:szCs w:val="20"/>
                <w:color w:val="auto"/>
              </w:rPr>
            </w:pPr>
            <w:r>
              <w:rPr>
                <w:rFonts w:ascii="Arial" w:cs="Arial" w:eastAsia="Arial" w:hAnsi="Arial"/>
                <w:sz w:val="9"/>
                <w:szCs w:val="9"/>
                <w:color w:val="auto"/>
                <w:w w:val="99"/>
              </w:rPr>
              <w:t>1998</w:t>
            </w:r>
          </w:p>
        </w:tc>
        <w:tc>
          <w:tcPr>
            <w:tcW w:w="560" w:type="dxa"/>
            <w:vAlign w:val="bottom"/>
          </w:tcPr>
          <w:p>
            <w:pPr>
              <w:jc w:val="right"/>
              <w:ind w:right="96"/>
              <w:spacing w:after="0"/>
              <w:rPr>
                <w:sz w:val="20"/>
                <w:szCs w:val="20"/>
                <w:color w:val="auto"/>
              </w:rPr>
            </w:pPr>
            <w:r>
              <w:rPr>
                <w:rFonts w:ascii="Arial" w:cs="Arial" w:eastAsia="Arial" w:hAnsi="Arial"/>
                <w:sz w:val="9"/>
                <w:szCs w:val="9"/>
                <w:color w:val="auto"/>
              </w:rPr>
              <w:t>100.0%</w:t>
            </w: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184,616</w:t>
            </w: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color w:val="auto"/>
              </w:rPr>
              <w:t>31,662</w:t>
            </w: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216,278</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100.0%</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62.5%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94.5%</w:t>
            </w: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94.5%</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9"/>
                <w:szCs w:val="9"/>
                <w:color w:val="auto"/>
              </w:rPr>
              <w:t>927,531</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16.73</w:t>
            </w:r>
          </w:p>
        </w:tc>
      </w:tr>
      <w:tr>
        <w:trPr>
          <w:trHeight w:val="313"/>
        </w:trPr>
        <w:tc>
          <w:tcPr>
            <w:tcW w:w="1540" w:type="dxa"/>
            <w:vAlign w:val="bottom"/>
            <w:gridSpan w:val="3"/>
          </w:tcPr>
          <w:p>
            <w:pPr>
              <w:ind w:left="20"/>
              <w:spacing w:after="0"/>
              <w:rPr>
                <w:sz w:val="20"/>
                <w:szCs w:val="20"/>
                <w:color w:val="auto"/>
              </w:rPr>
            </w:pPr>
            <w:r>
              <w:rPr>
                <w:rFonts w:ascii="Arial" w:cs="Arial" w:eastAsia="Arial" w:hAnsi="Arial"/>
                <w:sz w:val="9"/>
                <w:szCs w:val="9"/>
                <w:b w:val="1"/>
                <w:bCs w:val="1"/>
                <w:color w:val="auto"/>
              </w:rPr>
              <w:t>Total Suburban Properties</w:t>
            </w: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w:t>
            </w: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3,289,925</w:t>
            </w: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b w:val="1"/>
                <w:bCs w:val="1"/>
                <w:color w:val="auto"/>
              </w:rPr>
              <w:t>1,144,044</w:t>
            </w: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w w:val="94"/>
              </w:rPr>
              <w:t>4,433,969</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w:t>
            </w: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98.7%</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85.0%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95.2%</w:t>
            </w: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95.3%</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9"/>
                <w:szCs w:val="9"/>
                <w:b w:val="1"/>
                <w:bCs w:val="1"/>
                <w:color w:val="auto"/>
              </w:rPr>
              <w:t>$</w:t>
            </w: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9"/>
                <w:szCs w:val="9"/>
                <w:b w:val="1"/>
                <w:bCs w:val="1"/>
                <w:color w:val="auto"/>
              </w:rPr>
              <w:t>66,970,962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16.83</w:t>
            </w: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75"/>
        </w:trPr>
        <w:tc>
          <w:tcPr>
            <w:tcW w:w="420" w:type="dxa"/>
            <w:vAlign w:val="bottom"/>
            <w:tcBorders>
              <w:bottom w:val="single" w:sz="8" w:color="9BDA44"/>
            </w:tcBorders>
          </w:tcPr>
          <w:p>
            <w:pPr>
              <w:spacing w:after="0"/>
              <w:rPr>
                <w:sz w:val="6"/>
                <w:szCs w:val="6"/>
                <w:color w:val="auto"/>
              </w:rPr>
            </w:pPr>
          </w:p>
        </w:tc>
        <w:tc>
          <w:tcPr>
            <w:tcW w:w="160" w:type="dxa"/>
            <w:vAlign w:val="bottom"/>
            <w:tcBorders>
              <w:bottom w:val="single" w:sz="8" w:color="9BDA44"/>
            </w:tcBorders>
          </w:tcPr>
          <w:p>
            <w:pPr>
              <w:spacing w:after="0"/>
              <w:rPr>
                <w:sz w:val="6"/>
                <w:szCs w:val="6"/>
                <w:color w:val="auto"/>
              </w:rPr>
            </w:pPr>
          </w:p>
        </w:tc>
        <w:tc>
          <w:tcPr>
            <w:tcW w:w="960" w:type="dxa"/>
            <w:vAlign w:val="bottom"/>
            <w:tcBorders>
              <w:bottom w:val="single" w:sz="8" w:color="9BDA44"/>
            </w:tcBorders>
          </w:tcPr>
          <w:p>
            <w:pPr>
              <w:spacing w:after="0"/>
              <w:rPr>
                <w:sz w:val="6"/>
                <w:szCs w:val="6"/>
                <w:color w:val="auto"/>
              </w:rPr>
            </w:pPr>
          </w:p>
        </w:tc>
        <w:tc>
          <w:tcPr>
            <w:tcW w:w="1820" w:type="dxa"/>
            <w:vAlign w:val="bottom"/>
            <w:tcBorders>
              <w:bottom w:val="single" w:sz="8" w:color="9BDA44"/>
            </w:tcBorders>
          </w:tcPr>
          <w:p>
            <w:pPr>
              <w:spacing w:after="0"/>
              <w:rPr>
                <w:sz w:val="6"/>
                <w:szCs w:val="6"/>
                <w:color w:val="auto"/>
              </w:rPr>
            </w:pPr>
          </w:p>
        </w:tc>
        <w:tc>
          <w:tcPr>
            <w:tcW w:w="560" w:type="dxa"/>
            <w:vAlign w:val="bottom"/>
            <w:tcBorders>
              <w:bottom w:val="single" w:sz="8" w:color="9BDA44"/>
            </w:tcBorders>
          </w:tcPr>
          <w:p>
            <w:pPr>
              <w:spacing w:after="0"/>
              <w:rPr>
                <w:sz w:val="6"/>
                <w:szCs w:val="6"/>
                <w:color w:val="auto"/>
              </w:rPr>
            </w:pPr>
          </w:p>
        </w:tc>
        <w:tc>
          <w:tcPr>
            <w:tcW w:w="560" w:type="dxa"/>
            <w:vAlign w:val="bottom"/>
            <w:tcBorders>
              <w:bottom w:val="single" w:sz="8" w:color="9BDA44"/>
            </w:tcBorders>
          </w:tcPr>
          <w:p>
            <w:pPr>
              <w:spacing w:after="0"/>
              <w:rPr>
                <w:sz w:val="6"/>
                <w:szCs w:val="6"/>
                <w:color w:val="auto"/>
              </w:rPr>
            </w:pPr>
          </w:p>
        </w:tc>
        <w:tc>
          <w:tcPr>
            <w:tcW w:w="500" w:type="dxa"/>
            <w:vAlign w:val="bottom"/>
            <w:tcBorders>
              <w:bottom w:val="single" w:sz="8" w:color="9BDA44"/>
            </w:tcBorders>
          </w:tcPr>
          <w:p>
            <w:pPr>
              <w:spacing w:after="0"/>
              <w:rPr>
                <w:sz w:val="6"/>
                <w:szCs w:val="6"/>
                <w:color w:val="auto"/>
              </w:rPr>
            </w:pPr>
          </w:p>
        </w:tc>
        <w:tc>
          <w:tcPr>
            <w:tcW w:w="600" w:type="dxa"/>
            <w:vAlign w:val="bottom"/>
            <w:tcBorders>
              <w:bottom w:val="single" w:sz="8" w:color="9BDA44"/>
            </w:tcBorders>
          </w:tcPr>
          <w:p>
            <w:pPr>
              <w:spacing w:after="0"/>
              <w:rPr>
                <w:sz w:val="6"/>
                <w:szCs w:val="6"/>
                <w:color w:val="auto"/>
              </w:rPr>
            </w:pPr>
          </w:p>
        </w:tc>
        <w:tc>
          <w:tcPr>
            <w:tcW w:w="620" w:type="dxa"/>
            <w:vAlign w:val="bottom"/>
            <w:tcBorders>
              <w:bottom w:val="single" w:sz="8" w:color="9BDA44"/>
            </w:tcBorders>
          </w:tcPr>
          <w:p>
            <w:pPr>
              <w:spacing w:after="0"/>
              <w:rPr>
                <w:sz w:val="6"/>
                <w:szCs w:val="6"/>
                <w:color w:val="auto"/>
              </w:rPr>
            </w:pPr>
          </w:p>
        </w:tc>
        <w:tc>
          <w:tcPr>
            <w:tcW w:w="500" w:type="dxa"/>
            <w:vAlign w:val="bottom"/>
            <w:tcBorders>
              <w:bottom w:val="single" w:sz="8" w:color="9BDA44"/>
            </w:tcBorders>
          </w:tcPr>
          <w:p>
            <w:pPr>
              <w:spacing w:after="0"/>
              <w:rPr>
                <w:sz w:val="6"/>
                <w:szCs w:val="6"/>
                <w:color w:val="auto"/>
              </w:rPr>
            </w:pPr>
          </w:p>
        </w:tc>
        <w:tc>
          <w:tcPr>
            <w:tcW w:w="200" w:type="dxa"/>
            <w:vAlign w:val="bottom"/>
            <w:tcBorders>
              <w:bottom w:val="single" w:sz="8" w:color="9BDA44"/>
            </w:tcBorders>
          </w:tcPr>
          <w:p>
            <w:pPr>
              <w:spacing w:after="0"/>
              <w:rPr>
                <w:sz w:val="6"/>
                <w:szCs w:val="6"/>
                <w:color w:val="auto"/>
              </w:rPr>
            </w:pPr>
          </w:p>
        </w:tc>
        <w:tc>
          <w:tcPr>
            <w:tcW w:w="600" w:type="dxa"/>
            <w:vAlign w:val="bottom"/>
            <w:tcBorders>
              <w:bottom w:val="single" w:sz="8" w:color="9BDA44"/>
            </w:tcBorders>
          </w:tcPr>
          <w:p>
            <w:pPr>
              <w:spacing w:after="0"/>
              <w:rPr>
                <w:sz w:val="6"/>
                <w:szCs w:val="6"/>
                <w:color w:val="auto"/>
              </w:rPr>
            </w:pPr>
          </w:p>
        </w:tc>
        <w:tc>
          <w:tcPr>
            <w:tcW w:w="580" w:type="dxa"/>
            <w:vAlign w:val="bottom"/>
            <w:tcBorders>
              <w:bottom w:val="single" w:sz="8" w:color="9BDA44"/>
            </w:tcBorders>
          </w:tcPr>
          <w:p>
            <w:pPr>
              <w:spacing w:after="0"/>
              <w:rPr>
                <w:sz w:val="6"/>
                <w:szCs w:val="6"/>
                <w:color w:val="auto"/>
              </w:rPr>
            </w:pPr>
          </w:p>
        </w:tc>
        <w:tc>
          <w:tcPr>
            <w:tcW w:w="560" w:type="dxa"/>
            <w:vAlign w:val="bottom"/>
            <w:tcBorders>
              <w:bottom w:val="single" w:sz="8" w:color="9BDA44"/>
            </w:tcBorders>
          </w:tcPr>
          <w:p>
            <w:pPr>
              <w:spacing w:after="0"/>
              <w:rPr>
                <w:sz w:val="6"/>
                <w:szCs w:val="6"/>
                <w:color w:val="auto"/>
              </w:rPr>
            </w:pPr>
          </w:p>
        </w:tc>
        <w:tc>
          <w:tcPr>
            <w:tcW w:w="500" w:type="dxa"/>
            <w:vAlign w:val="bottom"/>
            <w:tcBorders>
              <w:bottom w:val="single" w:sz="8" w:color="9BDA44"/>
            </w:tcBorders>
          </w:tcPr>
          <w:p>
            <w:pPr>
              <w:spacing w:after="0"/>
              <w:rPr>
                <w:sz w:val="6"/>
                <w:szCs w:val="6"/>
                <w:color w:val="auto"/>
              </w:rPr>
            </w:pPr>
          </w:p>
        </w:tc>
        <w:tc>
          <w:tcPr>
            <w:tcW w:w="840" w:type="dxa"/>
            <w:vAlign w:val="bottom"/>
            <w:tcBorders>
              <w:bottom w:val="single" w:sz="8" w:color="9BDA44"/>
            </w:tcBorders>
          </w:tcPr>
          <w:p>
            <w:pPr>
              <w:spacing w:after="0"/>
              <w:rPr>
                <w:sz w:val="6"/>
                <w:szCs w:val="6"/>
                <w:color w:val="auto"/>
              </w:rPr>
            </w:pPr>
          </w:p>
        </w:tc>
        <w:tc>
          <w:tcPr>
            <w:tcW w:w="200" w:type="dxa"/>
            <w:vAlign w:val="bottom"/>
            <w:tcBorders>
              <w:bottom w:val="single" w:sz="8" w:color="9BDA44"/>
            </w:tcBorders>
          </w:tcPr>
          <w:p>
            <w:pPr>
              <w:spacing w:after="0"/>
              <w:rPr>
                <w:sz w:val="6"/>
                <w:szCs w:val="6"/>
                <w:color w:val="auto"/>
              </w:rPr>
            </w:pPr>
          </w:p>
        </w:tc>
        <w:tc>
          <w:tcPr>
            <w:tcW w:w="660" w:type="dxa"/>
            <w:vAlign w:val="bottom"/>
            <w:tcBorders>
              <w:bottom w:val="single" w:sz="8" w:color="9BDA44"/>
            </w:tcBorders>
          </w:tcPr>
          <w:p>
            <w:pPr>
              <w:spacing w:after="0"/>
              <w:rPr>
                <w:sz w:val="6"/>
                <w:szCs w:val="6"/>
                <w:color w:val="auto"/>
              </w:rPr>
            </w:pPr>
          </w:p>
        </w:tc>
        <w:tc>
          <w:tcPr>
            <w:tcW w:w="140" w:type="dxa"/>
            <w:vAlign w:val="bottom"/>
            <w:tcBorders>
              <w:bottom w:val="single" w:sz="8" w:color="9BDA44"/>
            </w:tcBorders>
          </w:tcPr>
          <w:p>
            <w:pPr>
              <w:spacing w:after="0"/>
              <w:rPr>
                <w:sz w:val="6"/>
                <w:szCs w:val="6"/>
                <w:color w:val="auto"/>
              </w:rPr>
            </w:pPr>
          </w:p>
        </w:tc>
        <w:tc>
          <w:tcPr>
            <w:tcW w:w="500" w:type="dxa"/>
            <w:vAlign w:val="bottom"/>
            <w:tcBorders>
              <w:bottom w:val="single" w:sz="8" w:color="9BDA44"/>
            </w:tcBorders>
          </w:tcPr>
          <w:p>
            <w:pPr>
              <w:spacing w:after="0"/>
              <w:rPr>
                <w:sz w:val="6"/>
                <w:szCs w:val="6"/>
                <w:color w:val="auto"/>
              </w:rPr>
            </w:pPr>
          </w:p>
        </w:tc>
      </w:tr>
      <w:tr>
        <w:trPr>
          <w:trHeight w:val="201"/>
        </w:trPr>
        <w:tc>
          <w:tcPr>
            <w:tcW w:w="3360" w:type="dxa"/>
            <w:vAlign w:val="bottom"/>
            <w:tcBorders>
              <w:left w:val="single" w:sz="8" w:color="9BDA44"/>
              <w:bottom w:val="single" w:sz="8" w:color="9BDA44"/>
            </w:tcBorders>
            <w:gridSpan w:val="4"/>
          </w:tcPr>
          <w:p>
            <w:pPr>
              <w:ind w:left="40"/>
              <w:spacing w:after="0"/>
              <w:rPr>
                <w:sz w:val="20"/>
                <w:szCs w:val="20"/>
                <w:color w:val="auto"/>
              </w:rPr>
            </w:pPr>
            <w:r>
              <w:rPr>
                <w:rFonts w:ascii="Arial" w:cs="Arial" w:eastAsia="Arial" w:hAnsi="Arial"/>
                <w:sz w:val="9"/>
                <w:szCs w:val="9"/>
                <w:b w:val="1"/>
                <w:bCs w:val="1"/>
                <w:color w:val="auto"/>
              </w:rPr>
              <w:t>Acadia Share Total Suburban Properties</w:t>
            </w:r>
          </w:p>
        </w:tc>
        <w:tc>
          <w:tcPr>
            <w:tcW w:w="560" w:type="dxa"/>
            <w:vAlign w:val="bottom"/>
            <w:tcBorders>
              <w:bottom w:val="single" w:sz="8" w:color="9BDA44"/>
            </w:tcBorders>
          </w:tcPr>
          <w:p>
            <w:pPr>
              <w:spacing w:after="0"/>
              <w:rPr>
                <w:sz w:val="17"/>
                <w:szCs w:val="17"/>
                <w:color w:val="auto"/>
              </w:rPr>
            </w:pPr>
          </w:p>
        </w:tc>
        <w:tc>
          <w:tcPr>
            <w:tcW w:w="560" w:type="dxa"/>
            <w:vAlign w:val="bottom"/>
            <w:tcBorders>
              <w:bottom w:val="single" w:sz="8" w:color="9BDA44"/>
            </w:tcBorders>
          </w:tcPr>
          <w:p>
            <w:pPr>
              <w:spacing w:after="0"/>
              <w:rPr>
                <w:sz w:val="17"/>
                <w:szCs w:val="17"/>
                <w:color w:val="auto"/>
              </w:rPr>
            </w:pPr>
          </w:p>
        </w:tc>
        <w:tc>
          <w:tcPr>
            <w:tcW w:w="500" w:type="dxa"/>
            <w:vAlign w:val="bottom"/>
            <w:tcBorders>
              <w:bottom w:val="single" w:sz="8" w:color="9BDA44"/>
            </w:tcBorders>
          </w:tcPr>
          <w:p>
            <w:pPr>
              <w:jc w:val="right"/>
              <w:ind w:right="16"/>
              <w:spacing w:after="0"/>
              <w:rPr>
                <w:sz w:val="20"/>
                <w:szCs w:val="20"/>
                <w:color w:val="auto"/>
              </w:rPr>
            </w:pPr>
            <w:r>
              <w:rPr>
                <w:rFonts w:ascii="Arial" w:cs="Arial" w:eastAsia="Arial" w:hAnsi="Arial"/>
                <w:sz w:val="9"/>
                <w:szCs w:val="9"/>
                <w:b w:val="1"/>
                <w:bCs w:val="1"/>
                <w:color w:val="auto"/>
              </w:rPr>
              <w:t>—</w:t>
            </w:r>
          </w:p>
        </w:tc>
        <w:tc>
          <w:tcPr>
            <w:tcW w:w="600" w:type="dxa"/>
            <w:vAlign w:val="bottom"/>
            <w:tcBorders>
              <w:bottom w:val="single" w:sz="8" w:color="9BDA44"/>
            </w:tcBorders>
          </w:tcPr>
          <w:p>
            <w:pPr>
              <w:jc w:val="right"/>
              <w:ind w:right="56"/>
              <w:spacing w:after="0"/>
              <w:rPr>
                <w:sz w:val="20"/>
                <w:szCs w:val="20"/>
                <w:color w:val="auto"/>
              </w:rPr>
            </w:pPr>
            <w:r>
              <w:rPr>
                <w:rFonts w:ascii="Arial" w:cs="Arial" w:eastAsia="Arial" w:hAnsi="Arial"/>
                <w:sz w:val="9"/>
                <w:szCs w:val="9"/>
                <w:b w:val="1"/>
                <w:bCs w:val="1"/>
                <w:color w:val="auto"/>
              </w:rPr>
              <w:t>2,960,241</w:t>
            </w:r>
          </w:p>
        </w:tc>
        <w:tc>
          <w:tcPr>
            <w:tcW w:w="620" w:type="dxa"/>
            <w:vAlign w:val="bottom"/>
            <w:tcBorders>
              <w:bottom w:val="single" w:sz="8" w:color="9BDA44"/>
            </w:tcBorders>
          </w:tcPr>
          <w:p>
            <w:pPr>
              <w:jc w:val="right"/>
              <w:ind w:right="116"/>
              <w:spacing w:after="0"/>
              <w:rPr>
                <w:sz w:val="20"/>
                <w:szCs w:val="20"/>
                <w:color w:val="auto"/>
              </w:rPr>
            </w:pPr>
            <w:r>
              <w:rPr>
                <w:rFonts w:ascii="Arial" w:cs="Arial" w:eastAsia="Arial" w:hAnsi="Arial"/>
                <w:sz w:val="9"/>
                <w:szCs w:val="9"/>
                <w:b w:val="1"/>
                <w:bCs w:val="1"/>
                <w:color w:val="auto"/>
              </w:rPr>
              <w:t>1,063,528</w:t>
            </w:r>
          </w:p>
        </w:tc>
        <w:tc>
          <w:tcPr>
            <w:tcW w:w="500" w:type="dxa"/>
            <w:vAlign w:val="bottom"/>
            <w:tcBorders>
              <w:bottom w:val="single" w:sz="8" w:color="9BDA44"/>
            </w:tcBorders>
          </w:tcPr>
          <w:p>
            <w:pPr>
              <w:jc w:val="right"/>
              <w:ind w:right="56"/>
              <w:spacing w:after="0"/>
              <w:rPr>
                <w:sz w:val="20"/>
                <w:szCs w:val="20"/>
                <w:color w:val="auto"/>
              </w:rPr>
            </w:pPr>
            <w:r>
              <w:rPr>
                <w:rFonts w:ascii="Arial" w:cs="Arial" w:eastAsia="Arial" w:hAnsi="Arial"/>
                <w:sz w:val="9"/>
                <w:szCs w:val="9"/>
                <w:b w:val="1"/>
                <w:bCs w:val="1"/>
                <w:color w:val="auto"/>
                <w:w w:val="94"/>
              </w:rPr>
              <w:t>4,023,769</w:t>
            </w:r>
          </w:p>
        </w:tc>
        <w:tc>
          <w:tcPr>
            <w:tcW w:w="200" w:type="dxa"/>
            <w:vAlign w:val="bottom"/>
            <w:tcBorders>
              <w:bottom w:val="single" w:sz="8" w:color="9BDA44"/>
            </w:tcBorders>
          </w:tcPr>
          <w:p>
            <w:pPr>
              <w:spacing w:after="0"/>
              <w:rPr>
                <w:sz w:val="17"/>
                <w:szCs w:val="17"/>
                <w:color w:val="auto"/>
              </w:rPr>
            </w:pPr>
          </w:p>
        </w:tc>
        <w:tc>
          <w:tcPr>
            <w:tcW w:w="600" w:type="dxa"/>
            <w:vAlign w:val="bottom"/>
            <w:tcBorders>
              <w:bottom w:val="single" w:sz="8" w:color="9BDA44"/>
            </w:tcBorders>
          </w:tcPr>
          <w:p>
            <w:pPr>
              <w:jc w:val="right"/>
              <w:ind w:right="36"/>
              <w:spacing w:after="0"/>
              <w:rPr>
                <w:sz w:val="20"/>
                <w:szCs w:val="20"/>
                <w:color w:val="auto"/>
              </w:rPr>
            </w:pPr>
            <w:r>
              <w:rPr>
                <w:rFonts w:ascii="Arial" w:cs="Arial" w:eastAsia="Arial" w:hAnsi="Arial"/>
                <w:sz w:val="9"/>
                <w:szCs w:val="9"/>
                <w:b w:val="1"/>
                <w:bCs w:val="1"/>
                <w:color w:val="auto"/>
              </w:rPr>
              <w:t>—%</w:t>
            </w:r>
          </w:p>
        </w:tc>
        <w:tc>
          <w:tcPr>
            <w:tcW w:w="580" w:type="dxa"/>
            <w:vAlign w:val="bottom"/>
            <w:tcBorders>
              <w:bottom w:val="single" w:sz="8" w:color="9BDA44"/>
            </w:tcBorders>
          </w:tcPr>
          <w:p>
            <w:pPr>
              <w:jc w:val="right"/>
              <w:ind w:right="56"/>
              <w:spacing w:after="0"/>
              <w:rPr>
                <w:sz w:val="20"/>
                <w:szCs w:val="20"/>
                <w:color w:val="auto"/>
              </w:rPr>
            </w:pPr>
            <w:r>
              <w:rPr>
                <w:rFonts w:ascii="Arial" w:cs="Arial" w:eastAsia="Arial" w:hAnsi="Arial"/>
                <w:sz w:val="9"/>
                <w:szCs w:val="9"/>
                <w:b w:val="1"/>
                <w:bCs w:val="1"/>
                <w:color w:val="auto"/>
              </w:rPr>
              <w:t>99.3%</w:t>
            </w:r>
          </w:p>
        </w:tc>
        <w:tc>
          <w:tcPr>
            <w:tcW w:w="560" w:type="dxa"/>
            <w:vAlign w:val="bottom"/>
            <w:tcBorders>
              <w:bottom w:val="single" w:sz="8" w:color="9BDA44"/>
            </w:tcBorders>
          </w:tcPr>
          <w:p>
            <w:pPr>
              <w:jc w:val="right"/>
              <w:ind w:right="56"/>
              <w:spacing w:after="0"/>
              <w:rPr>
                <w:sz w:val="20"/>
                <w:szCs w:val="20"/>
                <w:color w:val="auto"/>
              </w:rPr>
            </w:pPr>
            <w:r>
              <w:rPr>
                <w:rFonts w:ascii="Arial" w:cs="Arial" w:eastAsia="Arial" w:hAnsi="Arial"/>
                <w:sz w:val="9"/>
                <w:szCs w:val="9"/>
                <w:b w:val="1"/>
                <w:bCs w:val="1"/>
                <w:color w:val="auto"/>
              </w:rPr>
              <w:t>85.0%</w:t>
            </w:r>
          </w:p>
        </w:tc>
        <w:tc>
          <w:tcPr>
            <w:tcW w:w="500" w:type="dxa"/>
            <w:vAlign w:val="bottom"/>
            <w:tcBorders>
              <w:bottom w:val="single" w:sz="8" w:color="9BDA44"/>
            </w:tcBorders>
          </w:tcPr>
          <w:p>
            <w:pPr>
              <w:jc w:val="right"/>
              <w:spacing w:after="0"/>
              <w:rPr>
                <w:sz w:val="20"/>
                <w:szCs w:val="20"/>
                <w:color w:val="auto"/>
              </w:rPr>
            </w:pPr>
            <w:r>
              <w:rPr>
                <w:rFonts w:ascii="Arial" w:cs="Arial" w:eastAsia="Arial" w:hAnsi="Arial"/>
                <w:sz w:val="9"/>
                <w:szCs w:val="9"/>
                <w:b w:val="1"/>
                <w:bCs w:val="1"/>
                <w:color w:val="auto"/>
              </w:rPr>
              <w:t>95.5%</w:t>
            </w:r>
          </w:p>
        </w:tc>
        <w:tc>
          <w:tcPr>
            <w:tcW w:w="840" w:type="dxa"/>
            <w:vAlign w:val="bottom"/>
            <w:tcBorders>
              <w:bottom w:val="single" w:sz="8" w:color="9BDA44"/>
            </w:tcBorders>
          </w:tcPr>
          <w:p>
            <w:pPr>
              <w:jc w:val="right"/>
              <w:ind w:right="76"/>
              <w:spacing w:after="0"/>
              <w:rPr>
                <w:sz w:val="20"/>
                <w:szCs w:val="20"/>
                <w:color w:val="auto"/>
              </w:rPr>
            </w:pPr>
            <w:r>
              <w:rPr>
                <w:rFonts w:ascii="Arial" w:cs="Arial" w:eastAsia="Arial" w:hAnsi="Arial"/>
                <w:sz w:val="9"/>
                <w:szCs w:val="9"/>
                <w:b w:val="1"/>
                <w:bCs w:val="1"/>
                <w:color w:val="auto"/>
              </w:rPr>
              <w:t>95.8%</w:t>
            </w:r>
          </w:p>
        </w:tc>
        <w:tc>
          <w:tcPr>
            <w:tcW w:w="200" w:type="dxa"/>
            <w:vAlign w:val="bottom"/>
            <w:tcBorders>
              <w:bottom w:val="single" w:sz="8" w:color="9BDA44"/>
            </w:tcBorders>
          </w:tcPr>
          <w:p>
            <w:pPr>
              <w:ind w:left="120"/>
              <w:spacing w:after="0"/>
              <w:rPr>
                <w:sz w:val="20"/>
                <w:szCs w:val="20"/>
                <w:color w:val="auto"/>
              </w:rPr>
            </w:pPr>
            <w:r>
              <w:rPr>
                <w:rFonts w:ascii="Arial" w:cs="Arial" w:eastAsia="Arial" w:hAnsi="Arial"/>
                <w:sz w:val="9"/>
                <w:szCs w:val="9"/>
                <w:b w:val="1"/>
                <w:bCs w:val="1"/>
                <w:color w:val="auto"/>
              </w:rPr>
              <w:t>$</w:t>
            </w:r>
          </w:p>
        </w:tc>
        <w:tc>
          <w:tcPr>
            <w:tcW w:w="660" w:type="dxa"/>
            <w:vAlign w:val="bottom"/>
            <w:tcBorders>
              <w:bottom w:val="single" w:sz="8" w:color="9BDA44"/>
            </w:tcBorders>
          </w:tcPr>
          <w:p>
            <w:pPr>
              <w:jc w:val="right"/>
              <w:ind w:right="117"/>
              <w:spacing w:after="0"/>
              <w:rPr>
                <w:sz w:val="20"/>
                <w:szCs w:val="20"/>
                <w:color w:val="auto"/>
              </w:rPr>
            </w:pPr>
            <w:r>
              <w:rPr>
                <w:rFonts w:ascii="Arial" w:cs="Arial" w:eastAsia="Arial" w:hAnsi="Arial"/>
                <w:sz w:val="9"/>
                <w:szCs w:val="9"/>
                <w:b w:val="1"/>
                <w:bCs w:val="1"/>
                <w:color w:val="auto"/>
              </w:rPr>
              <w:t>59,760,906</w:t>
            </w:r>
          </w:p>
        </w:tc>
        <w:tc>
          <w:tcPr>
            <w:tcW w:w="140" w:type="dxa"/>
            <w:vAlign w:val="bottom"/>
            <w:tcBorders>
              <w:bottom w:val="single" w:sz="8" w:color="9BDA44"/>
            </w:tcBorders>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9BDA44"/>
              <w:right w:val="single" w:sz="8" w:color="9BDA44"/>
            </w:tcBorders>
          </w:tcPr>
          <w:p>
            <w:pPr>
              <w:jc w:val="right"/>
              <w:ind w:right="76"/>
              <w:spacing w:after="0"/>
              <w:rPr>
                <w:sz w:val="20"/>
                <w:szCs w:val="20"/>
                <w:color w:val="auto"/>
              </w:rPr>
            </w:pPr>
            <w:r>
              <w:rPr>
                <w:rFonts w:ascii="Arial" w:cs="Arial" w:eastAsia="Arial" w:hAnsi="Arial"/>
                <w:sz w:val="9"/>
                <w:szCs w:val="9"/>
                <w:b w:val="1"/>
                <w:bCs w:val="1"/>
                <w:color w:val="auto"/>
              </w:rPr>
              <w:t>16.60</w:t>
            </w:r>
          </w:p>
        </w:tc>
      </w:tr>
      <w:tr>
        <w:trPr>
          <w:trHeight w:val="313"/>
        </w:trPr>
        <w:tc>
          <w:tcPr>
            <w:tcW w:w="1540" w:type="dxa"/>
            <w:vAlign w:val="bottom"/>
            <w:gridSpan w:val="3"/>
          </w:tcPr>
          <w:p>
            <w:pPr>
              <w:ind w:left="20"/>
              <w:spacing w:after="0"/>
              <w:rPr>
                <w:sz w:val="20"/>
                <w:szCs w:val="20"/>
                <w:color w:val="auto"/>
              </w:rPr>
            </w:pPr>
            <w:r>
              <w:rPr>
                <w:rFonts w:ascii="Arial" w:cs="Arial" w:eastAsia="Arial" w:hAnsi="Arial"/>
                <w:sz w:val="9"/>
                <w:szCs w:val="9"/>
                <w:b w:val="1"/>
                <w:bCs w:val="1"/>
                <w:color w:val="auto"/>
              </w:rPr>
              <w:t>TOTAL CORE PROPERTIES</w:t>
            </w: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973,960</w:t>
            </w: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3,562,671</w:t>
            </w: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b w:val="1"/>
                <w:bCs w:val="1"/>
                <w:color w:val="auto"/>
              </w:rPr>
              <w:t>1,440,274</w:t>
            </w: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w w:val="94"/>
              </w:rPr>
              <w:t>5,976,905</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93.8%</w:t>
            </w: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98.1%</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84.0%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94.0%</w:t>
            </w: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94.6%</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9"/>
                <w:szCs w:val="9"/>
                <w:b w:val="1"/>
                <w:bCs w:val="1"/>
                <w:color w:val="auto"/>
              </w:rPr>
              <w:t>$</w:t>
            </w: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9"/>
                <w:szCs w:val="9"/>
                <w:b w:val="1"/>
                <w:bCs w:val="1"/>
                <w:color w:val="auto"/>
                <w:w w:val="95"/>
              </w:rPr>
              <w:t>153,050,541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28.46</w:t>
            </w: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75"/>
        </w:trPr>
        <w:tc>
          <w:tcPr>
            <w:tcW w:w="420" w:type="dxa"/>
            <w:vAlign w:val="bottom"/>
            <w:tcBorders>
              <w:bottom w:val="single" w:sz="8" w:color="9BDA44"/>
            </w:tcBorders>
          </w:tcPr>
          <w:p>
            <w:pPr>
              <w:spacing w:after="0"/>
              <w:rPr>
                <w:sz w:val="6"/>
                <w:szCs w:val="6"/>
                <w:color w:val="auto"/>
              </w:rPr>
            </w:pPr>
          </w:p>
        </w:tc>
        <w:tc>
          <w:tcPr>
            <w:tcW w:w="160" w:type="dxa"/>
            <w:vAlign w:val="bottom"/>
            <w:tcBorders>
              <w:bottom w:val="single" w:sz="8" w:color="9BDA44"/>
            </w:tcBorders>
          </w:tcPr>
          <w:p>
            <w:pPr>
              <w:spacing w:after="0"/>
              <w:rPr>
                <w:sz w:val="6"/>
                <w:szCs w:val="6"/>
                <w:color w:val="auto"/>
              </w:rPr>
            </w:pPr>
          </w:p>
        </w:tc>
        <w:tc>
          <w:tcPr>
            <w:tcW w:w="960" w:type="dxa"/>
            <w:vAlign w:val="bottom"/>
            <w:tcBorders>
              <w:bottom w:val="single" w:sz="8" w:color="9BDA44"/>
            </w:tcBorders>
          </w:tcPr>
          <w:p>
            <w:pPr>
              <w:spacing w:after="0"/>
              <w:rPr>
                <w:sz w:val="6"/>
                <w:szCs w:val="6"/>
                <w:color w:val="auto"/>
              </w:rPr>
            </w:pPr>
          </w:p>
        </w:tc>
        <w:tc>
          <w:tcPr>
            <w:tcW w:w="1820" w:type="dxa"/>
            <w:vAlign w:val="bottom"/>
            <w:tcBorders>
              <w:bottom w:val="single" w:sz="8" w:color="9BDA44"/>
            </w:tcBorders>
          </w:tcPr>
          <w:p>
            <w:pPr>
              <w:spacing w:after="0"/>
              <w:rPr>
                <w:sz w:val="6"/>
                <w:szCs w:val="6"/>
                <w:color w:val="auto"/>
              </w:rPr>
            </w:pPr>
          </w:p>
        </w:tc>
        <w:tc>
          <w:tcPr>
            <w:tcW w:w="560" w:type="dxa"/>
            <w:vAlign w:val="bottom"/>
            <w:tcBorders>
              <w:bottom w:val="single" w:sz="8" w:color="9BDA44"/>
            </w:tcBorders>
          </w:tcPr>
          <w:p>
            <w:pPr>
              <w:spacing w:after="0"/>
              <w:rPr>
                <w:sz w:val="6"/>
                <w:szCs w:val="6"/>
                <w:color w:val="auto"/>
              </w:rPr>
            </w:pPr>
          </w:p>
        </w:tc>
        <w:tc>
          <w:tcPr>
            <w:tcW w:w="560" w:type="dxa"/>
            <w:vAlign w:val="bottom"/>
            <w:tcBorders>
              <w:bottom w:val="single" w:sz="8" w:color="9BDA44"/>
            </w:tcBorders>
          </w:tcPr>
          <w:p>
            <w:pPr>
              <w:spacing w:after="0"/>
              <w:rPr>
                <w:sz w:val="6"/>
                <w:szCs w:val="6"/>
                <w:color w:val="auto"/>
              </w:rPr>
            </w:pPr>
          </w:p>
        </w:tc>
        <w:tc>
          <w:tcPr>
            <w:tcW w:w="500" w:type="dxa"/>
            <w:vAlign w:val="bottom"/>
            <w:tcBorders>
              <w:bottom w:val="single" w:sz="8" w:color="9BDA44"/>
            </w:tcBorders>
          </w:tcPr>
          <w:p>
            <w:pPr>
              <w:spacing w:after="0"/>
              <w:rPr>
                <w:sz w:val="6"/>
                <w:szCs w:val="6"/>
                <w:color w:val="auto"/>
              </w:rPr>
            </w:pPr>
          </w:p>
        </w:tc>
        <w:tc>
          <w:tcPr>
            <w:tcW w:w="600" w:type="dxa"/>
            <w:vAlign w:val="bottom"/>
            <w:tcBorders>
              <w:bottom w:val="single" w:sz="8" w:color="9BDA44"/>
            </w:tcBorders>
          </w:tcPr>
          <w:p>
            <w:pPr>
              <w:spacing w:after="0"/>
              <w:rPr>
                <w:sz w:val="6"/>
                <w:szCs w:val="6"/>
                <w:color w:val="auto"/>
              </w:rPr>
            </w:pPr>
          </w:p>
        </w:tc>
        <w:tc>
          <w:tcPr>
            <w:tcW w:w="620" w:type="dxa"/>
            <w:vAlign w:val="bottom"/>
            <w:tcBorders>
              <w:bottom w:val="single" w:sz="8" w:color="9BDA44"/>
            </w:tcBorders>
          </w:tcPr>
          <w:p>
            <w:pPr>
              <w:spacing w:after="0"/>
              <w:rPr>
                <w:sz w:val="6"/>
                <w:szCs w:val="6"/>
                <w:color w:val="auto"/>
              </w:rPr>
            </w:pPr>
          </w:p>
        </w:tc>
        <w:tc>
          <w:tcPr>
            <w:tcW w:w="500" w:type="dxa"/>
            <w:vAlign w:val="bottom"/>
            <w:tcBorders>
              <w:bottom w:val="single" w:sz="8" w:color="9BDA44"/>
            </w:tcBorders>
          </w:tcPr>
          <w:p>
            <w:pPr>
              <w:spacing w:after="0"/>
              <w:rPr>
                <w:sz w:val="6"/>
                <w:szCs w:val="6"/>
                <w:color w:val="auto"/>
              </w:rPr>
            </w:pPr>
          </w:p>
        </w:tc>
        <w:tc>
          <w:tcPr>
            <w:tcW w:w="200" w:type="dxa"/>
            <w:vAlign w:val="bottom"/>
            <w:tcBorders>
              <w:bottom w:val="single" w:sz="8" w:color="9BDA44"/>
            </w:tcBorders>
          </w:tcPr>
          <w:p>
            <w:pPr>
              <w:spacing w:after="0"/>
              <w:rPr>
                <w:sz w:val="6"/>
                <w:szCs w:val="6"/>
                <w:color w:val="auto"/>
              </w:rPr>
            </w:pPr>
          </w:p>
        </w:tc>
        <w:tc>
          <w:tcPr>
            <w:tcW w:w="600" w:type="dxa"/>
            <w:vAlign w:val="bottom"/>
            <w:tcBorders>
              <w:bottom w:val="single" w:sz="8" w:color="9BDA44"/>
            </w:tcBorders>
          </w:tcPr>
          <w:p>
            <w:pPr>
              <w:spacing w:after="0"/>
              <w:rPr>
                <w:sz w:val="6"/>
                <w:szCs w:val="6"/>
                <w:color w:val="auto"/>
              </w:rPr>
            </w:pPr>
          </w:p>
        </w:tc>
        <w:tc>
          <w:tcPr>
            <w:tcW w:w="580" w:type="dxa"/>
            <w:vAlign w:val="bottom"/>
            <w:tcBorders>
              <w:bottom w:val="single" w:sz="8" w:color="9BDA44"/>
            </w:tcBorders>
          </w:tcPr>
          <w:p>
            <w:pPr>
              <w:spacing w:after="0"/>
              <w:rPr>
                <w:sz w:val="6"/>
                <w:szCs w:val="6"/>
                <w:color w:val="auto"/>
              </w:rPr>
            </w:pPr>
          </w:p>
        </w:tc>
        <w:tc>
          <w:tcPr>
            <w:tcW w:w="560" w:type="dxa"/>
            <w:vAlign w:val="bottom"/>
            <w:tcBorders>
              <w:bottom w:val="single" w:sz="8" w:color="9BDA44"/>
            </w:tcBorders>
          </w:tcPr>
          <w:p>
            <w:pPr>
              <w:spacing w:after="0"/>
              <w:rPr>
                <w:sz w:val="6"/>
                <w:szCs w:val="6"/>
                <w:color w:val="auto"/>
              </w:rPr>
            </w:pPr>
          </w:p>
        </w:tc>
        <w:tc>
          <w:tcPr>
            <w:tcW w:w="500" w:type="dxa"/>
            <w:vAlign w:val="bottom"/>
            <w:tcBorders>
              <w:bottom w:val="single" w:sz="8" w:color="9BDA44"/>
            </w:tcBorders>
          </w:tcPr>
          <w:p>
            <w:pPr>
              <w:spacing w:after="0"/>
              <w:rPr>
                <w:sz w:val="6"/>
                <w:szCs w:val="6"/>
                <w:color w:val="auto"/>
              </w:rPr>
            </w:pPr>
          </w:p>
        </w:tc>
        <w:tc>
          <w:tcPr>
            <w:tcW w:w="840" w:type="dxa"/>
            <w:vAlign w:val="bottom"/>
            <w:tcBorders>
              <w:bottom w:val="single" w:sz="8" w:color="9BDA44"/>
            </w:tcBorders>
          </w:tcPr>
          <w:p>
            <w:pPr>
              <w:spacing w:after="0"/>
              <w:rPr>
                <w:sz w:val="6"/>
                <w:szCs w:val="6"/>
                <w:color w:val="auto"/>
              </w:rPr>
            </w:pPr>
          </w:p>
        </w:tc>
        <w:tc>
          <w:tcPr>
            <w:tcW w:w="200" w:type="dxa"/>
            <w:vAlign w:val="bottom"/>
            <w:tcBorders>
              <w:bottom w:val="single" w:sz="8" w:color="9BDA44"/>
            </w:tcBorders>
          </w:tcPr>
          <w:p>
            <w:pPr>
              <w:spacing w:after="0"/>
              <w:rPr>
                <w:sz w:val="6"/>
                <w:szCs w:val="6"/>
                <w:color w:val="auto"/>
              </w:rPr>
            </w:pPr>
          </w:p>
        </w:tc>
        <w:tc>
          <w:tcPr>
            <w:tcW w:w="660" w:type="dxa"/>
            <w:vAlign w:val="bottom"/>
            <w:tcBorders>
              <w:bottom w:val="single" w:sz="8" w:color="9BDA44"/>
            </w:tcBorders>
          </w:tcPr>
          <w:p>
            <w:pPr>
              <w:spacing w:after="0"/>
              <w:rPr>
                <w:sz w:val="6"/>
                <w:szCs w:val="6"/>
                <w:color w:val="auto"/>
              </w:rPr>
            </w:pPr>
          </w:p>
        </w:tc>
        <w:tc>
          <w:tcPr>
            <w:tcW w:w="140" w:type="dxa"/>
            <w:vAlign w:val="bottom"/>
            <w:tcBorders>
              <w:bottom w:val="single" w:sz="8" w:color="9BDA44"/>
            </w:tcBorders>
          </w:tcPr>
          <w:p>
            <w:pPr>
              <w:spacing w:after="0"/>
              <w:rPr>
                <w:sz w:val="6"/>
                <w:szCs w:val="6"/>
                <w:color w:val="auto"/>
              </w:rPr>
            </w:pPr>
          </w:p>
        </w:tc>
        <w:tc>
          <w:tcPr>
            <w:tcW w:w="500" w:type="dxa"/>
            <w:vAlign w:val="bottom"/>
            <w:tcBorders>
              <w:bottom w:val="single" w:sz="8" w:color="9BDA44"/>
            </w:tcBorders>
          </w:tcPr>
          <w:p>
            <w:pPr>
              <w:spacing w:after="0"/>
              <w:rPr>
                <w:sz w:val="6"/>
                <w:szCs w:val="6"/>
                <w:color w:val="auto"/>
              </w:rPr>
            </w:pPr>
          </w:p>
        </w:tc>
      </w:tr>
      <w:tr>
        <w:trPr>
          <w:trHeight w:val="201"/>
        </w:trPr>
        <w:tc>
          <w:tcPr>
            <w:tcW w:w="1540" w:type="dxa"/>
            <w:vAlign w:val="bottom"/>
            <w:tcBorders>
              <w:left w:val="single" w:sz="8" w:color="9BDA44"/>
              <w:bottom w:val="single" w:sz="8" w:color="9BDA44"/>
            </w:tcBorders>
            <w:gridSpan w:val="3"/>
          </w:tcPr>
          <w:p>
            <w:pPr>
              <w:ind w:left="40"/>
              <w:spacing w:after="0"/>
              <w:rPr>
                <w:sz w:val="20"/>
                <w:szCs w:val="20"/>
                <w:color w:val="auto"/>
              </w:rPr>
            </w:pPr>
            <w:r>
              <w:rPr>
                <w:rFonts w:ascii="Arial" w:cs="Arial" w:eastAsia="Arial" w:hAnsi="Arial"/>
                <w:sz w:val="9"/>
                <w:szCs w:val="9"/>
                <w:b w:val="1"/>
                <w:bCs w:val="1"/>
                <w:color w:val="auto"/>
                <w:w w:val="97"/>
              </w:rPr>
              <w:t>Acadia Share Total Core Properties</w:t>
            </w:r>
          </w:p>
        </w:tc>
        <w:tc>
          <w:tcPr>
            <w:tcW w:w="1820" w:type="dxa"/>
            <w:vAlign w:val="bottom"/>
            <w:tcBorders>
              <w:bottom w:val="single" w:sz="8" w:color="9BDA44"/>
            </w:tcBorders>
          </w:tcPr>
          <w:p>
            <w:pPr>
              <w:spacing w:after="0"/>
              <w:rPr>
                <w:sz w:val="17"/>
                <w:szCs w:val="17"/>
                <w:color w:val="auto"/>
              </w:rPr>
            </w:pPr>
          </w:p>
        </w:tc>
        <w:tc>
          <w:tcPr>
            <w:tcW w:w="560" w:type="dxa"/>
            <w:vAlign w:val="bottom"/>
            <w:tcBorders>
              <w:bottom w:val="single" w:sz="8" w:color="9BDA44"/>
            </w:tcBorders>
          </w:tcPr>
          <w:p>
            <w:pPr>
              <w:spacing w:after="0"/>
              <w:rPr>
                <w:sz w:val="17"/>
                <w:szCs w:val="17"/>
                <w:color w:val="auto"/>
              </w:rPr>
            </w:pPr>
          </w:p>
        </w:tc>
        <w:tc>
          <w:tcPr>
            <w:tcW w:w="560" w:type="dxa"/>
            <w:vAlign w:val="bottom"/>
            <w:tcBorders>
              <w:bottom w:val="single" w:sz="8" w:color="9BDA44"/>
            </w:tcBorders>
          </w:tcPr>
          <w:p>
            <w:pPr>
              <w:spacing w:after="0"/>
              <w:rPr>
                <w:sz w:val="17"/>
                <w:szCs w:val="17"/>
                <w:color w:val="auto"/>
              </w:rPr>
            </w:pPr>
          </w:p>
        </w:tc>
        <w:tc>
          <w:tcPr>
            <w:tcW w:w="500" w:type="dxa"/>
            <w:vAlign w:val="bottom"/>
            <w:tcBorders>
              <w:bottom w:val="single" w:sz="8" w:color="9BDA44"/>
            </w:tcBorders>
          </w:tcPr>
          <w:p>
            <w:pPr>
              <w:jc w:val="right"/>
              <w:ind w:right="16"/>
              <w:spacing w:after="0"/>
              <w:rPr>
                <w:sz w:val="20"/>
                <w:szCs w:val="20"/>
                <w:color w:val="auto"/>
              </w:rPr>
            </w:pPr>
            <w:r>
              <w:rPr>
                <w:rFonts w:ascii="Arial" w:cs="Arial" w:eastAsia="Arial" w:hAnsi="Arial"/>
                <w:sz w:val="9"/>
                <w:szCs w:val="9"/>
                <w:b w:val="1"/>
                <w:bCs w:val="1"/>
                <w:color w:val="auto"/>
              </w:rPr>
              <w:t>779,817</w:t>
            </w:r>
          </w:p>
        </w:tc>
        <w:tc>
          <w:tcPr>
            <w:tcW w:w="600" w:type="dxa"/>
            <w:vAlign w:val="bottom"/>
            <w:tcBorders>
              <w:bottom w:val="single" w:sz="8" w:color="9BDA44"/>
            </w:tcBorders>
          </w:tcPr>
          <w:p>
            <w:pPr>
              <w:jc w:val="right"/>
              <w:ind w:right="56"/>
              <w:spacing w:after="0"/>
              <w:rPr>
                <w:sz w:val="20"/>
                <w:szCs w:val="20"/>
                <w:color w:val="auto"/>
              </w:rPr>
            </w:pPr>
            <w:r>
              <w:rPr>
                <w:rFonts w:ascii="Arial" w:cs="Arial" w:eastAsia="Arial" w:hAnsi="Arial"/>
                <w:sz w:val="9"/>
                <w:szCs w:val="9"/>
                <w:b w:val="1"/>
                <w:bCs w:val="1"/>
                <w:color w:val="auto"/>
              </w:rPr>
              <w:t>3,232,987</w:t>
            </w:r>
          </w:p>
        </w:tc>
        <w:tc>
          <w:tcPr>
            <w:tcW w:w="620" w:type="dxa"/>
            <w:vAlign w:val="bottom"/>
            <w:tcBorders>
              <w:bottom w:val="single" w:sz="8" w:color="9BDA44"/>
            </w:tcBorders>
          </w:tcPr>
          <w:p>
            <w:pPr>
              <w:jc w:val="right"/>
              <w:ind w:right="116"/>
              <w:spacing w:after="0"/>
              <w:rPr>
                <w:sz w:val="20"/>
                <w:szCs w:val="20"/>
                <w:color w:val="auto"/>
              </w:rPr>
            </w:pPr>
            <w:r>
              <w:rPr>
                <w:rFonts w:ascii="Arial" w:cs="Arial" w:eastAsia="Arial" w:hAnsi="Arial"/>
                <w:sz w:val="9"/>
                <w:szCs w:val="9"/>
                <w:b w:val="1"/>
                <w:bCs w:val="1"/>
                <w:color w:val="auto"/>
              </w:rPr>
              <w:t>1,346,405</w:t>
            </w:r>
          </w:p>
        </w:tc>
        <w:tc>
          <w:tcPr>
            <w:tcW w:w="500" w:type="dxa"/>
            <w:vAlign w:val="bottom"/>
            <w:tcBorders>
              <w:bottom w:val="single" w:sz="8" w:color="9BDA44"/>
            </w:tcBorders>
          </w:tcPr>
          <w:p>
            <w:pPr>
              <w:jc w:val="right"/>
              <w:ind w:right="56"/>
              <w:spacing w:after="0"/>
              <w:rPr>
                <w:sz w:val="20"/>
                <w:szCs w:val="20"/>
                <w:color w:val="auto"/>
              </w:rPr>
            </w:pPr>
            <w:r>
              <w:rPr>
                <w:rFonts w:ascii="Arial" w:cs="Arial" w:eastAsia="Arial" w:hAnsi="Arial"/>
                <w:sz w:val="9"/>
                <w:szCs w:val="9"/>
                <w:b w:val="1"/>
                <w:bCs w:val="1"/>
                <w:color w:val="auto"/>
                <w:w w:val="94"/>
              </w:rPr>
              <w:t>5,359,209</w:t>
            </w:r>
          </w:p>
        </w:tc>
        <w:tc>
          <w:tcPr>
            <w:tcW w:w="200" w:type="dxa"/>
            <w:vAlign w:val="bottom"/>
            <w:tcBorders>
              <w:bottom w:val="single" w:sz="8" w:color="9BDA44"/>
            </w:tcBorders>
          </w:tcPr>
          <w:p>
            <w:pPr>
              <w:spacing w:after="0"/>
              <w:rPr>
                <w:sz w:val="17"/>
                <w:szCs w:val="17"/>
                <w:color w:val="auto"/>
              </w:rPr>
            </w:pPr>
          </w:p>
        </w:tc>
        <w:tc>
          <w:tcPr>
            <w:tcW w:w="600" w:type="dxa"/>
            <w:vAlign w:val="bottom"/>
            <w:tcBorders>
              <w:bottom w:val="single" w:sz="8" w:color="9BDA44"/>
            </w:tcBorders>
          </w:tcPr>
          <w:p>
            <w:pPr>
              <w:jc w:val="right"/>
              <w:ind w:right="36"/>
              <w:spacing w:after="0"/>
              <w:rPr>
                <w:sz w:val="20"/>
                <w:szCs w:val="20"/>
                <w:color w:val="auto"/>
              </w:rPr>
            </w:pPr>
            <w:r>
              <w:rPr>
                <w:rFonts w:ascii="Arial" w:cs="Arial" w:eastAsia="Arial" w:hAnsi="Arial"/>
                <w:sz w:val="9"/>
                <w:szCs w:val="9"/>
                <w:b w:val="1"/>
                <w:bCs w:val="1"/>
                <w:color w:val="auto"/>
              </w:rPr>
              <w:t>94.7%</w:t>
            </w:r>
          </w:p>
        </w:tc>
        <w:tc>
          <w:tcPr>
            <w:tcW w:w="580" w:type="dxa"/>
            <w:vAlign w:val="bottom"/>
            <w:tcBorders>
              <w:bottom w:val="single" w:sz="8" w:color="9BDA44"/>
            </w:tcBorders>
          </w:tcPr>
          <w:p>
            <w:pPr>
              <w:jc w:val="right"/>
              <w:ind w:right="56"/>
              <w:spacing w:after="0"/>
              <w:rPr>
                <w:sz w:val="20"/>
                <w:szCs w:val="20"/>
                <w:color w:val="auto"/>
              </w:rPr>
            </w:pPr>
            <w:r>
              <w:rPr>
                <w:rFonts w:ascii="Arial" w:cs="Arial" w:eastAsia="Arial" w:hAnsi="Arial"/>
                <w:sz w:val="9"/>
                <w:szCs w:val="9"/>
                <w:b w:val="1"/>
                <w:bCs w:val="1"/>
                <w:color w:val="auto"/>
              </w:rPr>
              <w:t>98.6%</w:t>
            </w:r>
          </w:p>
        </w:tc>
        <w:tc>
          <w:tcPr>
            <w:tcW w:w="560" w:type="dxa"/>
            <w:vAlign w:val="bottom"/>
            <w:tcBorders>
              <w:bottom w:val="single" w:sz="8" w:color="9BDA44"/>
            </w:tcBorders>
          </w:tcPr>
          <w:p>
            <w:pPr>
              <w:jc w:val="right"/>
              <w:ind w:right="56"/>
              <w:spacing w:after="0"/>
              <w:rPr>
                <w:sz w:val="20"/>
                <w:szCs w:val="20"/>
                <w:color w:val="auto"/>
              </w:rPr>
            </w:pPr>
            <w:r>
              <w:rPr>
                <w:rFonts w:ascii="Arial" w:cs="Arial" w:eastAsia="Arial" w:hAnsi="Arial"/>
                <w:sz w:val="9"/>
                <w:szCs w:val="9"/>
                <w:b w:val="1"/>
                <w:bCs w:val="1"/>
                <w:color w:val="auto"/>
              </w:rPr>
              <w:t>84.1%</w:t>
            </w:r>
          </w:p>
        </w:tc>
        <w:tc>
          <w:tcPr>
            <w:tcW w:w="500" w:type="dxa"/>
            <w:vAlign w:val="bottom"/>
            <w:tcBorders>
              <w:bottom w:val="single" w:sz="8" w:color="9BDA44"/>
            </w:tcBorders>
          </w:tcPr>
          <w:p>
            <w:pPr>
              <w:jc w:val="right"/>
              <w:spacing w:after="0"/>
              <w:rPr>
                <w:sz w:val="20"/>
                <w:szCs w:val="20"/>
                <w:color w:val="auto"/>
              </w:rPr>
            </w:pPr>
            <w:r>
              <w:rPr>
                <w:rFonts w:ascii="Arial" w:cs="Arial" w:eastAsia="Arial" w:hAnsi="Arial"/>
                <w:sz w:val="9"/>
                <w:szCs w:val="9"/>
                <w:b w:val="1"/>
                <w:bCs w:val="1"/>
                <w:color w:val="auto"/>
              </w:rPr>
              <w:t>94.4%</w:t>
            </w:r>
          </w:p>
        </w:tc>
        <w:tc>
          <w:tcPr>
            <w:tcW w:w="840" w:type="dxa"/>
            <w:vAlign w:val="bottom"/>
            <w:tcBorders>
              <w:bottom w:val="single" w:sz="8" w:color="9BDA44"/>
            </w:tcBorders>
          </w:tcPr>
          <w:p>
            <w:pPr>
              <w:jc w:val="right"/>
              <w:ind w:right="76"/>
              <w:spacing w:after="0"/>
              <w:rPr>
                <w:sz w:val="20"/>
                <w:szCs w:val="20"/>
                <w:color w:val="auto"/>
              </w:rPr>
            </w:pPr>
            <w:r>
              <w:rPr>
                <w:rFonts w:ascii="Arial" w:cs="Arial" w:eastAsia="Arial" w:hAnsi="Arial"/>
                <w:sz w:val="9"/>
                <w:szCs w:val="9"/>
                <w:b w:val="1"/>
                <w:bCs w:val="1"/>
                <w:color w:val="auto"/>
              </w:rPr>
              <w:t>95.3%</w:t>
            </w:r>
          </w:p>
        </w:tc>
        <w:tc>
          <w:tcPr>
            <w:tcW w:w="200" w:type="dxa"/>
            <w:vAlign w:val="bottom"/>
            <w:tcBorders>
              <w:bottom w:val="single" w:sz="8" w:color="9BDA44"/>
            </w:tcBorders>
          </w:tcPr>
          <w:p>
            <w:pPr>
              <w:ind w:left="120"/>
              <w:spacing w:after="0"/>
              <w:rPr>
                <w:sz w:val="20"/>
                <w:szCs w:val="20"/>
                <w:color w:val="auto"/>
              </w:rPr>
            </w:pPr>
            <w:r>
              <w:rPr>
                <w:rFonts w:ascii="Arial" w:cs="Arial" w:eastAsia="Arial" w:hAnsi="Arial"/>
                <w:sz w:val="9"/>
                <w:szCs w:val="9"/>
                <w:b w:val="1"/>
                <w:bCs w:val="1"/>
                <w:color w:val="auto"/>
              </w:rPr>
              <w:t>$</w:t>
            </w:r>
          </w:p>
        </w:tc>
        <w:tc>
          <w:tcPr>
            <w:tcW w:w="660" w:type="dxa"/>
            <w:vAlign w:val="bottom"/>
            <w:tcBorders>
              <w:bottom w:val="single" w:sz="8" w:color="9BDA44"/>
            </w:tcBorders>
          </w:tcPr>
          <w:p>
            <w:pPr>
              <w:jc w:val="right"/>
              <w:ind w:right="117"/>
              <w:spacing w:after="0"/>
              <w:rPr>
                <w:sz w:val="20"/>
                <w:szCs w:val="20"/>
                <w:color w:val="auto"/>
              </w:rPr>
            </w:pPr>
            <w:r>
              <w:rPr>
                <w:rFonts w:ascii="Arial" w:cs="Arial" w:eastAsia="Arial" w:hAnsi="Arial"/>
                <w:sz w:val="9"/>
                <w:szCs w:val="9"/>
                <w:b w:val="1"/>
                <w:bCs w:val="1"/>
                <w:color w:val="auto"/>
                <w:w w:val="95"/>
              </w:rPr>
              <w:t>132,911,034</w:t>
            </w:r>
          </w:p>
        </w:tc>
        <w:tc>
          <w:tcPr>
            <w:tcW w:w="140" w:type="dxa"/>
            <w:vAlign w:val="bottom"/>
            <w:tcBorders>
              <w:bottom w:val="single" w:sz="8" w:color="9BDA44"/>
            </w:tcBorders>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9BDA44"/>
              <w:right w:val="single" w:sz="8" w:color="9BDA44"/>
            </w:tcBorders>
          </w:tcPr>
          <w:p>
            <w:pPr>
              <w:jc w:val="right"/>
              <w:ind w:right="76"/>
              <w:spacing w:after="0"/>
              <w:rPr>
                <w:sz w:val="20"/>
                <w:szCs w:val="20"/>
                <w:color w:val="auto"/>
              </w:rPr>
            </w:pPr>
            <w:r>
              <w:rPr>
                <w:rFonts w:ascii="Arial" w:cs="Arial" w:eastAsia="Arial" w:hAnsi="Arial"/>
                <w:sz w:val="9"/>
                <w:szCs w:val="9"/>
                <w:b w:val="1"/>
                <w:bCs w:val="1"/>
                <w:color w:val="auto"/>
              </w:rPr>
              <w:t>27.58</w:t>
            </w:r>
          </w:p>
        </w:tc>
      </w:tr>
      <w:tr>
        <w:trPr>
          <w:trHeight w:val="271"/>
        </w:trPr>
        <w:tc>
          <w:tcPr>
            <w:tcW w:w="1540" w:type="dxa"/>
            <w:vAlign w:val="bottom"/>
            <w:gridSpan w:val="3"/>
          </w:tcPr>
          <w:p>
            <w:pPr>
              <w:spacing w:after="0"/>
              <w:rPr>
                <w:sz w:val="20"/>
                <w:szCs w:val="20"/>
                <w:color w:val="auto"/>
              </w:rPr>
            </w:pPr>
            <w:r>
              <w:rPr>
                <w:rFonts w:ascii="Arial" w:cs="Arial" w:eastAsia="Arial" w:hAnsi="Arial"/>
                <w:sz w:val="15"/>
                <w:szCs w:val="15"/>
                <w:color w:val="auto"/>
              </w:rPr>
              <w:t>__________</w:t>
            </w:r>
          </w:p>
        </w:tc>
        <w:tc>
          <w:tcPr>
            <w:tcW w:w="1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r>
    </w:tbl>
    <w:p>
      <w:pPr>
        <w:spacing w:after="0" w:line="180" w:lineRule="exact"/>
        <w:rPr>
          <w:sz w:val="20"/>
          <w:szCs w:val="20"/>
          <w:color w:val="auto"/>
        </w:rPr>
      </w:pPr>
    </w:p>
    <w:p>
      <w:pPr>
        <w:ind w:left="540" w:hanging="270"/>
        <w:spacing w:after="0"/>
        <w:tabs>
          <w:tab w:leader="none" w:pos="54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The above occupancy and rent amounts do not include space which is currently leased, other than "leased occupancy", but for which rent payment has not yet commenced. Residential and office GLA is excluded.</w:t>
      </w:r>
    </w:p>
    <w:p>
      <w:pPr>
        <w:spacing w:after="0" w:line="16" w:lineRule="exact"/>
        <w:rPr>
          <w:rFonts w:ascii="Arial" w:cs="Arial" w:eastAsia="Arial" w:hAnsi="Arial"/>
          <w:sz w:val="10"/>
          <w:szCs w:val="10"/>
          <w:color w:val="auto"/>
        </w:rPr>
      </w:pPr>
    </w:p>
    <w:p>
      <w:pPr>
        <w:ind w:left="540" w:hanging="270"/>
        <w:spacing w:after="0" w:line="228" w:lineRule="auto"/>
        <w:tabs>
          <w:tab w:leader="none" w:pos="5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Represents the annual base rent paid to Acadia pursuant to a master lessee and does not reflect the rent paid by the retail tenants at the property.</w:t>
      </w:r>
    </w:p>
    <w:p>
      <w:pPr>
        <w:ind w:left="540" w:hanging="270"/>
        <w:spacing w:after="0" w:line="228" w:lineRule="auto"/>
        <w:tabs>
          <w:tab w:leader="none" w:pos="5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Excludes 94,000 of office GLA.</w:t>
      </w:r>
    </w:p>
    <w:p>
      <w:pPr>
        <w:ind w:left="540" w:hanging="270"/>
        <w:spacing w:after="0" w:line="228" w:lineRule="auto"/>
        <w:tabs>
          <w:tab w:leader="none" w:pos="5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Anchor GLA includes a 97,300 square foot Wal-Mart store which is not owned by the Company. This square footage has been excluded for calculating annualized base rent per square foot.</w:t>
      </w:r>
    </w:p>
    <w:p>
      <w:pPr>
        <w:ind w:left="540" w:hanging="270"/>
        <w:spacing w:after="0"/>
        <w:tabs>
          <w:tab w:leader="none" w:pos="5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Anchor GLA includes a 157,616 square foot Target store which is not owned by the Company. This square footage has been excluded for calculating annualized base rent per square foot.</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27</w:t>
            </w:r>
          </w:p>
        </w:tc>
      </w:tr>
    </w:tbl>
    <w:p>
      <w:pPr>
        <w:sectPr>
          <w:pgSz w:w="11900" w:h="16838" w:orient="portrait"/>
          <w:cols w:equalWidth="0" w:num="1">
            <w:col w:w="11480"/>
          </w:cols>
          <w:pgMar w:left="220" w:top="617" w:right="199" w:bottom="1440" w:gutter="0" w:footer="0" w:header="0"/>
        </w:sectPr>
      </w:pPr>
    </w:p>
    <w:bookmarkStart w:id="39" w:name="page40"/>
    <w:bookmarkEnd w:id="39"/>
    <w:p>
      <w:pPr>
        <w:ind w:left="20"/>
        <w:spacing w:after="0"/>
        <w:rPr>
          <w:sz w:val="20"/>
          <w:szCs w:val="20"/>
          <w:color w:val="auto"/>
        </w:rPr>
      </w:pPr>
      <w:r>
        <w:rPr>
          <w:rFonts w:ascii="Arial" w:cs="Arial" w:eastAsia="Arial" w:hAnsi="Arial"/>
          <w:sz w:val="20"/>
          <w:szCs w:val="20"/>
          <w:b w:val="1"/>
          <w:bCs w:val="1"/>
          <w:color w:val="auto"/>
        </w:rPr>
        <w:t xml:space="preserve">Core Portfolio Top Tenants - Ranked by Annual Base Rent (ABR)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7265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5"/>
                <w:szCs w:val="15"/>
                <w:b w:val="1"/>
                <w:bCs w:val="1"/>
                <w:color w:val="auto"/>
              </w:rPr>
              <w:t>Pro-Rata</w:t>
            </w:r>
          </w:p>
        </w:tc>
        <w:tc>
          <w:tcPr>
            <w:tcW w:w="10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6" w:lineRule="exact"/>
              <w:rPr>
                <w:sz w:val="20"/>
                <w:szCs w:val="20"/>
                <w:color w:val="auto"/>
              </w:rPr>
            </w:pPr>
            <w:r>
              <w:rPr>
                <w:rFonts w:ascii="Arial" w:cs="Arial" w:eastAsia="Arial" w:hAnsi="Arial"/>
                <w:sz w:val="15"/>
                <w:szCs w:val="15"/>
                <w:b w:val="1"/>
                <w:bCs w:val="1"/>
                <w:color w:val="auto"/>
                <w:w w:val="98"/>
              </w:rPr>
              <w:t>Number of</w:t>
            </w:r>
          </w:p>
        </w:tc>
        <w:tc>
          <w:tcPr>
            <w:tcW w:w="2760" w:type="dxa"/>
            <w:vAlign w:val="bottom"/>
            <w:gridSpan w:val="5"/>
            <w:vMerge w:val="restart"/>
          </w:tcPr>
          <w:p>
            <w:pPr>
              <w:ind w:left="800"/>
              <w:spacing w:after="0"/>
              <w:rPr>
                <w:sz w:val="20"/>
                <w:szCs w:val="20"/>
                <w:color w:val="auto"/>
              </w:rPr>
            </w:pPr>
            <w:r>
              <w:rPr>
                <w:rFonts w:ascii="Arial" w:cs="Arial" w:eastAsia="Arial" w:hAnsi="Arial"/>
                <w:sz w:val="15"/>
                <w:szCs w:val="15"/>
                <w:b w:val="1"/>
                <w:bCs w:val="1"/>
                <w:color w:val="auto"/>
              </w:rPr>
              <w:t>Combined</w:t>
            </w:r>
          </w:p>
        </w:tc>
        <w:tc>
          <w:tcPr>
            <w:tcW w:w="1980" w:type="dxa"/>
            <w:vAlign w:val="bottom"/>
            <w:gridSpan w:val="2"/>
            <w:vMerge w:val="restart"/>
          </w:tcPr>
          <w:p>
            <w:pPr>
              <w:jc w:val="right"/>
              <w:ind w:right="427"/>
              <w:spacing w:after="0"/>
              <w:rPr>
                <w:sz w:val="20"/>
                <w:szCs w:val="20"/>
                <w:color w:val="auto"/>
              </w:rPr>
            </w:pPr>
            <w:r>
              <w:rPr>
                <w:rFonts w:ascii="Arial" w:cs="Arial" w:eastAsia="Arial" w:hAnsi="Arial"/>
                <w:sz w:val="15"/>
                <w:szCs w:val="15"/>
                <w:b w:val="1"/>
                <w:bCs w:val="1"/>
                <w:color w:val="auto"/>
              </w:rPr>
              <w:t>Percentage of Total</w:t>
            </w:r>
          </w:p>
        </w:tc>
        <w:tc>
          <w:tcPr>
            <w:tcW w:w="0" w:type="dxa"/>
            <w:vAlign w:val="bottom"/>
          </w:tcPr>
          <w:p>
            <w:pPr>
              <w:spacing w:after="0"/>
              <w:rPr>
                <w:sz w:val="1"/>
                <w:szCs w:val="1"/>
                <w:color w:val="auto"/>
              </w:rPr>
            </w:pPr>
          </w:p>
        </w:tc>
      </w:tr>
      <w:tr>
        <w:trPr>
          <w:trHeight w:val="100"/>
        </w:trPr>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jc w:val="center"/>
              <w:ind w:right="100"/>
              <w:spacing w:after="0" w:line="164" w:lineRule="exact"/>
              <w:rPr>
                <w:sz w:val="20"/>
                <w:szCs w:val="20"/>
                <w:color w:val="auto"/>
              </w:rPr>
            </w:pPr>
            <w:r>
              <w:rPr>
                <w:rFonts w:ascii="Arial" w:cs="Arial" w:eastAsia="Arial" w:hAnsi="Arial"/>
                <w:sz w:val="15"/>
                <w:szCs w:val="15"/>
                <w:b w:val="1"/>
                <w:bCs w:val="1"/>
                <w:color w:val="auto"/>
                <w:w w:val="95"/>
              </w:rPr>
              <w:t>Stores in Core</w:t>
            </w:r>
          </w:p>
        </w:tc>
        <w:tc>
          <w:tcPr>
            <w:tcW w:w="2760" w:type="dxa"/>
            <w:vAlign w:val="bottom"/>
            <w:gridSpan w:val="5"/>
            <w:vMerge w:val="continue"/>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5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Tenant</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Portfolio</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rPr>
              <w:t>GLA</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ABR</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b w:val="1"/>
                <w:bCs w:val="1"/>
                <w:color w:val="auto"/>
              </w:rPr>
              <w:t>GLA</w:t>
            </w:r>
          </w:p>
        </w:tc>
        <w:tc>
          <w:tcPr>
            <w:tcW w:w="98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ABR</w:t>
            </w:r>
          </w:p>
        </w:tc>
        <w:tc>
          <w:tcPr>
            <w:tcW w:w="0" w:type="dxa"/>
            <w:vAlign w:val="bottom"/>
          </w:tcPr>
          <w:p>
            <w:pPr>
              <w:spacing w:after="0"/>
              <w:rPr>
                <w:sz w:val="1"/>
                <w:szCs w:val="1"/>
                <w:color w:val="auto"/>
              </w:rPr>
            </w:pPr>
          </w:p>
        </w:tc>
      </w:tr>
      <w:tr>
        <w:trPr>
          <w:trHeight w:val="334"/>
        </w:trPr>
        <w:tc>
          <w:tcPr>
            <w:tcW w:w="5480" w:type="dxa"/>
            <w:vAlign w:val="bottom"/>
            <w:gridSpan w:val="2"/>
          </w:tcPr>
          <w:p>
            <w:pPr>
              <w:ind w:left="20"/>
              <w:spacing w:after="0"/>
              <w:rPr>
                <w:sz w:val="20"/>
                <w:szCs w:val="20"/>
                <w:color w:val="auto"/>
              </w:rPr>
            </w:pPr>
            <w:r>
              <w:rPr>
                <w:rFonts w:ascii="Arial" w:cs="Arial" w:eastAsia="Arial" w:hAnsi="Arial"/>
                <w:sz w:val="15"/>
                <w:szCs w:val="15"/>
                <w:b w:val="1"/>
                <w:bCs w:val="1"/>
                <w:color w:val="auto"/>
              </w:rPr>
              <w:t>Target</w:t>
            </w:r>
          </w:p>
        </w:tc>
        <w:tc>
          <w:tcPr>
            <w:tcW w:w="1140" w:type="dxa"/>
            <w:vAlign w:val="bottom"/>
          </w:tcPr>
          <w:p>
            <w:pPr>
              <w:jc w:val="right"/>
              <w:ind w:right="27"/>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390,416</w:t>
            </w:r>
          </w:p>
        </w:tc>
        <w:tc>
          <w:tcPr>
            <w:tcW w:w="2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ind w:right="47"/>
              <w:spacing w:after="0"/>
              <w:rPr>
                <w:sz w:val="20"/>
                <w:szCs w:val="20"/>
                <w:color w:val="auto"/>
              </w:rPr>
            </w:pPr>
            <w:r>
              <w:rPr>
                <w:rFonts w:ascii="Arial" w:cs="Arial" w:eastAsia="Arial" w:hAnsi="Arial"/>
                <w:sz w:val="15"/>
                <w:szCs w:val="15"/>
                <w:b w:val="1"/>
                <w:bCs w:val="1"/>
                <w:color w:val="auto"/>
              </w:rPr>
              <w:t>7,809,968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b w:val="1"/>
                <w:bCs w:val="1"/>
                <w:color w:val="auto"/>
              </w:rPr>
              <w:t>7.3%</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5.9%</w:t>
            </w:r>
          </w:p>
        </w:tc>
        <w:tc>
          <w:tcPr>
            <w:tcW w:w="0" w:type="dxa"/>
            <w:vAlign w:val="bottom"/>
          </w:tcPr>
          <w:p>
            <w:pPr>
              <w:spacing w:after="0"/>
              <w:rPr>
                <w:sz w:val="1"/>
                <w:szCs w:val="1"/>
                <w:color w:val="auto"/>
              </w:rPr>
            </w:pPr>
          </w:p>
        </w:tc>
      </w:tr>
      <w:tr>
        <w:trPr>
          <w:trHeight w:val="317"/>
        </w:trPr>
        <w:tc>
          <w:tcPr>
            <w:tcW w:w="5480" w:type="dxa"/>
            <w:vAlign w:val="bottom"/>
            <w:gridSpan w:val="2"/>
          </w:tcPr>
          <w:p>
            <w:pPr>
              <w:ind w:left="20"/>
              <w:spacing w:after="0"/>
              <w:rPr>
                <w:sz w:val="20"/>
                <w:szCs w:val="20"/>
                <w:color w:val="auto"/>
              </w:rPr>
            </w:pPr>
            <w:r>
              <w:rPr>
                <w:rFonts w:ascii="Arial" w:cs="Arial" w:eastAsia="Arial" w:hAnsi="Arial"/>
                <w:sz w:val="15"/>
                <w:szCs w:val="15"/>
                <w:b w:val="1"/>
                <w:bCs w:val="1"/>
                <w:color w:val="auto"/>
              </w:rPr>
              <w:t>H &amp; M</w:t>
            </w:r>
          </w:p>
        </w:tc>
        <w:tc>
          <w:tcPr>
            <w:tcW w:w="1140" w:type="dxa"/>
            <w:vAlign w:val="bottom"/>
          </w:tcPr>
          <w:p>
            <w:pPr>
              <w:jc w:val="right"/>
              <w:ind w:right="27"/>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81,246</w:t>
            </w:r>
          </w:p>
        </w:tc>
        <w:tc>
          <w:tcPr>
            <w:tcW w:w="240" w:type="dxa"/>
            <w:vAlign w:val="bottom"/>
          </w:tcPr>
          <w:p>
            <w:pPr>
              <w:spacing w:after="0"/>
              <w:rPr>
                <w:sz w:val="24"/>
                <w:szCs w:val="24"/>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b w:val="1"/>
                <w:bCs w:val="1"/>
                <w:color w:val="auto"/>
              </w:rPr>
              <w:t>5,309,815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b w:val="1"/>
                <w:bCs w:val="1"/>
                <w:color w:val="auto"/>
              </w:rPr>
              <w:t>1.5%</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4.0%</w:t>
            </w:r>
          </w:p>
        </w:tc>
        <w:tc>
          <w:tcPr>
            <w:tcW w:w="0" w:type="dxa"/>
            <w:vAlign w:val="bottom"/>
          </w:tcPr>
          <w:p>
            <w:pPr>
              <w:spacing w:after="0"/>
              <w:rPr>
                <w:sz w:val="1"/>
                <w:szCs w:val="1"/>
                <w:color w:val="auto"/>
              </w:rPr>
            </w:pPr>
          </w:p>
        </w:tc>
      </w:tr>
      <w:tr>
        <w:trPr>
          <w:trHeight w:val="365"/>
        </w:trPr>
        <w:tc>
          <w:tcPr>
            <w:tcW w:w="5480" w:type="dxa"/>
            <w:vAlign w:val="bottom"/>
            <w:gridSpan w:val="2"/>
          </w:tcPr>
          <w:p>
            <w:pPr>
              <w:ind w:left="20"/>
              <w:spacing w:after="0"/>
              <w:rPr>
                <w:sz w:val="20"/>
                <w:szCs w:val="20"/>
                <w:color w:val="auto"/>
              </w:rPr>
            </w:pPr>
            <w:r>
              <w:rPr>
                <w:rFonts w:ascii="Arial" w:cs="Arial" w:eastAsia="Arial" w:hAnsi="Arial"/>
                <w:sz w:val="15"/>
                <w:szCs w:val="15"/>
                <w:b w:val="1"/>
                <w:bCs w:val="1"/>
                <w:color w:val="auto"/>
              </w:rPr>
              <w:t xml:space="preserve">Royal Ahold </w:t>
            </w:r>
            <w:r>
              <w:rPr>
                <w:rFonts w:ascii="Arial" w:cs="Arial" w:eastAsia="Arial" w:hAnsi="Arial"/>
                <w:sz w:val="17"/>
                <w:szCs w:val="17"/>
                <w:b w:val="1"/>
                <w:bCs w:val="1"/>
                <w:color w:val="auto"/>
                <w:vertAlign w:val="superscript"/>
              </w:rPr>
              <w:t>2</w:t>
            </w:r>
          </w:p>
        </w:tc>
        <w:tc>
          <w:tcPr>
            <w:tcW w:w="1140" w:type="dxa"/>
            <w:vAlign w:val="bottom"/>
          </w:tcPr>
          <w:p>
            <w:pPr>
              <w:jc w:val="right"/>
              <w:ind w:right="27"/>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207,513</w:t>
            </w:r>
          </w:p>
        </w:tc>
        <w:tc>
          <w:tcPr>
            <w:tcW w:w="240" w:type="dxa"/>
            <w:vAlign w:val="bottom"/>
          </w:tcPr>
          <w:p>
            <w:pPr>
              <w:spacing w:after="0"/>
              <w:rPr>
                <w:sz w:val="24"/>
                <w:szCs w:val="24"/>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b w:val="1"/>
                <w:bCs w:val="1"/>
                <w:color w:val="auto"/>
              </w:rPr>
              <w:t>3,730,474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b w:val="1"/>
                <w:bCs w:val="1"/>
                <w:color w:val="auto"/>
              </w:rPr>
              <w:t>3.9%</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2.8%</w:t>
            </w:r>
          </w:p>
        </w:tc>
        <w:tc>
          <w:tcPr>
            <w:tcW w:w="0" w:type="dxa"/>
            <w:vAlign w:val="bottom"/>
          </w:tcPr>
          <w:p>
            <w:pPr>
              <w:spacing w:after="0"/>
              <w:rPr>
                <w:sz w:val="1"/>
                <w:szCs w:val="1"/>
                <w:color w:val="auto"/>
              </w:rPr>
            </w:pPr>
          </w:p>
        </w:tc>
      </w:tr>
      <w:tr>
        <w:trPr>
          <w:trHeight w:val="269"/>
        </w:trPr>
        <w:tc>
          <w:tcPr>
            <w:tcW w:w="5480" w:type="dxa"/>
            <w:vAlign w:val="bottom"/>
            <w:gridSpan w:val="2"/>
          </w:tcPr>
          <w:p>
            <w:pPr>
              <w:ind w:left="20"/>
              <w:spacing w:after="0"/>
              <w:rPr>
                <w:sz w:val="20"/>
                <w:szCs w:val="20"/>
                <w:color w:val="auto"/>
              </w:rPr>
            </w:pPr>
            <w:r>
              <w:rPr>
                <w:rFonts w:ascii="Arial" w:cs="Arial" w:eastAsia="Arial" w:hAnsi="Arial"/>
                <w:sz w:val="15"/>
                <w:szCs w:val="15"/>
                <w:b w:val="1"/>
                <w:bCs w:val="1"/>
                <w:color w:val="auto"/>
              </w:rPr>
              <w:t>Walgreens</w:t>
            </w:r>
          </w:p>
        </w:tc>
        <w:tc>
          <w:tcPr>
            <w:tcW w:w="1140" w:type="dxa"/>
            <w:vAlign w:val="bottom"/>
          </w:tcPr>
          <w:p>
            <w:pPr>
              <w:jc w:val="right"/>
              <w:ind w:right="27"/>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78,254</w:t>
            </w:r>
          </w:p>
        </w:tc>
        <w:tc>
          <w:tcPr>
            <w:tcW w:w="240" w:type="dxa"/>
            <w:vAlign w:val="bottom"/>
          </w:tcPr>
          <w:p>
            <w:pPr>
              <w:spacing w:after="0"/>
              <w:rPr>
                <w:sz w:val="23"/>
                <w:szCs w:val="23"/>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b w:val="1"/>
                <w:bCs w:val="1"/>
                <w:color w:val="auto"/>
              </w:rPr>
              <w:t>3,598,966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b w:val="1"/>
                <w:bCs w:val="1"/>
                <w:color w:val="auto"/>
              </w:rPr>
              <w:t>1.5%</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2.7%</w:t>
            </w:r>
          </w:p>
        </w:tc>
        <w:tc>
          <w:tcPr>
            <w:tcW w:w="0" w:type="dxa"/>
            <w:vAlign w:val="bottom"/>
          </w:tcPr>
          <w:p>
            <w:pPr>
              <w:spacing w:after="0"/>
              <w:rPr>
                <w:sz w:val="1"/>
                <w:szCs w:val="1"/>
                <w:color w:val="auto"/>
              </w:rPr>
            </w:pPr>
          </w:p>
        </w:tc>
      </w:tr>
      <w:tr>
        <w:trPr>
          <w:trHeight w:val="317"/>
        </w:trPr>
        <w:tc>
          <w:tcPr>
            <w:tcW w:w="5480" w:type="dxa"/>
            <w:vAlign w:val="bottom"/>
            <w:gridSpan w:val="2"/>
          </w:tcPr>
          <w:p>
            <w:pPr>
              <w:ind w:left="20"/>
              <w:spacing w:after="0"/>
              <w:rPr>
                <w:sz w:val="20"/>
                <w:szCs w:val="20"/>
                <w:color w:val="auto"/>
              </w:rPr>
            </w:pPr>
            <w:r>
              <w:rPr>
                <w:rFonts w:ascii="Arial" w:cs="Arial" w:eastAsia="Arial" w:hAnsi="Arial"/>
                <w:sz w:val="15"/>
                <w:szCs w:val="15"/>
                <w:b w:val="1"/>
                <w:bCs w:val="1"/>
                <w:color w:val="auto"/>
              </w:rPr>
              <w:t>Nordstrom, Inc.</w:t>
            </w:r>
          </w:p>
        </w:tc>
        <w:tc>
          <w:tcPr>
            <w:tcW w:w="1140" w:type="dxa"/>
            <w:vAlign w:val="bottom"/>
          </w:tcPr>
          <w:p>
            <w:pPr>
              <w:jc w:val="right"/>
              <w:ind w:right="27"/>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88,982</w:t>
            </w:r>
          </w:p>
        </w:tc>
        <w:tc>
          <w:tcPr>
            <w:tcW w:w="240" w:type="dxa"/>
            <w:vAlign w:val="bottom"/>
          </w:tcPr>
          <w:p>
            <w:pPr>
              <w:spacing w:after="0"/>
              <w:rPr>
                <w:sz w:val="24"/>
                <w:szCs w:val="24"/>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b w:val="1"/>
                <w:bCs w:val="1"/>
                <w:color w:val="auto"/>
              </w:rPr>
              <w:t>3,339,492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b w:val="1"/>
                <w:bCs w:val="1"/>
                <w:color w:val="auto"/>
              </w:rPr>
              <w:t>1.7%</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0" w:type="dxa"/>
            <w:vAlign w:val="bottom"/>
          </w:tcPr>
          <w:p>
            <w:pPr>
              <w:spacing w:after="0"/>
              <w:rPr>
                <w:sz w:val="1"/>
                <w:szCs w:val="1"/>
                <w:color w:val="auto"/>
              </w:rPr>
            </w:pPr>
          </w:p>
        </w:tc>
      </w:tr>
      <w:tr>
        <w:trPr>
          <w:trHeight w:val="365"/>
        </w:trPr>
        <w:tc>
          <w:tcPr>
            <w:tcW w:w="5480" w:type="dxa"/>
            <w:vAlign w:val="bottom"/>
            <w:gridSpan w:val="2"/>
          </w:tcPr>
          <w:p>
            <w:pPr>
              <w:ind w:left="20"/>
              <w:spacing w:after="0"/>
              <w:rPr>
                <w:sz w:val="20"/>
                <w:szCs w:val="20"/>
                <w:color w:val="auto"/>
              </w:rPr>
            </w:pPr>
            <w:r>
              <w:rPr>
                <w:rFonts w:ascii="Arial" w:cs="Arial" w:eastAsia="Arial" w:hAnsi="Arial"/>
                <w:sz w:val="15"/>
                <w:szCs w:val="15"/>
                <w:b w:val="1"/>
                <w:bCs w:val="1"/>
                <w:color w:val="auto"/>
              </w:rPr>
              <w:t xml:space="preserve">Albertsons Companies </w:t>
            </w:r>
            <w:r>
              <w:rPr>
                <w:rFonts w:ascii="Arial" w:cs="Arial" w:eastAsia="Arial" w:hAnsi="Arial"/>
                <w:sz w:val="17"/>
                <w:szCs w:val="17"/>
                <w:b w:val="1"/>
                <w:bCs w:val="1"/>
                <w:color w:val="auto"/>
                <w:vertAlign w:val="superscript"/>
              </w:rPr>
              <w:t>3</w:t>
            </w:r>
          </w:p>
        </w:tc>
        <w:tc>
          <w:tcPr>
            <w:tcW w:w="1140" w:type="dxa"/>
            <w:vAlign w:val="bottom"/>
          </w:tcPr>
          <w:p>
            <w:pPr>
              <w:jc w:val="right"/>
              <w:ind w:right="27"/>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171,182</w:t>
            </w:r>
          </w:p>
        </w:tc>
        <w:tc>
          <w:tcPr>
            <w:tcW w:w="240" w:type="dxa"/>
            <w:vAlign w:val="bottom"/>
          </w:tcPr>
          <w:p>
            <w:pPr>
              <w:spacing w:after="0"/>
              <w:rPr>
                <w:sz w:val="24"/>
                <w:szCs w:val="24"/>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b w:val="1"/>
                <w:bCs w:val="1"/>
                <w:color w:val="auto"/>
              </w:rPr>
              <w:t>3,303,956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b w:val="1"/>
                <w:bCs w:val="1"/>
                <w:color w:val="auto"/>
              </w:rPr>
              <w:t>3.2%</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0" w:type="dxa"/>
            <w:vAlign w:val="bottom"/>
          </w:tcPr>
          <w:p>
            <w:pPr>
              <w:spacing w:after="0"/>
              <w:rPr>
                <w:sz w:val="1"/>
                <w:szCs w:val="1"/>
                <w:color w:val="auto"/>
              </w:rPr>
            </w:pPr>
          </w:p>
        </w:tc>
      </w:tr>
      <w:tr>
        <w:trPr>
          <w:trHeight w:val="317"/>
        </w:trPr>
        <w:tc>
          <w:tcPr>
            <w:tcW w:w="5480" w:type="dxa"/>
            <w:vAlign w:val="bottom"/>
            <w:gridSpan w:val="2"/>
          </w:tcPr>
          <w:p>
            <w:pPr>
              <w:ind w:left="20"/>
              <w:spacing w:after="0"/>
              <w:rPr>
                <w:sz w:val="20"/>
                <w:szCs w:val="20"/>
                <w:color w:val="auto"/>
              </w:rPr>
            </w:pPr>
            <w:r>
              <w:rPr>
                <w:rFonts w:ascii="Arial" w:cs="Arial" w:eastAsia="Arial" w:hAnsi="Arial"/>
                <w:sz w:val="15"/>
                <w:szCs w:val="15"/>
                <w:b w:val="1"/>
                <w:bCs w:val="1"/>
                <w:color w:val="auto"/>
              </w:rPr>
              <w:t xml:space="preserve">Bed, Bath, and Beyond </w:t>
            </w:r>
            <w:r>
              <w:rPr>
                <w:rFonts w:ascii="Arial" w:cs="Arial" w:eastAsia="Arial" w:hAnsi="Arial"/>
                <w:sz w:val="17"/>
                <w:szCs w:val="17"/>
                <w:b w:val="1"/>
                <w:bCs w:val="1"/>
                <w:color w:val="auto"/>
                <w:vertAlign w:val="superscript"/>
              </w:rPr>
              <w:t>4</w:t>
            </w:r>
          </w:p>
        </w:tc>
        <w:tc>
          <w:tcPr>
            <w:tcW w:w="1140" w:type="dxa"/>
            <w:vAlign w:val="bottom"/>
          </w:tcPr>
          <w:p>
            <w:pPr>
              <w:jc w:val="right"/>
              <w:ind w:right="27"/>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122,465</w:t>
            </w:r>
          </w:p>
        </w:tc>
        <w:tc>
          <w:tcPr>
            <w:tcW w:w="240" w:type="dxa"/>
            <w:vAlign w:val="bottom"/>
          </w:tcPr>
          <w:p>
            <w:pPr>
              <w:spacing w:after="0"/>
              <w:rPr>
                <w:sz w:val="24"/>
                <w:szCs w:val="24"/>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b w:val="1"/>
                <w:bCs w:val="1"/>
                <w:color w:val="auto"/>
              </w:rPr>
              <w:t>3,068,430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b w:val="1"/>
                <w:bCs w:val="1"/>
                <w:color w:val="auto"/>
              </w:rPr>
              <w:t>2.3%</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0" w:type="dxa"/>
            <w:vAlign w:val="bottom"/>
          </w:tcPr>
          <w:p>
            <w:pPr>
              <w:spacing w:after="0"/>
              <w:rPr>
                <w:sz w:val="1"/>
                <w:szCs w:val="1"/>
                <w:color w:val="auto"/>
              </w:rPr>
            </w:pPr>
          </w:p>
        </w:tc>
      </w:tr>
      <w:tr>
        <w:trPr>
          <w:trHeight w:val="317"/>
        </w:trPr>
        <w:tc>
          <w:tcPr>
            <w:tcW w:w="5480" w:type="dxa"/>
            <w:vAlign w:val="bottom"/>
            <w:gridSpan w:val="2"/>
          </w:tcPr>
          <w:p>
            <w:pPr>
              <w:ind w:left="20"/>
              <w:spacing w:after="0"/>
              <w:rPr>
                <w:sz w:val="20"/>
                <w:szCs w:val="20"/>
                <w:color w:val="auto"/>
              </w:rPr>
            </w:pPr>
            <w:r>
              <w:rPr>
                <w:rFonts w:ascii="Arial" w:cs="Arial" w:eastAsia="Arial" w:hAnsi="Arial"/>
                <w:sz w:val="15"/>
                <w:szCs w:val="15"/>
                <w:b w:val="1"/>
                <w:bCs w:val="1"/>
                <w:color w:val="auto"/>
              </w:rPr>
              <w:t xml:space="preserve">Ascena Retail Group </w:t>
            </w:r>
            <w:r>
              <w:rPr>
                <w:rFonts w:ascii="Arial" w:cs="Arial" w:eastAsia="Arial" w:hAnsi="Arial"/>
                <w:sz w:val="17"/>
                <w:szCs w:val="17"/>
                <w:b w:val="1"/>
                <w:bCs w:val="1"/>
                <w:color w:val="auto"/>
                <w:vertAlign w:val="superscript"/>
              </w:rPr>
              <w:t>5</w:t>
            </w:r>
          </w:p>
        </w:tc>
        <w:tc>
          <w:tcPr>
            <w:tcW w:w="1140" w:type="dxa"/>
            <w:vAlign w:val="bottom"/>
          </w:tcPr>
          <w:p>
            <w:pPr>
              <w:jc w:val="right"/>
              <w:ind w:right="27"/>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23,233</w:t>
            </w:r>
          </w:p>
        </w:tc>
        <w:tc>
          <w:tcPr>
            <w:tcW w:w="240" w:type="dxa"/>
            <w:vAlign w:val="bottom"/>
          </w:tcPr>
          <w:p>
            <w:pPr>
              <w:spacing w:after="0"/>
              <w:rPr>
                <w:sz w:val="24"/>
                <w:szCs w:val="24"/>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b w:val="1"/>
                <w:bCs w:val="1"/>
                <w:color w:val="auto"/>
              </w:rPr>
              <w:t>2,566,755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b w:val="1"/>
                <w:bCs w:val="1"/>
                <w:color w:val="auto"/>
              </w:rPr>
              <w:t>0.4%</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1.9%</w:t>
            </w:r>
          </w:p>
        </w:tc>
        <w:tc>
          <w:tcPr>
            <w:tcW w:w="0" w:type="dxa"/>
            <w:vAlign w:val="bottom"/>
          </w:tcPr>
          <w:p>
            <w:pPr>
              <w:spacing w:after="0"/>
              <w:rPr>
                <w:sz w:val="1"/>
                <w:szCs w:val="1"/>
                <w:color w:val="auto"/>
              </w:rPr>
            </w:pPr>
          </w:p>
        </w:tc>
      </w:tr>
      <w:tr>
        <w:trPr>
          <w:trHeight w:val="269"/>
        </w:trPr>
        <w:tc>
          <w:tcPr>
            <w:tcW w:w="5480" w:type="dxa"/>
            <w:vAlign w:val="bottom"/>
            <w:gridSpan w:val="2"/>
          </w:tcPr>
          <w:p>
            <w:pPr>
              <w:ind w:left="20"/>
              <w:spacing w:after="0"/>
              <w:rPr>
                <w:sz w:val="20"/>
                <w:szCs w:val="20"/>
                <w:color w:val="auto"/>
              </w:rPr>
            </w:pPr>
            <w:r>
              <w:rPr>
                <w:rFonts w:ascii="Arial" w:cs="Arial" w:eastAsia="Arial" w:hAnsi="Arial"/>
                <w:sz w:val="15"/>
                <w:szCs w:val="15"/>
                <w:b w:val="1"/>
                <w:bCs w:val="1"/>
                <w:color w:val="auto"/>
              </w:rPr>
              <w:t>LA Fitness International LLC</w:t>
            </w:r>
          </w:p>
        </w:tc>
        <w:tc>
          <w:tcPr>
            <w:tcW w:w="1140" w:type="dxa"/>
            <w:vAlign w:val="bottom"/>
          </w:tcPr>
          <w:p>
            <w:pPr>
              <w:jc w:val="right"/>
              <w:ind w:right="27"/>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100,000</w:t>
            </w:r>
          </w:p>
        </w:tc>
        <w:tc>
          <w:tcPr>
            <w:tcW w:w="240" w:type="dxa"/>
            <w:vAlign w:val="bottom"/>
          </w:tcPr>
          <w:p>
            <w:pPr>
              <w:spacing w:after="0"/>
              <w:rPr>
                <w:sz w:val="23"/>
                <w:szCs w:val="23"/>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b w:val="1"/>
                <w:bCs w:val="1"/>
                <w:color w:val="auto"/>
              </w:rPr>
              <w:t>2,524,787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b w:val="1"/>
                <w:bCs w:val="1"/>
                <w:color w:val="auto"/>
              </w:rPr>
              <w:t>1.9%</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1.9%</w:t>
            </w:r>
          </w:p>
        </w:tc>
        <w:tc>
          <w:tcPr>
            <w:tcW w:w="0" w:type="dxa"/>
            <w:vAlign w:val="bottom"/>
          </w:tcPr>
          <w:p>
            <w:pPr>
              <w:spacing w:after="0"/>
              <w:rPr>
                <w:sz w:val="1"/>
                <w:szCs w:val="1"/>
                <w:color w:val="auto"/>
              </w:rPr>
            </w:pPr>
          </w:p>
        </w:tc>
      </w:tr>
      <w:tr>
        <w:trPr>
          <w:trHeight w:val="317"/>
        </w:trPr>
        <w:tc>
          <w:tcPr>
            <w:tcW w:w="5480" w:type="dxa"/>
            <w:vAlign w:val="bottom"/>
            <w:gridSpan w:val="2"/>
          </w:tcPr>
          <w:p>
            <w:pPr>
              <w:ind w:left="20"/>
              <w:spacing w:after="0"/>
              <w:rPr>
                <w:sz w:val="20"/>
                <w:szCs w:val="20"/>
                <w:color w:val="auto"/>
              </w:rPr>
            </w:pPr>
            <w:r>
              <w:rPr>
                <w:rFonts w:ascii="Arial" w:cs="Arial" w:eastAsia="Arial" w:hAnsi="Arial"/>
                <w:sz w:val="15"/>
                <w:szCs w:val="15"/>
                <w:b w:val="1"/>
                <w:bCs w:val="1"/>
                <w:color w:val="auto"/>
              </w:rPr>
              <w:t>Lululemon</w:t>
            </w:r>
          </w:p>
        </w:tc>
        <w:tc>
          <w:tcPr>
            <w:tcW w:w="1140" w:type="dxa"/>
            <w:vAlign w:val="bottom"/>
          </w:tcPr>
          <w:p>
            <w:pPr>
              <w:jc w:val="right"/>
              <w:ind w:right="27"/>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7,533</w:t>
            </w:r>
          </w:p>
        </w:tc>
        <w:tc>
          <w:tcPr>
            <w:tcW w:w="240" w:type="dxa"/>
            <w:vAlign w:val="bottom"/>
          </w:tcPr>
          <w:p>
            <w:pPr>
              <w:spacing w:after="0"/>
              <w:rPr>
                <w:sz w:val="24"/>
                <w:szCs w:val="24"/>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b w:val="1"/>
                <w:bCs w:val="1"/>
                <w:color w:val="auto"/>
              </w:rPr>
              <w:t>2,268,281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b w:val="1"/>
                <w:bCs w:val="1"/>
                <w:color w:val="auto"/>
              </w:rPr>
              <w:t>0.1%</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0" w:type="dxa"/>
            <w:vAlign w:val="bottom"/>
          </w:tcPr>
          <w:p>
            <w:pPr>
              <w:spacing w:after="0"/>
              <w:rPr>
                <w:sz w:val="1"/>
                <w:szCs w:val="1"/>
                <w:color w:val="auto"/>
              </w:rPr>
            </w:pPr>
          </w:p>
        </w:tc>
      </w:tr>
      <w:tr>
        <w:trPr>
          <w:trHeight w:val="317"/>
        </w:trPr>
        <w:tc>
          <w:tcPr>
            <w:tcW w:w="5480" w:type="dxa"/>
            <w:vAlign w:val="bottom"/>
            <w:gridSpan w:val="2"/>
          </w:tcPr>
          <w:p>
            <w:pPr>
              <w:ind w:left="20"/>
              <w:spacing w:after="0"/>
              <w:rPr>
                <w:sz w:val="20"/>
                <w:szCs w:val="20"/>
                <w:color w:val="auto"/>
              </w:rPr>
            </w:pPr>
            <w:r>
              <w:rPr>
                <w:rFonts w:ascii="Arial" w:cs="Arial" w:eastAsia="Arial" w:hAnsi="Arial"/>
                <w:sz w:val="15"/>
                <w:szCs w:val="15"/>
                <w:color w:val="auto"/>
              </w:rPr>
              <w:t>Trader Joe's</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41,432</w:t>
            </w:r>
          </w:p>
        </w:tc>
        <w:tc>
          <w:tcPr>
            <w:tcW w:w="240" w:type="dxa"/>
            <w:vAlign w:val="bottom"/>
          </w:tcPr>
          <w:p>
            <w:pPr>
              <w:spacing w:after="0"/>
              <w:rPr>
                <w:sz w:val="24"/>
                <w:szCs w:val="24"/>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2,225,739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0.8%</w:t>
            </w:r>
          </w:p>
        </w:tc>
        <w:tc>
          <w:tcPr>
            <w:tcW w:w="98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63"/>
        </w:trPr>
        <w:tc>
          <w:tcPr>
            <w:tcW w:w="5480" w:type="dxa"/>
            <w:vAlign w:val="bottom"/>
            <w:gridSpan w:val="2"/>
          </w:tcPr>
          <w:p>
            <w:pPr>
              <w:ind w:left="20"/>
              <w:spacing w:after="0"/>
              <w:rPr>
                <w:sz w:val="20"/>
                <w:szCs w:val="20"/>
                <w:color w:val="auto"/>
              </w:rPr>
            </w:pPr>
            <w:r>
              <w:rPr>
                <w:rFonts w:ascii="Arial" w:cs="Arial" w:eastAsia="Arial" w:hAnsi="Arial"/>
                <w:sz w:val="15"/>
                <w:szCs w:val="15"/>
                <w:color w:val="auto"/>
              </w:rPr>
              <w:t xml:space="preserve">TJX Companies </w:t>
            </w:r>
            <w:r>
              <w:rPr>
                <w:rFonts w:ascii="Arial" w:cs="Arial" w:eastAsia="Arial" w:hAnsi="Arial"/>
                <w:sz w:val="17"/>
                <w:szCs w:val="17"/>
                <w:color w:val="auto"/>
                <w:vertAlign w:val="superscript"/>
              </w:rPr>
              <w:t>6</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208,450</w:t>
            </w:r>
          </w:p>
        </w:tc>
        <w:tc>
          <w:tcPr>
            <w:tcW w:w="240" w:type="dxa"/>
            <w:vAlign w:val="bottom"/>
          </w:tcPr>
          <w:p>
            <w:pPr>
              <w:spacing w:after="0"/>
              <w:rPr>
                <w:sz w:val="22"/>
                <w:szCs w:val="22"/>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2,095,098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3.9%</w:t>
            </w:r>
          </w:p>
        </w:tc>
        <w:tc>
          <w:tcPr>
            <w:tcW w:w="98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4"/>
        </w:trPr>
        <w:tc>
          <w:tcPr>
            <w:tcW w:w="5480" w:type="dxa"/>
            <w:vAlign w:val="bottom"/>
            <w:gridSpan w:val="2"/>
          </w:tcPr>
          <w:p>
            <w:pPr>
              <w:ind w:left="20"/>
              <w:spacing w:after="0"/>
              <w:rPr>
                <w:sz w:val="20"/>
                <w:szCs w:val="20"/>
                <w:color w:val="auto"/>
              </w:rPr>
            </w:pPr>
            <w:r>
              <w:rPr>
                <w:rFonts w:ascii="Arial" w:cs="Arial" w:eastAsia="Arial" w:hAnsi="Arial"/>
                <w:sz w:val="15"/>
                <w:szCs w:val="15"/>
                <w:color w:val="auto"/>
              </w:rPr>
              <w:t>Home Depot</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312,718</w:t>
            </w:r>
          </w:p>
        </w:tc>
        <w:tc>
          <w:tcPr>
            <w:tcW w:w="240" w:type="dxa"/>
            <w:vAlign w:val="bottom"/>
          </w:tcPr>
          <w:p>
            <w:pPr>
              <w:spacing w:after="0"/>
              <w:rPr>
                <w:sz w:val="15"/>
                <w:szCs w:val="15"/>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1,928,791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5.8%</w:t>
            </w:r>
          </w:p>
        </w:tc>
        <w:tc>
          <w:tcPr>
            <w:tcW w:w="98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61"/>
        </w:trPr>
        <w:tc>
          <w:tcPr>
            <w:tcW w:w="5480" w:type="dxa"/>
            <w:vAlign w:val="bottom"/>
            <w:gridSpan w:val="2"/>
          </w:tcPr>
          <w:p>
            <w:pPr>
              <w:ind w:left="20"/>
              <w:spacing w:after="0"/>
              <w:rPr>
                <w:sz w:val="20"/>
                <w:szCs w:val="20"/>
                <w:color w:val="auto"/>
              </w:rPr>
            </w:pPr>
            <w:r>
              <w:rPr>
                <w:rFonts w:ascii="Arial" w:cs="Arial" w:eastAsia="Arial" w:hAnsi="Arial"/>
                <w:sz w:val="15"/>
                <w:szCs w:val="15"/>
                <w:color w:val="auto"/>
              </w:rPr>
              <w:t xml:space="preserve">Gap </w:t>
            </w:r>
            <w:r>
              <w:rPr>
                <w:rFonts w:ascii="Arial" w:cs="Arial" w:eastAsia="Arial" w:hAnsi="Arial"/>
                <w:sz w:val="17"/>
                <w:szCs w:val="17"/>
                <w:color w:val="auto"/>
                <w:vertAlign w:val="superscript"/>
              </w:rPr>
              <w:t>7</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39,717</w:t>
            </w:r>
          </w:p>
        </w:tc>
        <w:tc>
          <w:tcPr>
            <w:tcW w:w="240" w:type="dxa"/>
            <w:vAlign w:val="bottom"/>
          </w:tcPr>
          <w:p>
            <w:pPr>
              <w:spacing w:after="0"/>
              <w:rPr>
                <w:sz w:val="22"/>
                <w:szCs w:val="22"/>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1,836,003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0.7%</w:t>
            </w:r>
          </w:p>
        </w:tc>
        <w:tc>
          <w:tcPr>
            <w:tcW w:w="98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20"/>
        </w:trPr>
        <w:tc>
          <w:tcPr>
            <w:tcW w:w="5480" w:type="dxa"/>
            <w:vAlign w:val="bottom"/>
            <w:gridSpan w:val="2"/>
          </w:tcPr>
          <w:p>
            <w:pPr>
              <w:ind w:left="20"/>
              <w:spacing w:after="0"/>
              <w:rPr>
                <w:sz w:val="20"/>
                <w:szCs w:val="20"/>
                <w:color w:val="auto"/>
              </w:rPr>
            </w:pPr>
            <w:r>
              <w:rPr>
                <w:rFonts w:ascii="Arial" w:cs="Arial" w:eastAsia="Arial" w:hAnsi="Arial"/>
                <w:sz w:val="15"/>
                <w:szCs w:val="15"/>
                <w:color w:val="auto"/>
              </w:rPr>
              <w:t xml:space="preserve">Tapestry </w:t>
            </w:r>
            <w:r>
              <w:rPr>
                <w:rFonts w:ascii="Arial" w:cs="Arial" w:eastAsia="Arial" w:hAnsi="Arial"/>
                <w:sz w:val="17"/>
                <w:szCs w:val="17"/>
                <w:color w:val="auto"/>
                <w:vertAlign w:val="superscript"/>
              </w:rPr>
              <w:t>8</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4,250</w:t>
            </w:r>
          </w:p>
        </w:tc>
        <w:tc>
          <w:tcPr>
            <w:tcW w:w="240" w:type="dxa"/>
            <w:vAlign w:val="bottom"/>
          </w:tcPr>
          <w:p>
            <w:pPr>
              <w:spacing w:after="0"/>
              <w:rPr>
                <w:sz w:val="19"/>
                <w:szCs w:val="19"/>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1,498,184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0.1%</w:t>
            </w: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4"/>
        </w:trPr>
        <w:tc>
          <w:tcPr>
            <w:tcW w:w="5480" w:type="dxa"/>
            <w:vAlign w:val="bottom"/>
            <w:gridSpan w:val="2"/>
          </w:tcPr>
          <w:p>
            <w:pPr>
              <w:ind w:left="20"/>
              <w:spacing w:after="0"/>
              <w:rPr>
                <w:sz w:val="20"/>
                <w:szCs w:val="20"/>
                <w:color w:val="auto"/>
              </w:rPr>
            </w:pPr>
            <w:r>
              <w:rPr>
                <w:rFonts w:ascii="Arial" w:cs="Arial" w:eastAsia="Arial" w:hAnsi="Arial"/>
                <w:sz w:val="15"/>
                <w:szCs w:val="15"/>
                <w:color w:val="auto"/>
              </w:rPr>
              <w:t>Bob's Discount Furniture</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57,969</w:t>
            </w:r>
          </w:p>
        </w:tc>
        <w:tc>
          <w:tcPr>
            <w:tcW w:w="240" w:type="dxa"/>
            <w:vAlign w:val="bottom"/>
          </w:tcPr>
          <w:p>
            <w:pPr>
              <w:spacing w:after="0"/>
              <w:rPr>
                <w:sz w:val="15"/>
                <w:szCs w:val="15"/>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1,480,934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1.1%</w:t>
            </w: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19"/>
        </w:trPr>
        <w:tc>
          <w:tcPr>
            <w:tcW w:w="5480" w:type="dxa"/>
            <w:vAlign w:val="bottom"/>
            <w:gridSpan w:val="2"/>
          </w:tcPr>
          <w:p>
            <w:pPr>
              <w:ind w:left="20"/>
              <w:spacing w:after="0"/>
              <w:rPr>
                <w:sz w:val="20"/>
                <w:szCs w:val="20"/>
                <w:color w:val="auto"/>
              </w:rPr>
            </w:pPr>
            <w:r>
              <w:rPr>
                <w:rFonts w:ascii="Arial" w:cs="Arial" w:eastAsia="Arial" w:hAnsi="Arial"/>
                <w:sz w:val="15"/>
                <w:szCs w:val="15"/>
                <w:color w:val="auto"/>
              </w:rPr>
              <w:t>JP Morgan Chase</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28,715</w:t>
            </w:r>
          </w:p>
        </w:tc>
        <w:tc>
          <w:tcPr>
            <w:tcW w:w="240" w:type="dxa"/>
            <w:vAlign w:val="bottom"/>
          </w:tcPr>
          <w:p>
            <w:pPr>
              <w:spacing w:after="0"/>
              <w:rPr>
                <w:sz w:val="19"/>
                <w:szCs w:val="19"/>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1,435,144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0.5%</w:t>
            </w: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19"/>
        </w:trPr>
        <w:tc>
          <w:tcPr>
            <w:tcW w:w="5480" w:type="dxa"/>
            <w:vAlign w:val="bottom"/>
            <w:gridSpan w:val="2"/>
          </w:tcPr>
          <w:p>
            <w:pPr>
              <w:ind w:left="20"/>
              <w:spacing w:after="0"/>
              <w:rPr>
                <w:sz w:val="20"/>
                <w:szCs w:val="20"/>
                <w:color w:val="auto"/>
              </w:rPr>
            </w:pPr>
            <w:r>
              <w:rPr>
                <w:rFonts w:ascii="Arial" w:cs="Arial" w:eastAsia="Arial" w:hAnsi="Arial"/>
                <w:sz w:val="15"/>
                <w:szCs w:val="15"/>
                <w:color w:val="auto"/>
              </w:rPr>
              <w:t>Ulta Salon Cosmetic &amp; Fragrance</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31,497</w:t>
            </w:r>
          </w:p>
        </w:tc>
        <w:tc>
          <w:tcPr>
            <w:tcW w:w="240" w:type="dxa"/>
            <w:vAlign w:val="bottom"/>
          </w:tcPr>
          <w:p>
            <w:pPr>
              <w:spacing w:after="0"/>
              <w:rPr>
                <w:sz w:val="19"/>
                <w:szCs w:val="19"/>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1,424,318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0.6%</w:t>
            </w: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19"/>
        </w:trPr>
        <w:tc>
          <w:tcPr>
            <w:tcW w:w="5480" w:type="dxa"/>
            <w:vAlign w:val="bottom"/>
            <w:gridSpan w:val="2"/>
          </w:tcPr>
          <w:p>
            <w:pPr>
              <w:ind w:left="20"/>
              <w:spacing w:after="0"/>
              <w:rPr>
                <w:sz w:val="20"/>
                <w:szCs w:val="20"/>
                <w:color w:val="auto"/>
              </w:rPr>
            </w:pPr>
            <w:r>
              <w:rPr>
                <w:rFonts w:ascii="Arial" w:cs="Arial" w:eastAsia="Arial" w:hAnsi="Arial"/>
                <w:sz w:val="15"/>
                <w:szCs w:val="15"/>
                <w:color w:val="auto"/>
              </w:rPr>
              <w:t>DSW</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35,842</w:t>
            </w:r>
          </w:p>
        </w:tc>
        <w:tc>
          <w:tcPr>
            <w:tcW w:w="240" w:type="dxa"/>
            <w:vAlign w:val="bottom"/>
          </w:tcPr>
          <w:p>
            <w:pPr>
              <w:spacing w:after="0"/>
              <w:rPr>
                <w:sz w:val="19"/>
                <w:szCs w:val="19"/>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1,318,894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0.7%</w:t>
            </w:r>
          </w:p>
        </w:tc>
        <w:tc>
          <w:tcPr>
            <w:tcW w:w="98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5"/>
        </w:trPr>
        <w:tc>
          <w:tcPr>
            <w:tcW w:w="5480" w:type="dxa"/>
            <w:vAlign w:val="bottom"/>
            <w:gridSpan w:val="2"/>
          </w:tcPr>
          <w:p>
            <w:pPr>
              <w:ind w:left="20"/>
              <w:spacing w:after="0"/>
              <w:rPr>
                <w:sz w:val="20"/>
                <w:szCs w:val="20"/>
                <w:color w:val="auto"/>
              </w:rPr>
            </w:pPr>
            <w:r>
              <w:rPr>
                <w:rFonts w:ascii="Arial" w:cs="Arial" w:eastAsia="Arial" w:hAnsi="Arial"/>
                <w:sz w:val="15"/>
                <w:szCs w:val="15"/>
                <w:color w:val="auto"/>
              </w:rPr>
              <w:t>Mattress Firm</w:t>
            </w:r>
          </w:p>
        </w:tc>
        <w:tc>
          <w:tcPr>
            <w:tcW w:w="11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39,442</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1,289,023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0.6%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04"/>
        </w:trPr>
        <w:tc>
          <w:tcPr>
            <w:tcW w:w="548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1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71</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2,070,856</w:t>
            </w:r>
          </w:p>
        </w:tc>
        <w:tc>
          <w:tcPr>
            <w:tcW w:w="2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54,053,052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38.6%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p>
    <w:p>
      <w:pPr>
        <w:spacing w:after="0" w:line="185" w:lineRule="exact"/>
        <w:rPr>
          <w:sz w:val="20"/>
          <w:szCs w:val="20"/>
          <w:color w:val="auto"/>
        </w:rPr>
      </w:pPr>
    </w:p>
    <w:p>
      <w:pPr>
        <w:ind w:left="540" w:hanging="270"/>
        <w:spacing w:after="0"/>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Does not include tenants that operate at only one Acadia Core location</w:t>
      </w:r>
    </w:p>
    <w:p>
      <w:pPr>
        <w:ind w:left="540" w:hanging="270"/>
        <w:spacing w:after="0" w:line="228" w:lineRule="auto"/>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Stop and Shop (4 locations)</w:t>
      </w:r>
    </w:p>
    <w:p>
      <w:pPr>
        <w:ind w:left="540" w:hanging="270"/>
        <w:spacing w:after="0"/>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Shaw’s (2 locations), Acme (1 location)</w:t>
      </w:r>
    </w:p>
    <w:p>
      <w:pPr>
        <w:spacing w:after="0" w:line="1" w:lineRule="exact"/>
        <w:rPr>
          <w:rFonts w:ascii="Arial" w:cs="Arial" w:eastAsia="Arial" w:hAnsi="Arial"/>
          <w:sz w:val="12"/>
          <w:szCs w:val="12"/>
          <w:color w:val="auto"/>
        </w:rPr>
      </w:pPr>
    </w:p>
    <w:p>
      <w:pPr>
        <w:ind w:left="540" w:hanging="270"/>
        <w:spacing w:after="0" w:line="212" w:lineRule="auto"/>
        <w:tabs>
          <w:tab w:leader="none" w:pos="540" w:val="left"/>
        </w:tabs>
        <w:numPr>
          <w:ilvl w:val="0"/>
          <w:numId w:val="17"/>
        </w:numPr>
        <w:rPr>
          <w:rFonts w:ascii="Arial" w:cs="Arial" w:eastAsia="Arial" w:hAnsi="Arial"/>
          <w:sz w:val="15"/>
          <w:szCs w:val="15"/>
          <w:color w:val="auto"/>
        </w:rPr>
      </w:pPr>
      <w:r>
        <w:rPr>
          <w:rFonts w:ascii="Arial" w:cs="Arial" w:eastAsia="Arial" w:hAnsi="Arial"/>
          <w:sz w:val="12"/>
          <w:szCs w:val="12"/>
          <w:color w:val="auto"/>
        </w:rPr>
        <w:t>Bed Bath and Beyond (2 locations), Christmas Tree Shops (1 location)</w:t>
      </w:r>
    </w:p>
    <w:p>
      <w:pPr>
        <w:spacing w:after="0" w:line="8" w:lineRule="exact"/>
        <w:rPr>
          <w:rFonts w:ascii="Arial" w:cs="Arial" w:eastAsia="Arial" w:hAnsi="Arial"/>
          <w:sz w:val="15"/>
          <w:szCs w:val="15"/>
          <w:color w:val="auto"/>
        </w:rPr>
      </w:pPr>
    </w:p>
    <w:p>
      <w:pPr>
        <w:ind w:left="540" w:hanging="270"/>
        <w:spacing w:after="0" w:line="237" w:lineRule="auto"/>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Ann Taylor Loft (2 locations), Catherine’s (1 location), Dress Barn (1 location), Lane Bryant (1 location)</w:t>
      </w:r>
    </w:p>
    <w:p>
      <w:pPr>
        <w:ind w:left="540" w:hanging="270"/>
        <w:spacing w:after="0" w:line="228" w:lineRule="auto"/>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TJ Maxx (4 locations), Marshalls (1 location), HomeGoods (2 locations); Excludes TJ Maxx Clark and Diversey location under development which will increase TJX Companies % of GLA to 4.3%</w:t>
      </w:r>
    </w:p>
    <w:p>
      <w:pPr>
        <w:ind w:left="540" w:hanging="270"/>
        <w:spacing w:after="0" w:line="228" w:lineRule="auto"/>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Old Navy (2 Locations), Banana Republic (1 Location)</w:t>
      </w:r>
    </w:p>
    <w:p>
      <w:pPr>
        <w:ind w:left="540" w:hanging="270"/>
        <w:spacing w:after="0"/>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Kate Spade (2 locations)</w:t>
      </w:r>
    </w:p>
    <w:p>
      <w:pPr>
        <w:spacing w:after="0" w:line="200" w:lineRule="exact"/>
        <w:rPr>
          <w:sz w:val="20"/>
          <w:szCs w:val="20"/>
          <w:color w:val="auto"/>
        </w:rPr>
      </w:pP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28</w:t>
            </w:r>
          </w:p>
        </w:tc>
      </w:tr>
    </w:tbl>
    <w:p>
      <w:pPr>
        <w:sectPr>
          <w:pgSz w:w="11900" w:h="16838" w:orient="portrait"/>
          <w:cols w:equalWidth="0" w:num="1">
            <w:col w:w="11460"/>
          </w:cols>
          <w:pgMar w:left="220" w:top="617" w:right="219" w:bottom="1440" w:gutter="0" w:footer="0" w:header="0"/>
        </w:sectPr>
      </w:pPr>
    </w:p>
    <w:bookmarkStart w:id="40" w:name="page41"/>
    <w:bookmarkEnd w:id="40"/>
    <w:p>
      <w:pPr>
        <w:ind w:left="20"/>
        <w:spacing w:after="0"/>
        <w:rPr>
          <w:sz w:val="20"/>
          <w:szCs w:val="20"/>
          <w:color w:val="auto"/>
        </w:rPr>
      </w:pPr>
      <w:r>
        <w:rPr>
          <w:rFonts w:ascii="Arial" w:cs="Arial" w:eastAsia="Arial" w:hAnsi="Arial"/>
          <w:sz w:val="20"/>
          <w:szCs w:val="20"/>
          <w:b w:val="1"/>
          <w:bCs w:val="1"/>
          <w:color w:val="auto"/>
        </w:rPr>
        <w:t>Core Portfolio Lease Expirations (Pro Rata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7265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3"/>
          </w:tcPr>
          <w:p>
            <w:pPr>
              <w:spacing w:after="0"/>
              <w:rPr>
                <w:sz w:val="20"/>
                <w:szCs w:val="20"/>
                <w:color w:val="auto"/>
              </w:rPr>
            </w:pPr>
            <w:r>
              <w:rPr>
                <w:rFonts w:ascii="Arial" w:cs="Arial" w:eastAsia="Arial" w:hAnsi="Arial"/>
                <w:sz w:val="9"/>
                <w:szCs w:val="9"/>
                <w:b w:val="1"/>
                <w:bCs w:val="1"/>
                <w:color w:val="auto"/>
                <w:w w:val="92"/>
              </w:rPr>
              <w:t>Street Tenants</w:t>
            </w: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9"/>
                <w:szCs w:val="9"/>
                <w:b w:val="1"/>
                <w:bCs w:val="1"/>
                <w:color w:val="auto"/>
              </w:rPr>
              <w:t>Anchor Tenants</w:t>
            </w: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9"/>
                <w:szCs w:val="9"/>
                <w:b w:val="1"/>
                <w:bCs w:val="1"/>
                <w:color w:val="auto"/>
                <w:w w:val="94"/>
              </w:rPr>
              <w:t>Shop Tenants</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9"/>
                <w:szCs w:val="9"/>
                <w:b w:val="1"/>
                <w:bCs w:val="1"/>
                <w:color w:val="auto"/>
                <w:w w:val="95"/>
              </w:rPr>
              <w:t>Total Tenants</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r>
      <w:tr>
        <w:trPr>
          <w:trHeight w:val="209"/>
        </w:trPr>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376"/>
              <w:spacing w:after="0"/>
              <w:rPr>
                <w:sz w:val="20"/>
                <w:szCs w:val="20"/>
                <w:color w:val="auto"/>
              </w:rPr>
            </w:pPr>
            <w:r>
              <w:rPr>
                <w:rFonts w:ascii="Arial" w:cs="Arial" w:eastAsia="Arial" w:hAnsi="Arial"/>
                <w:sz w:val="9"/>
                <w:szCs w:val="9"/>
                <w:b w:val="1"/>
                <w:bCs w:val="1"/>
                <w:color w:val="auto"/>
              </w:rPr>
              <w:t>GLA</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ABR</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9"/>
                <w:szCs w:val="9"/>
                <w:b w:val="1"/>
                <w:bCs w:val="1"/>
                <w:color w:val="auto"/>
              </w:rPr>
              <w:t>GLA</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ABR</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9"/>
                <w:szCs w:val="9"/>
                <w:b w:val="1"/>
                <w:bCs w:val="1"/>
                <w:color w:val="auto"/>
              </w:rPr>
              <w:t>GLA</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ABR</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9"/>
                <w:szCs w:val="9"/>
                <w:b w:val="1"/>
                <w:bCs w:val="1"/>
                <w:color w:val="auto"/>
              </w:rPr>
              <w:t>GLA</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ABR</w:t>
            </w:r>
          </w:p>
        </w:tc>
        <w:tc>
          <w:tcPr>
            <w:tcW w:w="380" w:type="dxa"/>
            <w:vAlign w:val="bottom"/>
            <w:tcBorders>
              <w:bottom w:val="single" w:sz="8" w:color="auto"/>
            </w:tcBorders>
          </w:tcPr>
          <w:p>
            <w:pPr>
              <w:spacing w:after="0"/>
              <w:rPr>
                <w:sz w:val="18"/>
                <w:szCs w:val="18"/>
                <w:color w:val="auto"/>
              </w:rPr>
            </w:pPr>
          </w:p>
        </w:tc>
      </w:tr>
      <w:tr>
        <w:trPr>
          <w:trHeight w:val="201"/>
        </w:trPr>
        <w:tc>
          <w:tcPr>
            <w:tcW w:w="580" w:type="dxa"/>
            <w:vAlign w:val="bottom"/>
          </w:tcPr>
          <w:p>
            <w:pPr>
              <w:spacing w:after="0"/>
              <w:rPr>
                <w:sz w:val="17"/>
                <w:szCs w:val="17"/>
                <w:color w:val="auto"/>
              </w:rPr>
            </w:pP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Leases</w:t>
            </w:r>
          </w:p>
        </w:tc>
        <w:tc>
          <w:tcPr>
            <w:tcW w:w="580" w:type="dxa"/>
            <w:vAlign w:val="bottom"/>
          </w:tcPr>
          <w:p>
            <w:pPr>
              <w:jc w:val="right"/>
              <w:ind w:right="96"/>
              <w:spacing w:after="0"/>
              <w:rPr>
                <w:sz w:val="20"/>
                <w:szCs w:val="20"/>
                <w:color w:val="auto"/>
              </w:rPr>
            </w:pPr>
            <w:r>
              <w:rPr>
                <w:rFonts w:ascii="Arial" w:cs="Arial" w:eastAsia="Arial" w:hAnsi="Arial"/>
                <w:sz w:val="9"/>
                <w:szCs w:val="9"/>
                <w:color w:val="auto"/>
              </w:rPr>
              <w:t>Expiring</w:t>
            </w:r>
          </w:p>
        </w:tc>
        <w:tc>
          <w:tcPr>
            <w:tcW w:w="600" w:type="dxa"/>
            <w:vAlign w:val="bottom"/>
            <w:gridSpan w:val="3"/>
          </w:tcPr>
          <w:p>
            <w:pPr>
              <w:ind w:left="80"/>
              <w:spacing w:after="0"/>
              <w:rPr>
                <w:sz w:val="20"/>
                <w:szCs w:val="20"/>
                <w:color w:val="auto"/>
              </w:rPr>
            </w:pPr>
            <w:r>
              <w:rPr>
                <w:rFonts w:ascii="Arial" w:cs="Arial" w:eastAsia="Arial" w:hAnsi="Arial"/>
                <w:sz w:val="9"/>
                <w:szCs w:val="9"/>
                <w:color w:val="auto"/>
              </w:rPr>
              <w:t>Percent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gridSpan w:val="2"/>
          </w:tcPr>
          <w:p>
            <w:pPr>
              <w:ind w:left="20"/>
              <w:spacing w:after="0"/>
              <w:rPr>
                <w:sz w:val="20"/>
                <w:szCs w:val="20"/>
                <w:color w:val="auto"/>
              </w:rPr>
            </w:pPr>
            <w:r>
              <w:rPr>
                <w:rFonts w:ascii="Arial" w:cs="Arial" w:eastAsia="Arial" w:hAnsi="Arial"/>
                <w:sz w:val="9"/>
                <w:szCs w:val="9"/>
                <w:color w:val="auto"/>
              </w:rPr>
              <w:t>Percent</w:t>
            </w:r>
          </w:p>
        </w:tc>
        <w:tc>
          <w:tcPr>
            <w:tcW w:w="480" w:type="dxa"/>
            <w:vAlign w:val="bottom"/>
          </w:tcPr>
          <w:p>
            <w:pPr>
              <w:jc w:val="right"/>
              <w:ind w:right="56"/>
              <w:spacing w:after="0"/>
              <w:rPr>
                <w:sz w:val="20"/>
                <w:szCs w:val="20"/>
                <w:color w:val="auto"/>
              </w:rPr>
            </w:pPr>
            <w:r>
              <w:rPr>
                <w:rFonts w:ascii="Arial" w:cs="Arial" w:eastAsia="Arial" w:hAnsi="Arial"/>
                <w:sz w:val="9"/>
                <w:szCs w:val="9"/>
                <w:color w:val="auto"/>
              </w:rPr>
              <w:t>Leases</w:t>
            </w:r>
          </w:p>
        </w:tc>
        <w:tc>
          <w:tcPr>
            <w:tcW w:w="500" w:type="dxa"/>
            <w:vAlign w:val="bottom"/>
          </w:tcPr>
          <w:p>
            <w:pPr>
              <w:jc w:val="right"/>
              <w:ind w:right="16"/>
              <w:spacing w:after="0"/>
              <w:rPr>
                <w:sz w:val="20"/>
                <w:szCs w:val="20"/>
                <w:color w:val="auto"/>
              </w:rPr>
            </w:pPr>
            <w:r>
              <w:rPr>
                <w:rFonts w:ascii="Arial" w:cs="Arial" w:eastAsia="Arial" w:hAnsi="Arial"/>
                <w:sz w:val="9"/>
                <w:szCs w:val="9"/>
                <w:color w:val="auto"/>
              </w:rPr>
              <w:t>Expiring</w:t>
            </w:r>
          </w:p>
        </w:tc>
        <w:tc>
          <w:tcPr>
            <w:tcW w:w="80" w:type="dxa"/>
            <w:vAlign w:val="bottom"/>
          </w:tcPr>
          <w:p>
            <w:pPr>
              <w:spacing w:after="0"/>
              <w:rPr>
                <w:sz w:val="17"/>
                <w:szCs w:val="17"/>
                <w:color w:val="auto"/>
              </w:rPr>
            </w:pPr>
          </w:p>
        </w:tc>
        <w:tc>
          <w:tcPr>
            <w:tcW w:w="580" w:type="dxa"/>
            <w:vAlign w:val="bottom"/>
            <w:gridSpan w:val="2"/>
          </w:tcPr>
          <w:p>
            <w:pPr>
              <w:ind w:left="80"/>
              <w:spacing w:after="0"/>
              <w:rPr>
                <w:sz w:val="20"/>
                <w:szCs w:val="20"/>
                <w:color w:val="auto"/>
              </w:rPr>
            </w:pPr>
            <w:r>
              <w:rPr>
                <w:rFonts w:ascii="Arial" w:cs="Arial" w:eastAsia="Arial" w:hAnsi="Arial"/>
                <w:sz w:val="9"/>
                <w:szCs w:val="9"/>
                <w:color w:val="auto"/>
              </w:rPr>
              <w:t>Percent</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gridSpan w:val="2"/>
          </w:tcPr>
          <w:p>
            <w:pPr>
              <w:ind w:left="20"/>
              <w:spacing w:after="0"/>
              <w:rPr>
                <w:sz w:val="20"/>
                <w:szCs w:val="20"/>
                <w:color w:val="auto"/>
              </w:rPr>
            </w:pPr>
            <w:r>
              <w:rPr>
                <w:rFonts w:ascii="Arial" w:cs="Arial" w:eastAsia="Arial" w:hAnsi="Arial"/>
                <w:sz w:val="9"/>
                <w:szCs w:val="9"/>
                <w:color w:val="auto"/>
              </w:rPr>
              <w:t>Percent</w:t>
            </w:r>
          </w:p>
        </w:tc>
        <w:tc>
          <w:tcPr>
            <w:tcW w:w="440" w:type="dxa"/>
            <w:vAlign w:val="bottom"/>
          </w:tcPr>
          <w:p>
            <w:pPr>
              <w:jc w:val="right"/>
              <w:ind w:right="36"/>
              <w:spacing w:after="0"/>
              <w:rPr>
                <w:sz w:val="20"/>
                <w:szCs w:val="20"/>
                <w:color w:val="auto"/>
              </w:rPr>
            </w:pPr>
            <w:r>
              <w:rPr>
                <w:rFonts w:ascii="Arial" w:cs="Arial" w:eastAsia="Arial" w:hAnsi="Arial"/>
                <w:sz w:val="9"/>
                <w:szCs w:val="9"/>
                <w:color w:val="auto"/>
              </w:rPr>
              <w:t>Leases</w:t>
            </w: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Expiring</w:t>
            </w:r>
          </w:p>
        </w:tc>
        <w:tc>
          <w:tcPr>
            <w:tcW w:w="580" w:type="dxa"/>
            <w:vAlign w:val="bottom"/>
            <w:gridSpan w:val="3"/>
          </w:tcPr>
          <w:p>
            <w:pPr>
              <w:ind w:left="80"/>
              <w:spacing w:after="0"/>
              <w:rPr>
                <w:sz w:val="20"/>
                <w:szCs w:val="20"/>
                <w:color w:val="auto"/>
              </w:rPr>
            </w:pPr>
            <w:r>
              <w:rPr>
                <w:rFonts w:ascii="Arial" w:cs="Arial" w:eastAsia="Arial" w:hAnsi="Arial"/>
                <w:sz w:val="9"/>
                <w:szCs w:val="9"/>
                <w:color w:val="auto"/>
              </w:rPr>
              <w:t>Percent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Arial" w:cs="Arial" w:eastAsia="Arial" w:hAnsi="Arial"/>
                <w:sz w:val="9"/>
                <w:szCs w:val="9"/>
                <w:color w:val="auto"/>
              </w:rPr>
              <w:t>Percent</w:t>
            </w:r>
          </w:p>
        </w:tc>
        <w:tc>
          <w:tcPr>
            <w:tcW w:w="440" w:type="dxa"/>
            <w:vAlign w:val="bottom"/>
          </w:tcPr>
          <w:p>
            <w:pPr>
              <w:jc w:val="right"/>
              <w:ind w:right="36"/>
              <w:spacing w:after="0"/>
              <w:rPr>
                <w:sz w:val="20"/>
                <w:szCs w:val="20"/>
                <w:color w:val="auto"/>
              </w:rPr>
            </w:pPr>
            <w:r>
              <w:rPr>
                <w:rFonts w:ascii="Arial" w:cs="Arial" w:eastAsia="Arial" w:hAnsi="Arial"/>
                <w:sz w:val="9"/>
                <w:szCs w:val="9"/>
                <w:color w:val="auto"/>
              </w:rPr>
              <w:t>Leases</w:t>
            </w: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Expiring</w:t>
            </w:r>
          </w:p>
        </w:tc>
        <w:tc>
          <w:tcPr>
            <w:tcW w:w="580" w:type="dxa"/>
            <w:vAlign w:val="bottom"/>
            <w:gridSpan w:val="3"/>
          </w:tcPr>
          <w:p>
            <w:pPr>
              <w:ind w:left="80"/>
              <w:spacing w:after="0"/>
              <w:rPr>
                <w:sz w:val="20"/>
                <w:szCs w:val="20"/>
                <w:color w:val="auto"/>
              </w:rPr>
            </w:pPr>
            <w:r>
              <w:rPr>
                <w:rFonts w:ascii="Arial" w:cs="Arial" w:eastAsia="Arial" w:hAnsi="Arial"/>
                <w:sz w:val="9"/>
                <w:szCs w:val="9"/>
                <w:color w:val="auto"/>
              </w:rPr>
              <w:t>Percent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jc w:val="right"/>
              <w:ind w:right="36"/>
              <w:spacing w:after="0"/>
              <w:rPr>
                <w:sz w:val="20"/>
                <w:szCs w:val="20"/>
                <w:color w:val="auto"/>
              </w:rPr>
            </w:pPr>
            <w:r>
              <w:rPr>
                <w:rFonts w:ascii="Arial" w:cs="Arial" w:eastAsia="Arial" w:hAnsi="Arial"/>
                <w:sz w:val="9"/>
                <w:szCs w:val="9"/>
                <w:color w:val="auto"/>
                <w:w w:val="90"/>
              </w:rPr>
              <w:t>Percent</w:t>
            </w:r>
          </w:p>
        </w:tc>
      </w:tr>
      <w:tr>
        <w:trPr>
          <w:trHeight w:val="227"/>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Year</w:t>
            </w: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Expiring</w:t>
            </w: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9"/>
                <w:szCs w:val="9"/>
                <w:color w:val="auto"/>
              </w:rPr>
              <w:t>SF</w:t>
            </w:r>
          </w:p>
        </w:tc>
        <w:tc>
          <w:tcPr>
            <w:tcW w:w="600" w:type="dxa"/>
            <w:vAlign w:val="bottom"/>
            <w:tcBorders>
              <w:bottom w:val="single" w:sz="8" w:color="auto"/>
            </w:tcBorders>
            <w:gridSpan w:val="3"/>
          </w:tcPr>
          <w:p>
            <w:pPr>
              <w:ind w:left="80"/>
              <w:spacing w:after="0"/>
              <w:rPr>
                <w:sz w:val="20"/>
                <w:szCs w:val="20"/>
                <w:color w:val="auto"/>
              </w:rPr>
            </w:pPr>
            <w:r>
              <w:rPr>
                <w:rFonts w:ascii="Arial" w:cs="Arial" w:eastAsia="Arial" w:hAnsi="Arial"/>
                <w:sz w:val="9"/>
                <w:szCs w:val="9"/>
                <w:color w:val="auto"/>
              </w:rPr>
              <w:t>of Total</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36"/>
              <w:spacing w:after="0"/>
              <w:rPr>
                <w:sz w:val="20"/>
                <w:szCs w:val="20"/>
                <w:color w:val="auto"/>
              </w:rPr>
            </w:pPr>
            <w:r>
              <w:rPr>
                <w:rFonts w:ascii="Arial" w:cs="Arial" w:eastAsia="Arial" w:hAnsi="Arial"/>
                <w:sz w:val="9"/>
                <w:szCs w:val="9"/>
                <w:color w:val="auto"/>
              </w:rPr>
              <w:t>PSF</w:t>
            </w: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w w:val="99"/>
              </w:rPr>
              <w:t>of Total</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Expiring</w:t>
            </w: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color w:val="auto"/>
              </w:rPr>
              <w:t>SF</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color w:val="auto"/>
              </w:rPr>
              <w:t>of Total</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36"/>
              <w:spacing w:after="0"/>
              <w:rPr>
                <w:sz w:val="20"/>
                <w:szCs w:val="20"/>
                <w:color w:val="auto"/>
              </w:rPr>
            </w:pPr>
            <w:r>
              <w:rPr>
                <w:rFonts w:ascii="Arial" w:cs="Arial" w:eastAsia="Arial" w:hAnsi="Arial"/>
                <w:sz w:val="9"/>
                <w:szCs w:val="9"/>
                <w:color w:val="auto"/>
              </w:rPr>
              <w:t>PSF</w:t>
            </w: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w w:val="99"/>
              </w:rPr>
              <w:t>of Total</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Expiring</w:t>
            </w: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9"/>
                <w:szCs w:val="9"/>
                <w:color w:val="auto"/>
              </w:rPr>
              <w:t>SF</w:t>
            </w:r>
          </w:p>
        </w:tc>
        <w:tc>
          <w:tcPr>
            <w:tcW w:w="580" w:type="dxa"/>
            <w:vAlign w:val="bottom"/>
            <w:tcBorders>
              <w:bottom w:val="single" w:sz="8" w:color="auto"/>
            </w:tcBorders>
            <w:gridSpan w:val="3"/>
          </w:tcPr>
          <w:p>
            <w:pPr>
              <w:ind w:left="80"/>
              <w:spacing w:after="0"/>
              <w:rPr>
                <w:sz w:val="20"/>
                <w:szCs w:val="20"/>
                <w:color w:val="auto"/>
              </w:rPr>
            </w:pPr>
            <w:r>
              <w:rPr>
                <w:rFonts w:ascii="Arial" w:cs="Arial" w:eastAsia="Arial" w:hAnsi="Arial"/>
                <w:sz w:val="9"/>
                <w:szCs w:val="9"/>
                <w:color w:val="auto"/>
              </w:rPr>
              <w:t>of Total</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16"/>
              <w:spacing w:after="0"/>
              <w:rPr>
                <w:sz w:val="20"/>
                <w:szCs w:val="20"/>
                <w:color w:val="auto"/>
              </w:rPr>
            </w:pPr>
            <w:r>
              <w:rPr>
                <w:rFonts w:ascii="Arial" w:cs="Arial" w:eastAsia="Arial" w:hAnsi="Arial"/>
                <w:sz w:val="9"/>
                <w:szCs w:val="9"/>
                <w:color w:val="auto"/>
              </w:rPr>
              <w:t>PSF</w:t>
            </w:r>
          </w:p>
        </w:tc>
        <w:tc>
          <w:tcPr>
            <w:tcW w:w="38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w w:val="93"/>
              </w:rPr>
              <w:t>of Total</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Expiring</w:t>
            </w: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9"/>
                <w:szCs w:val="9"/>
                <w:color w:val="auto"/>
              </w:rPr>
              <w:t>SF</w:t>
            </w:r>
          </w:p>
        </w:tc>
        <w:tc>
          <w:tcPr>
            <w:tcW w:w="580" w:type="dxa"/>
            <w:vAlign w:val="bottom"/>
            <w:tcBorders>
              <w:bottom w:val="single" w:sz="8" w:color="auto"/>
            </w:tcBorders>
            <w:gridSpan w:val="3"/>
          </w:tcPr>
          <w:p>
            <w:pPr>
              <w:ind w:left="80"/>
              <w:spacing w:after="0"/>
              <w:rPr>
                <w:sz w:val="20"/>
                <w:szCs w:val="20"/>
                <w:color w:val="auto"/>
              </w:rPr>
            </w:pPr>
            <w:r>
              <w:rPr>
                <w:rFonts w:ascii="Arial" w:cs="Arial" w:eastAsia="Arial" w:hAnsi="Arial"/>
                <w:sz w:val="9"/>
                <w:szCs w:val="9"/>
                <w:color w:val="auto"/>
              </w:rPr>
              <w:t>of Total</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16"/>
              <w:spacing w:after="0"/>
              <w:rPr>
                <w:sz w:val="20"/>
                <w:szCs w:val="20"/>
                <w:color w:val="auto"/>
              </w:rPr>
            </w:pPr>
            <w:r>
              <w:rPr>
                <w:rFonts w:ascii="Arial" w:cs="Arial" w:eastAsia="Arial" w:hAnsi="Arial"/>
                <w:sz w:val="9"/>
                <w:szCs w:val="9"/>
                <w:color w:val="auto"/>
              </w:rPr>
              <w:t>PSF</w:t>
            </w:r>
          </w:p>
        </w:tc>
        <w:tc>
          <w:tcPr>
            <w:tcW w:w="38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w w:val="93"/>
              </w:rPr>
              <w:t>of Total</w:t>
            </w:r>
          </w:p>
        </w:tc>
      </w:tr>
      <w:tr>
        <w:trPr>
          <w:trHeight w:val="463"/>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 xml:space="preserve">M to M </w:t>
            </w:r>
            <w:r>
              <w:rPr>
                <w:rFonts w:ascii="Arial" w:cs="Arial" w:eastAsia="Arial" w:hAnsi="Arial"/>
                <w:sz w:val="5"/>
                <w:szCs w:val="5"/>
                <w:b w:val="1"/>
                <w:bCs w:val="1"/>
                <w:color w:val="auto"/>
              </w:rPr>
              <w:t>1</w:t>
            </w: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1</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1,799</w:t>
            </w:r>
          </w:p>
        </w:tc>
        <w:tc>
          <w:tcPr>
            <w:tcW w:w="460" w:type="dxa"/>
            <w:vAlign w:val="bottom"/>
          </w:tcPr>
          <w:p>
            <w:pPr>
              <w:jc w:val="right"/>
              <w:spacing w:after="0"/>
              <w:rPr>
                <w:sz w:val="20"/>
                <w:szCs w:val="20"/>
                <w:color w:val="auto"/>
              </w:rPr>
            </w:pPr>
            <w:r>
              <w:rPr>
                <w:rFonts w:ascii="Arial" w:cs="Arial" w:eastAsia="Arial" w:hAnsi="Arial"/>
                <w:sz w:val="9"/>
                <w:szCs w:val="9"/>
                <w:color w:val="auto"/>
              </w:rPr>
              <w:t>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ind w:right="16"/>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32.47</w:t>
            </w:r>
          </w:p>
        </w:tc>
        <w:tc>
          <w:tcPr>
            <w:tcW w:w="400" w:type="dxa"/>
            <w:vAlign w:val="bottom"/>
          </w:tcPr>
          <w:p>
            <w:pPr>
              <w:jc w:val="right"/>
              <w:spacing w:after="0"/>
              <w:rPr>
                <w:sz w:val="20"/>
                <w:szCs w:val="20"/>
                <w:color w:val="auto"/>
              </w:rPr>
            </w:pPr>
            <w:r>
              <w:rPr>
                <w:rFonts w:ascii="Arial" w:cs="Arial" w:eastAsia="Arial" w:hAnsi="Arial"/>
                <w:sz w:val="9"/>
                <w:szCs w:val="9"/>
                <w:color w:val="auto"/>
              </w:rPr>
              <w:t>0.1%</w:t>
            </w:r>
          </w:p>
        </w:tc>
        <w:tc>
          <w:tcPr>
            <w:tcW w:w="120" w:type="dxa"/>
            <w:vAlign w:val="bottom"/>
          </w:tcPr>
          <w:p>
            <w:pPr>
              <w:spacing w:after="0"/>
              <w:rPr>
                <w:sz w:val="24"/>
                <w:szCs w:val="24"/>
                <w:color w:val="auto"/>
              </w:rPr>
            </w:pP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4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2</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8,241</w:t>
            </w:r>
          </w:p>
        </w:tc>
        <w:tc>
          <w:tcPr>
            <w:tcW w:w="440" w:type="dxa"/>
            <w:vAlign w:val="bottom"/>
          </w:tcPr>
          <w:p>
            <w:pPr>
              <w:jc w:val="right"/>
              <w:spacing w:after="0"/>
              <w:rPr>
                <w:sz w:val="20"/>
                <w:szCs w:val="20"/>
                <w:color w:val="auto"/>
              </w:rPr>
            </w:pPr>
            <w:r>
              <w:rPr>
                <w:rFonts w:ascii="Arial" w:cs="Arial" w:eastAsia="Arial" w:hAnsi="Arial"/>
                <w:sz w:val="9"/>
                <w:szCs w:val="9"/>
                <w:color w:val="auto"/>
              </w:rPr>
              <w:t>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16.89</w:t>
            </w:r>
          </w:p>
        </w:tc>
        <w:tc>
          <w:tcPr>
            <w:tcW w:w="380" w:type="dxa"/>
            <w:vAlign w:val="bottom"/>
          </w:tcPr>
          <w:p>
            <w:pPr>
              <w:jc w:val="right"/>
              <w:spacing w:after="0"/>
              <w:rPr>
                <w:sz w:val="20"/>
                <w:szCs w:val="20"/>
                <w:color w:val="auto"/>
              </w:rPr>
            </w:pPr>
            <w:r>
              <w:rPr>
                <w:rFonts w:ascii="Arial" w:cs="Arial" w:eastAsia="Arial" w:hAnsi="Arial"/>
                <w:sz w:val="9"/>
                <w:szCs w:val="9"/>
                <w:color w:val="auto"/>
              </w:rPr>
              <w:t>0.4%</w:t>
            </w:r>
          </w:p>
        </w:tc>
        <w:tc>
          <w:tcPr>
            <w:tcW w:w="120" w:type="dxa"/>
            <w:vAlign w:val="bottom"/>
          </w:tcPr>
          <w:p>
            <w:pPr>
              <w:spacing w:after="0"/>
              <w:rPr>
                <w:sz w:val="24"/>
                <w:szCs w:val="24"/>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3</w:t>
            </w: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10,040</w:t>
            </w:r>
          </w:p>
        </w:tc>
        <w:tc>
          <w:tcPr>
            <w:tcW w:w="440" w:type="dxa"/>
            <w:vAlign w:val="bottom"/>
          </w:tcPr>
          <w:p>
            <w:pPr>
              <w:jc w:val="right"/>
              <w:spacing w:after="0"/>
              <w:rPr>
                <w:sz w:val="20"/>
                <w:szCs w:val="20"/>
                <w:color w:val="auto"/>
              </w:rPr>
            </w:pPr>
            <w:r>
              <w:rPr>
                <w:rFonts w:ascii="Arial" w:cs="Arial" w:eastAsia="Arial" w:hAnsi="Arial"/>
                <w:sz w:val="9"/>
                <w:szCs w:val="9"/>
                <w:color w:val="auto"/>
              </w:rPr>
              <w:t>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19.68</w:t>
            </w:r>
          </w:p>
        </w:tc>
        <w:tc>
          <w:tcPr>
            <w:tcW w:w="380" w:type="dxa"/>
            <w:vAlign w:val="bottom"/>
          </w:tcPr>
          <w:p>
            <w:pPr>
              <w:jc w:val="right"/>
              <w:spacing w:after="0"/>
              <w:rPr>
                <w:sz w:val="20"/>
                <w:szCs w:val="20"/>
                <w:color w:val="auto"/>
              </w:rPr>
            </w:pPr>
            <w:r>
              <w:rPr>
                <w:rFonts w:ascii="Arial" w:cs="Arial" w:eastAsia="Arial" w:hAnsi="Arial"/>
                <w:sz w:val="9"/>
                <w:szCs w:val="9"/>
                <w:color w:val="auto"/>
              </w:rPr>
              <w:t>0.1%</w:t>
            </w:r>
          </w:p>
        </w:tc>
      </w:tr>
      <w:tr>
        <w:trPr>
          <w:trHeight w:val="219"/>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2018</w:t>
            </w: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4</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8,163</w:t>
            </w:r>
          </w:p>
        </w:tc>
        <w:tc>
          <w:tcPr>
            <w:tcW w:w="460" w:type="dxa"/>
            <w:vAlign w:val="bottom"/>
          </w:tcPr>
          <w:p>
            <w:pPr>
              <w:jc w:val="right"/>
              <w:spacing w:after="0"/>
              <w:rPr>
                <w:sz w:val="20"/>
                <w:szCs w:val="20"/>
                <w:color w:val="auto"/>
              </w:rPr>
            </w:pPr>
            <w:r>
              <w:rPr>
                <w:rFonts w:ascii="Arial" w:cs="Arial" w:eastAsia="Arial" w:hAnsi="Arial"/>
                <w:sz w:val="9"/>
                <w:szCs w:val="9"/>
                <w:color w:val="auto"/>
              </w:rPr>
              <w:t>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62.00</w:t>
            </w:r>
          </w:p>
        </w:tc>
        <w:tc>
          <w:tcPr>
            <w:tcW w:w="400" w:type="dxa"/>
            <w:vAlign w:val="bottom"/>
          </w:tcPr>
          <w:p>
            <w:pPr>
              <w:jc w:val="right"/>
              <w:spacing w:after="0"/>
              <w:rPr>
                <w:sz w:val="20"/>
                <w:szCs w:val="20"/>
                <w:color w:val="auto"/>
              </w:rPr>
            </w:pPr>
            <w:r>
              <w:rPr>
                <w:rFonts w:ascii="Arial" w:cs="Arial" w:eastAsia="Arial" w:hAnsi="Arial"/>
                <w:sz w:val="9"/>
                <w:szCs w:val="9"/>
                <w:color w:val="auto"/>
              </w:rPr>
              <w:t>0.9%</w:t>
            </w:r>
          </w:p>
        </w:tc>
        <w:tc>
          <w:tcPr>
            <w:tcW w:w="120" w:type="dxa"/>
            <w:vAlign w:val="bottom"/>
          </w:tcPr>
          <w:p>
            <w:pPr>
              <w:spacing w:after="0"/>
              <w:rPr>
                <w:sz w:val="19"/>
                <w:szCs w:val="19"/>
                <w:color w:val="auto"/>
              </w:rPr>
            </w:pP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2</w:t>
            </w:r>
          </w:p>
        </w:tc>
        <w:tc>
          <w:tcPr>
            <w:tcW w:w="500" w:type="dxa"/>
            <w:vAlign w:val="bottom"/>
          </w:tcPr>
          <w:p>
            <w:pPr>
              <w:jc w:val="right"/>
              <w:spacing w:after="0"/>
              <w:rPr>
                <w:sz w:val="20"/>
                <w:szCs w:val="20"/>
                <w:color w:val="auto"/>
              </w:rPr>
            </w:pPr>
            <w:r>
              <w:rPr>
                <w:rFonts w:ascii="Arial" w:cs="Arial" w:eastAsia="Arial" w:hAnsi="Arial"/>
                <w:sz w:val="9"/>
                <w:szCs w:val="9"/>
                <w:color w:val="auto"/>
              </w:rPr>
              <w:t>117,497</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17.25</w:t>
            </w:r>
          </w:p>
        </w:tc>
        <w:tc>
          <w:tcPr>
            <w:tcW w:w="400" w:type="dxa"/>
            <w:vAlign w:val="bottom"/>
          </w:tcPr>
          <w:p>
            <w:pPr>
              <w:jc w:val="right"/>
              <w:spacing w:after="0"/>
              <w:rPr>
                <w:sz w:val="20"/>
                <w:szCs w:val="20"/>
                <w:color w:val="auto"/>
              </w:rPr>
            </w:pPr>
            <w:r>
              <w:rPr>
                <w:rFonts w:ascii="Arial" w:cs="Arial" w:eastAsia="Arial" w:hAnsi="Arial"/>
                <w:sz w:val="9"/>
                <w:szCs w:val="9"/>
                <w:color w:val="auto"/>
              </w:rPr>
              <w:t>4.7%</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35</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93,912</w:t>
            </w:r>
          </w:p>
        </w:tc>
        <w:tc>
          <w:tcPr>
            <w:tcW w:w="440" w:type="dxa"/>
            <w:vAlign w:val="bottom"/>
          </w:tcPr>
          <w:p>
            <w:pPr>
              <w:jc w:val="right"/>
              <w:spacing w:after="0"/>
              <w:rPr>
                <w:sz w:val="20"/>
                <w:szCs w:val="20"/>
                <w:color w:val="auto"/>
              </w:rPr>
            </w:pPr>
            <w:r>
              <w:rPr>
                <w:rFonts w:ascii="Arial" w:cs="Arial" w:eastAsia="Arial" w:hAnsi="Arial"/>
                <w:sz w:val="9"/>
                <w:szCs w:val="9"/>
                <w:color w:val="auto"/>
              </w:rPr>
              <w:t>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26.26</w:t>
            </w:r>
          </w:p>
        </w:tc>
        <w:tc>
          <w:tcPr>
            <w:tcW w:w="380" w:type="dxa"/>
            <w:vAlign w:val="bottom"/>
          </w:tcPr>
          <w:p>
            <w:pPr>
              <w:jc w:val="right"/>
              <w:spacing w:after="0"/>
              <w:rPr>
                <w:sz w:val="20"/>
                <w:szCs w:val="20"/>
                <w:color w:val="auto"/>
              </w:rPr>
            </w:pPr>
            <w:r>
              <w:rPr>
                <w:rFonts w:ascii="Arial" w:cs="Arial" w:eastAsia="Arial" w:hAnsi="Arial"/>
                <w:sz w:val="9"/>
                <w:szCs w:val="9"/>
                <w:color w:val="auto"/>
              </w:rPr>
              <w:t>7.3%</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41</w:t>
            </w: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219,572</w:t>
            </w:r>
          </w:p>
        </w:tc>
        <w:tc>
          <w:tcPr>
            <w:tcW w:w="440" w:type="dxa"/>
            <w:vAlign w:val="bottom"/>
          </w:tcPr>
          <w:p>
            <w:pPr>
              <w:jc w:val="right"/>
              <w:spacing w:after="0"/>
              <w:rPr>
                <w:sz w:val="20"/>
                <w:szCs w:val="20"/>
                <w:color w:val="auto"/>
              </w:rPr>
            </w:pPr>
            <w:r>
              <w:rPr>
                <w:rFonts w:ascii="Arial" w:cs="Arial" w:eastAsia="Arial" w:hAnsi="Arial"/>
                <w:sz w:val="9"/>
                <w:szCs w:val="9"/>
                <w:color w:val="auto"/>
              </w:rPr>
              <w:t>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22.77</w:t>
            </w:r>
          </w:p>
        </w:tc>
        <w:tc>
          <w:tcPr>
            <w:tcW w:w="380" w:type="dxa"/>
            <w:vAlign w:val="bottom"/>
          </w:tcPr>
          <w:p>
            <w:pPr>
              <w:jc w:val="right"/>
              <w:spacing w:after="0"/>
              <w:rPr>
                <w:sz w:val="20"/>
                <w:szCs w:val="20"/>
                <w:color w:val="auto"/>
              </w:rPr>
            </w:pPr>
            <w:r>
              <w:rPr>
                <w:rFonts w:ascii="Arial" w:cs="Arial" w:eastAsia="Arial" w:hAnsi="Arial"/>
                <w:sz w:val="9"/>
                <w:szCs w:val="9"/>
                <w:color w:val="auto"/>
              </w:rPr>
              <w:t>3.8%</w:t>
            </w:r>
          </w:p>
        </w:tc>
      </w:tr>
      <w:tr>
        <w:trPr>
          <w:trHeight w:val="219"/>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2019</w:t>
            </w: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11</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47,167</w:t>
            </w:r>
          </w:p>
        </w:tc>
        <w:tc>
          <w:tcPr>
            <w:tcW w:w="460" w:type="dxa"/>
            <w:vAlign w:val="bottom"/>
          </w:tcPr>
          <w:p>
            <w:pPr>
              <w:jc w:val="right"/>
              <w:spacing w:after="0"/>
              <w:rPr>
                <w:sz w:val="20"/>
                <w:szCs w:val="20"/>
                <w:color w:val="auto"/>
              </w:rPr>
            </w:pPr>
            <w:r>
              <w:rPr>
                <w:rFonts w:ascii="Arial" w:cs="Arial" w:eastAsia="Arial" w:hAnsi="Arial"/>
                <w:sz w:val="9"/>
                <w:szCs w:val="9"/>
                <w:color w:val="auto"/>
              </w:rPr>
              <w:t>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62.39</w:t>
            </w:r>
          </w:p>
        </w:tc>
        <w:tc>
          <w:tcPr>
            <w:tcW w:w="400" w:type="dxa"/>
            <w:vAlign w:val="bottom"/>
          </w:tcPr>
          <w:p>
            <w:pPr>
              <w:jc w:val="right"/>
              <w:spacing w:after="0"/>
              <w:rPr>
                <w:sz w:val="20"/>
                <w:szCs w:val="20"/>
                <w:color w:val="auto"/>
              </w:rPr>
            </w:pPr>
            <w:r>
              <w:rPr>
                <w:rFonts w:ascii="Arial" w:cs="Arial" w:eastAsia="Arial" w:hAnsi="Arial"/>
                <w:sz w:val="9"/>
                <w:szCs w:val="9"/>
                <w:color w:val="auto"/>
              </w:rPr>
              <w:t>5.2%</w:t>
            </w:r>
          </w:p>
        </w:tc>
        <w:tc>
          <w:tcPr>
            <w:tcW w:w="120" w:type="dxa"/>
            <w:vAlign w:val="bottom"/>
          </w:tcPr>
          <w:p>
            <w:pPr>
              <w:spacing w:after="0"/>
              <w:rPr>
                <w:sz w:val="19"/>
                <w:szCs w:val="19"/>
                <w:color w:val="auto"/>
              </w:rPr>
            </w:pP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10</w:t>
            </w:r>
          </w:p>
        </w:tc>
        <w:tc>
          <w:tcPr>
            <w:tcW w:w="500" w:type="dxa"/>
            <w:vAlign w:val="bottom"/>
          </w:tcPr>
          <w:p>
            <w:pPr>
              <w:jc w:val="right"/>
              <w:spacing w:after="0"/>
              <w:rPr>
                <w:sz w:val="20"/>
                <w:szCs w:val="20"/>
                <w:color w:val="auto"/>
              </w:rPr>
            </w:pPr>
            <w:r>
              <w:rPr>
                <w:rFonts w:ascii="Arial" w:cs="Arial" w:eastAsia="Arial" w:hAnsi="Arial"/>
                <w:sz w:val="9"/>
                <w:szCs w:val="9"/>
                <w:color w:val="auto"/>
              </w:rPr>
              <w:t>365,022</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10.91</w:t>
            </w:r>
          </w:p>
        </w:tc>
        <w:tc>
          <w:tcPr>
            <w:tcW w:w="400" w:type="dxa"/>
            <w:vAlign w:val="bottom"/>
          </w:tcPr>
          <w:p>
            <w:pPr>
              <w:jc w:val="right"/>
              <w:spacing w:after="0"/>
              <w:rPr>
                <w:sz w:val="20"/>
                <w:szCs w:val="20"/>
                <w:color w:val="auto"/>
              </w:rPr>
            </w:pPr>
            <w:r>
              <w:rPr>
                <w:rFonts w:ascii="Arial" w:cs="Arial" w:eastAsia="Arial" w:hAnsi="Arial"/>
                <w:sz w:val="9"/>
                <w:szCs w:val="9"/>
                <w:color w:val="auto"/>
              </w:rPr>
              <w:t>9.3%</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33</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96,667</w:t>
            </w:r>
          </w:p>
        </w:tc>
        <w:tc>
          <w:tcPr>
            <w:tcW w:w="440" w:type="dxa"/>
            <w:vAlign w:val="bottom"/>
          </w:tcPr>
          <w:p>
            <w:pPr>
              <w:jc w:val="right"/>
              <w:spacing w:after="0"/>
              <w:rPr>
                <w:sz w:val="20"/>
                <w:szCs w:val="20"/>
                <w:color w:val="auto"/>
              </w:rPr>
            </w:pPr>
            <w:r>
              <w:rPr>
                <w:rFonts w:ascii="Arial" w:cs="Arial" w:eastAsia="Arial" w:hAnsi="Arial"/>
                <w:sz w:val="9"/>
                <w:szCs w:val="9"/>
                <w:color w:val="auto"/>
              </w:rPr>
              <w:t>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25.33</w:t>
            </w:r>
          </w:p>
        </w:tc>
        <w:tc>
          <w:tcPr>
            <w:tcW w:w="380" w:type="dxa"/>
            <w:vAlign w:val="bottom"/>
          </w:tcPr>
          <w:p>
            <w:pPr>
              <w:jc w:val="right"/>
              <w:spacing w:after="0"/>
              <w:rPr>
                <w:sz w:val="20"/>
                <w:szCs w:val="20"/>
                <w:color w:val="auto"/>
              </w:rPr>
            </w:pPr>
            <w:r>
              <w:rPr>
                <w:rFonts w:ascii="Arial" w:cs="Arial" w:eastAsia="Arial" w:hAnsi="Arial"/>
                <w:sz w:val="9"/>
                <w:szCs w:val="9"/>
                <w:color w:val="auto"/>
              </w:rPr>
              <w:t>7.2%</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54</w:t>
            </w: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508,856</w:t>
            </w:r>
          </w:p>
        </w:tc>
        <w:tc>
          <w:tcPr>
            <w:tcW w:w="440" w:type="dxa"/>
            <w:vAlign w:val="bottom"/>
          </w:tcPr>
          <w:p>
            <w:pPr>
              <w:jc w:val="right"/>
              <w:spacing w:after="0"/>
              <w:rPr>
                <w:sz w:val="20"/>
                <w:szCs w:val="20"/>
                <w:color w:val="auto"/>
              </w:rPr>
            </w:pPr>
            <w:r>
              <w:rPr>
                <w:rFonts w:ascii="Arial" w:cs="Arial" w:eastAsia="Arial" w:hAnsi="Arial"/>
                <w:sz w:val="9"/>
                <w:szCs w:val="9"/>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18.42</w:t>
            </w:r>
          </w:p>
        </w:tc>
        <w:tc>
          <w:tcPr>
            <w:tcW w:w="380" w:type="dxa"/>
            <w:vAlign w:val="bottom"/>
          </w:tcPr>
          <w:p>
            <w:pPr>
              <w:jc w:val="right"/>
              <w:spacing w:after="0"/>
              <w:rPr>
                <w:sz w:val="20"/>
                <w:szCs w:val="20"/>
                <w:color w:val="auto"/>
              </w:rPr>
            </w:pPr>
            <w:r>
              <w:rPr>
                <w:rFonts w:ascii="Arial" w:cs="Arial" w:eastAsia="Arial" w:hAnsi="Arial"/>
                <w:sz w:val="9"/>
                <w:szCs w:val="9"/>
                <w:color w:val="auto"/>
              </w:rPr>
              <w:t>7.1%</w:t>
            </w:r>
          </w:p>
        </w:tc>
      </w:tr>
      <w:tr>
        <w:trPr>
          <w:trHeight w:val="219"/>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2020</w:t>
            </w: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14</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35,476</w:t>
            </w:r>
          </w:p>
        </w:tc>
        <w:tc>
          <w:tcPr>
            <w:tcW w:w="460" w:type="dxa"/>
            <w:vAlign w:val="bottom"/>
          </w:tcPr>
          <w:p>
            <w:pPr>
              <w:jc w:val="right"/>
              <w:spacing w:after="0"/>
              <w:rPr>
                <w:sz w:val="20"/>
                <w:szCs w:val="20"/>
                <w:color w:val="auto"/>
              </w:rPr>
            </w:pPr>
            <w:r>
              <w:rPr>
                <w:rFonts w:ascii="Arial" w:cs="Arial" w:eastAsia="Arial" w:hAnsi="Arial"/>
                <w:sz w:val="9"/>
                <w:szCs w:val="9"/>
                <w:color w:val="auto"/>
              </w:rPr>
              <w:t>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116.46</w:t>
            </w:r>
          </w:p>
        </w:tc>
        <w:tc>
          <w:tcPr>
            <w:tcW w:w="400" w:type="dxa"/>
            <w:vAlign w:val="bottom"/>
          </w:tcPr>
          <w:p>
            <w:pPr>
              <w:jc w:val="right"/>
              <w:spacing w:after="0"/>
              <w:rPr>
                <w:sz w:val="20"/>
                <w:szCs w:val="20"/>
                <w:color w:val="auto"/>
              </w:rPr>
            </w:pPr>
            <w:r>
              <w:rPr>
                <w:rFonts w:ascii="Arial" w:cs="Arial" w:eastAsia="Arial" w:hAnsi="Arial"/>
                <w:sz w:val="9"/>
                <w:szCs w:val="9"/>
                <w:color w:val="auto"/>
              </w:rPr>
              <w:t>7.4%</w:t>
            </w:r>
          </w:p>
        </w:tc>
        <w:tc>
          <w:tcPr>
            <w:tcW w:w="120" w:type="dxa"/>
            <w:vAlign w:val="bottom"/>
          </w:tcPr>
          <w:p>
            <w:pPr>
              <w:spacing w:after="0"/>
              <w:rPr>
                <w:sz w:val="19"/>
                <w:szCs w:val="19"/>
                <w:color w:val="auto"/>
              </w:rPr>
            </w:pP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6</w:t>
            </w:r>
          </w:p>
        </w:tc>
        <w:tc>
          <w:tcPr>
            <w:tcW w:w="500" w:type="dxa"/>
            <w:vAlign w:val="bottom"/>
          </w:tcPr>
          <w:p>
            <w:pPr>
              <w:jc w:val="right"/>
              <w:spacing w:after="0"/>
              <w:rPr>
                <w:sz w:val="20"/>
                <w:szCs w:val="20"/>
                <w:color w:val="auto"/>
              </w:rPr>
            </w:pPr>
            <w:r>
              <w:rPr>
                <w:rFonts w:ascii="Arial" w:cs="Arial" w:eastAsia="Arial" w:hAnsi="Arial"/>
                <w:sz w:val="9"/>
                <w:szCs w:val="9"/>
                <w:color w:val="auto"/>
              </w:rPr>
              <w:t>393,038</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13.4%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12.85</w:t>
            </w:r>
          </w:p>
        </w:tc>
        <w:tc>
          <w:tcPr>
            <w:tcW w:w="400" w:type="dxa"/>
            <w:vAlign w:val="bottom"/>
          </w:tcPr>
          <w:p>
            <w:pPr>
              <w:jc w:val="right"/>
              <w:spacing w:after="0"/>
              <w:rPr>
                <w:sz w:val="20"/>
                <w:szCs w:val="20"/>
                <w:color w:val="auto"/>
              </w:rPr>
            </w:pPr>
            <w:r>
              <w:rPr>
                <w:rFonts w:ascii="Arial" w:cs="Arial" w:eastAsia="Arial" w:hAnsi="Arial"/>
                <w:sz w:val="9"/>
                <w:szCs w:val="9"/>
                <w:color w:val="auto"/>
              </w:rPr>
              <w:t>11.8%</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38</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109,551</w:t>
            </w:r>
          </w:p>
        </w:tc>
        <w:tc>
          <w:tcPr>
            <w:tcW w:w="440" w:type="dxa"/>
            <w:vAlign w:val="bottom"/>
          </w:tcPr>
          <w:p>
            <w:pPr>
              <w:jc w:val="right"/>
              <w:spacing w:after="0"/>
              <w:rPr>
                <w:sz w:val="20"/>
                <w:szCs w:val="20"/>
                <w:color w:val="auto"/>
              </w:rPr>
            </w:pPr>
            <w:r>
              <w:rPr>
                <w:rFonts w:ascii="Arial" w:cs="Arial" w:eastAsia="Arial" w:hAnsi="Arial"/>
                <w:sz w:val="9"/>
                <w:szCs w:val="9"/>
                <w:color w:val="auto"/>
              </w:rPr>
              <w:t>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25.98</w:t>
            </w:r>
          </w:p>
        </w:tc>
        <w:tc>
          <w:tcPr>
            <w:tcW w:w="380" w:type="dxa"/>
            <w:vAlign w:val="bottom"/>
          </w:tcPr>
          <w:p>
            <w:pPr>
              <w:jc w:val="right"/>
              <w:spacing w:after="0"/>
              <w:rPr>
                <w:sz w:val="20"/>
                <w:szCs w:val="20"/>
                <w:color w:val="auto"/>
              </w:rPr>
            </w:pPr>
            <w:r>
              <w:rPr>
                <w:rFonts w:ascii="Arial" w:cs="Arial" w:eastAsia="Arial" w:hAnsi="Arial"/>
                <w:sz w:val="9"/>
                <w:szCs w:val="9"/>
                <w:color w:val="auto"/>
              </w:rPr>
              <w:t>8.4%</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58</w:t>
            </w: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538,065</w:t>
            </w:r>
          </w:p>
        </w:tc>
        <w:tc>
          <w:tcPr>
            <w:tcW w:w="440" w:type="dxa"/>
            <w:vAlign w:val="bottom"/>
          </w:tcPr>
          <w:p>
            <w:pPr>
              <w:jc w:val="right"/>
              <w:spacing w:after="0"/>
              <w:rPr>
                <w:sz w:val="20"/>
                <w:szCs w:val="20"/>
                <w:color w:val="auto"/>
              </w:rPr>
            </w:pPr>
            <w:r>
              <w:rPr>
                <w:rFonts w:ascii="Arial" w:cs="Arial" w:eastAsia="Arial" w:hAnsi="Arial"/>
                <w:sz w:val="9"/>
                <w:szCs w:val="9"/>
                <w:color w:val="auto"/>
              </w:rPr>
              <w:t>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22.36</w:t>
            </w:r>
          </w:p>
        </w:tc>
        <w:tc>
          <w:tcPr>
            <w:tcW w:w="380" w:type="dxa"/>
            <w:vAlign w:val="bottom"/>
          </w:tcPr>
          <w:p>
            <w:pPr>
              <w:jc w:val="right"/>
              <w:spacing w:after="0"/>
              <w:rPr>
                <w:sz w:val="20"/>
                <w:szCs w:val="20"/>
                <w:color w:val="auto"/>
              </w:rPr>
            </w:pPr>
            <w:r>
              <w:rPr>
                <w:rFonts w:ascii="Arial" w:cs="Arial" w:eastAsia="Arial" w:hAnsi="Arial"/>
                <w:sz w:val="9"/>
                <w:szCs w:val="9"/>
                <w:color w:val="auto"/>
              </w:rPr>
              <w:t>9.1%</w:t>
            </w:r>
          </w:p>
        </w:tc>
      </w:tr>
      <w:tr>
        <w:trPr>
          <w:trHeight w:val="219"/>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2021</w:t>
            </w: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22</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96,300</w:t>
            </w:r>
          </w:p>
        </w:tc>
        <w:tc>
          <w:tcPr>
            <w:tcW w:w="460" w:type="dxa"/>
            <w:vAlign w:val="bottom"/>
          </w:tcPr>
          <w:p>
            <w:pPr>
              <w:jc w:val="right"/>
              <w:spacing w:after="0"/>
              <w:rPr>
                <w:sz w:val="20"/>
                <w:szCs w:val="20"/>
                <w:color w:val="auto"/>
              </w:rPr>
            </w:pPr>
            <w:r>
              <w:rPr>
                <w:rFonts w:ascii="Arial" w:cs="Arial" w:eastAsia="Arial" w:hAnsi="Arial"/>
                <w:sz w:val="9"/>
                <w:szCs w:val="9"/>
                <w:color w:val="auto"/>
              </w:rPr>
              <w:t>13.0%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52.50</w:t>
            </w:r>
          </w:p>
        </w:tc>
        <w:tc>
          <w:tcPr>
            <w:tcW w:w="400" w:type="dxa"/>
            <w:vAlign w:val="bottom"/>
          </w:tcPr>
          <w:p>
            <w:pPr>
              <w:jc w:val="right"/>
              <w:spacing w:after="0"/>
              <w:rPr>
                <w:sz w:val="20"/>
                <w:szCs w:val="20"/>
                <w:color w:val="auto"/>
              </w:rPr>
            </w:pPr>
            <w:r>
              <w:rPr>
                <w:rFonts w:ascii="Arial" w:cs="Arial" w:eastAsia="Arial" w:hAnsi="Arial"/>
                <w:sz w:val="9"/>
                <w:szCs w:val="9"/>
                <w:color w:val="auto"/>
              </w:rPr>
              <w:t>9.0%</w:t>
            </w:r>
          </w:p>
        </w:tc>
        <w:tc>
          <w:tcPr>
            <w:tcW w:w="120" w:type="dxa"/>
            <w:vAlign w:val="bottom"/>
          </w:tcPr>
          <w:p>
            <w:pPr>
              <w:spacing w:after="0"/>
              <w:rPr>
                <w:sz w:val="19"/>
                <w:szCs w:val="19"/>
                <w:color w:val="auto"/>
              </w:rPr>
            </w:pP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14</w:t>
            </w:r>
          </w:p>
        </w:tc>
        <w:tc>
          <w:tcPr>
            <w:tcW w:w="500" w:type="dxa"/>
            <w:vAlign w:val="bottom"/>
          </w:tcPr>
          <w:p>
            <w:pPr>
              <w:jc w:val="right"/>
              <w:spacing w:after="0"/>
              <w:rPr>
                <w:sz w:val="20"/>
                <w:szCs w:val="20"/>
                <w:color w:val="auto"/>
              </w:rPr>
            </w:pPr>
            <w:r>
              <w:rPr>
                <w:rFonts w:ascii="Arial" w:cs="Arial" w:eastAsia="Arial" w:hAnsi="Arial"/>
                <w:sz w:val="9"/>
                <w:szCs w:val="9"/>
                <w:color w:val="auto"/>
              </w:rPr>
              <w:t>584,690</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19.9%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14.23</w:t>
            </w:r>
          </w:p>
        </w:tc>
        <w:tc>
          <w:tcPr>
            <w:tcW w:w="400" w:type="dxa"/>
            <w:vAlign w:val="bottom"/>
          </w:tcPr>
          <w:p>
            <w:pPr>
              <w:jc w:val="right"/>
              <w:spacing w:after="0"/>
              <w:rPr>
                <w:sz w:val="20"/>
                <w:szCs w:val="20"/>
                <w:color w:val="auto"/>
              </w:rPr>
            </w:pPr>
            <w:r>
              <w:rPr>
                <w:rFonts w:ascii="Arial" w:cs="Arial" w:eastAsia="Arial" w:hAnsi="Arial"/>
                <w:sz w:val="9"/>
                <w:szCs w:val="9"/>
                <w:color w:val="auto"/>
              </w:rPr>
              <w:t>19.4%</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42</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167,816</w:t>
            </w:r>
          </w:p>
        </w:tc>
        <w:tc>
          <w:tcPr>
            <w:tcW w:w="440" w:type="dxa"/>
            <w:vAlign w:val="bottom"/>
          </w:tcPr>
          <w:p>
            <w:pPr>
              <w:jc w:val="right"/>
              <w:spacing w:after="0"/>
              <w:rPr>
                <w:sz w:val="20"/>
                <w:szCs w:val="20"/>
                <w:color w:val="auto"/>
              </w:rPr>
            </w:pPr>
            <w:r>
              <w:rPr>
                <w:rFonts w:ascii="Arial" w:cs="Arial" w:eastAsia="Arial" w:hAnsi="Arial"/>
                <w:sz w:val="9"/>
                <w:szCs w:val="9"/>
                <w:color w:val="auto"/>
              </w:rPr>
              <w:t>14.8%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23.99</w:t>
            </w:r>
          </w:p>
        </w:tc>
        <w:tc>
          <w:tcPr>
            <w:tcW w:w="380" w:type="dxa"/>
            <w:vAlign w:val="bottom"/>
          </w:tcPr>
          <w:p>
            <w:pPr>
              <w:jc w:val="right"/>
              <w:spacing w:after="0"/>
              <w:rPr>
                <w:sz w:val="20"/>
                <w:szCs w:val="20"/>
                <w:color w:val="auto"/>
              </w:rPr>
            </w:pPr>
            <w:r>
              <w:rPr>
                <w:rFonts w:ascii="Arial" w:cs="Arial" w:eastAsia="Arial" w:hAnsi="Arial"/>
                <w:sz w:val="9"/>
                <w:szCs w:val="9"/>
                <w:color w:val="auto"/>
              </w:rPr>
              <w:t>11.9%</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78</w:t>
            </w: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848,806</w:t>
            </w:r>
          </w:p>
        </w:tc>
        <w:tc>
          <w:tcPr>
            <w:tcW w:w="440" w:type="dxa"/>
            <w:vAlign w:val="bottom"/>
          </w:tcPr>
          <w:p>
            <w:pPr>
              <w:jc w:val="right"/>
              <w:spacing w:after="0"/>
              <w:rPr>
                <w:sz w:val="20"/>
                <w:szCs w:val="20"/>
                <w:color w:val="auto"/>
              </w:rPr>
            </w:pPr>
            <w:r>
              <w:rPr>
                <w:rFonts w:ascii="Arial" w:cs="Arial" w:eastAsia="Arial" w:hAnsi="Arial"/>
                <w:sz w:val="9"/>
                <w:szCs w:val="9"/>
                <w:color w:val="auto"/>
              </w:rPr>
              <w:t>10.8%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20.50</w:t>
            </w:r>
          </w:p>
        </w:tc>
        <w:tc>
          <w:tcPr>
            <w:tcW w:w="380" w:type="dxa"/>
            <w:vAlign w:val="bottom"/>
          </w:tcPr>
          <w:p>
            <w:pPr>
              <w:jc w:val="right"/>
              <w:spacing w:after="0"/>
              <w:rPr>
                <w:sz w:val="20"/>
                <w:szCs w:val="20"/>
                <w:color w:val="auto"/>
              </w:rPr>
            </w:pPr>
            <w:r>
              <w:rPr>
                <w:rFonts w:ascii="Arial" w:cs="Arial" w:eastAsia="Arial" w:hAnsi="Arial"/>
                <w:sz w:val="9"/>
                <w:szCs w:val="9"/>
                <w:color w:val="auto"/>
              </w:rPr>
              <w:t>13.1%</w:t>
            </w:r>
          </w:p>
        </w:tc>
      </w:tr>
      <w:tr>
        <w:trPr>
          <w:trHeight w:val="219"/>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2022</w:t>
            </w: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12</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57,742</w:t>
            </w:r>
          </w:p>
        </w:tc>
        <w:tc>
          <w:tcPr>
            <w:tcW w:w="460" w:type="dxa"/>
            <w:vAlign w:val="bottom"/>
          </w:tcPr>
          <w:p>
            <w:pPr>
              <w:jc w:val="right"/>
              <w:spacing w:after="0"/>
              <w:rPr>
                <w:sz w:val="20"/>
                <w:szCs w:val="20"/>
                <w:color w:val="auto"/>
              </w:rPr>
            </w:pPr>
            <w:r>
              <w:rPr>
                <w:rFonts w:ascii="Arial" w:cs="Arial" w:eastAsia="Arial" w:hAnsi="Arial"/>
                <w:sz w:val="9"/>
                <w:szCs w:val="9"/>
                <w:color w:val="auto"/>
              </w:rPr>
              <w:t>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79.55</w:t>
            </w:r>
          </w:p>
        </w:tc>
        <w:tc>
          <w:tcPr>
            <w:tcW w:w="400" w:type="dxa"/>
            <w:vAlign w:val="bottom"/>
          </w:tcPr>
          <w:p>
            <w:pPr>
              <w:jc w:val="right"/>
              <w:spacing w:after="0"/>
              <w:rPr>
                <w:sz w:val="20"/>
                <w:szCs w:val="20"/>
                <w:color w:val="auto"/>
              </w:rPr>
            </w:pPr>
            <w:r>
              <w:rPr>
                <w:rFonts w:ascii="Arial" w:cs="Arial" w:eastAsia="Arial" w:hAnsi="Arial"/>
                <w:sz w:val="9"/>
                <w:szCs w:val="9"/>
                <w:color w:val="auto"/>
              </w:rPr>
              <w:t>8.2%</w:t>
            </w:r>
          </w:p>
        </w:tc>
        <w:tc>
          <w:tcPr>
            <w:tcW w:w="120" w:type="dxa"/>
            <w:vAlign w:val="bottom"/>
          </w:tcPr>
          <w:p>
            <w:pPr>
              <w:spacing w:after="0"/>
              <w:rPr>
                <w:sz w:val="19"/>
                <w:szCs w:val="19"/>
                <w:color w:val="auto"/>
              </w:rPr>
            </w:pP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6</w:t>
            </w:r>
          </w:p>
        </w:tc>
        <w:tc>
          <w:tcPr>
            <w:tcW w:w="500" w:type="dxa"/>
            <w:vAlign w:val="bottom"/>
          </w:tcPr>
          <w:p>
            <w:pPr>
              <w:jc w:val="right"/>
              <w:spacing w:after="0"/>
              <w:rPr>
                <w:sz w:val="20"/>
                <w:szCs w:val="20"/>
                <w:color w:val="auto"/>
              </w:rPr>
            </w:pPr>
            <w:r>
              <w:rPr>
                <w:rFonts w:ascii="Arial" w:cs="Arial" w:eastAsia="Arial" w:hAnsi="Arial"/>
                <w:sz w:val="9"/>
                <w:szCs w:val="9"/>
                <w:color w:val="auto"/>
              </w:rPr>
              <w:t>239,129</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14.27</w:t>
            </w:r>
          </w:p>
        </w:tc>
        <w:tc>
          <w:tcPr>
            <w:tcW w:w="400" w:type="dxa"/>
            <w:vAlign w:val="bottom"/>
          </w:tcPr>
          <w:p>
            <w:pPr>
              <w:jc w:val="right"/>
              <w:spacing w:after="0"/>
              <w:rPr>
                <w:sz w:val="20"/>
                <w:szCs w:val="20"/>
                <w:color w:val="auto"/>
              </w:rPr>
            </w:pPr>
            <w:r>
              <w:rPr>
                <w:rFonts w:ascii="Arial" w:cs="Arial" w:eastAsia="Arial" w:hAnsi="Arial"/>
                <w:sz w:val="9"/>
                <w:szCs w:val="9"/>
                <w:color w:val="auto"/>
              </w:rPr>
              <w:t>7.9%</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38</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130,270</w:t>
            </w:r>
          </w:p>
        </w:tc>
        <w:tc>
          <w:tcPr>
            <w:tcW w:w="440" w:type="dxa"/>
            <w:vAlign w:val="bottom"/>
          </w:tcPr>
          <w:p>
            <w:pPr>
              <w:jc w:val="right"/>
              <w:spacing w:after="0"/>
              <w:rPr>
                <w:sz w:val="20"/>
                <w:szCs w:val="20"/>
                <w:color w:val="auto"/>
              </w:rPr>
            </w:pPr>
            <w:r>
              <w:rPr>
                <w:rFonts w:ascii="Arial" w:cs="Arial" w:eastAsia="Arial" w:hAnsi="Arial"/>
                <w:sz w:val="9"/>
                <w:szCs w:val="9"/>
                <w:color w:val="auto"/>
              </w:rPr>
              <w:t>11.5%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32.80</w:t>
            </w:r>
          </w:p>
        </w:tc>
        <w:tc>
          <w:tcPr>
            <w:tcW w:w="380" w:type="dxa"/>
            <w:vAlign w:val="bottom"/>
          </w:tcPr>
          <w:p>
            <w:pPr>
              <w:jc w:val="right"/>
              <w:spacing w:after="0"/>
              <w:rPr>
                <w:sz w:val="20"/>
                <w:szCs w:val="20"/>
                <w:color w:val="auto"/>
              </w:rPr>
            </w:pPr>
            <w:r>
              <w:rPr>
                <w:rFonts w:ascii="Arial" w:cs="Arial" w:eastAsia="Arial" w:hAnsi="Arial"/>
                <w:sz w:val="9"/>
                <w:szCs w:val="9"/>
                <w:color w:val="auto"/>
              </w:rPr>
              <w:t>12.6%</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56</w:t>
            </w: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427,141</w:t>
            </w:r>
          </w:p>
        </w:tc>
        <w:tc>
          <w:tcPr>
            <w:tcW w:w="440" w:type="dxa"/>
            <w:vAlign w:val="bottom"/>
          </w:tcPr>
          <w:p>
            <w:pPr>
              <w:jc w:val="right"/>
              <w:spacing w:after="0"/>
              <w:rPr>
                <w:sz w:val="20"/>
                <w:szCs w:val="20"/>
                <w:color w:val="auto"/>
              </w:rPr>
            </w:pPr>
            <w:r>
              <w:rPr>
                <w:rFonts w:ascii="Arial" w:cs="Arial" w:eastAsia="Arial" w:hAnsi="Arial"/>
                <w:sz w:val="9"/>
                <w:szCs w:val="9"/>
                <w:color w:val="auto"/>
              </w:rPr>
              <w:t>15.7%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28.74</w:t>
            </w:r>
          </w:p>
        </w:tc>
        <w:tc>
          <w:tcPr>
            <w:tcW w:w="380" w:type="dxa"/>
            <w:vAlign w:val="bottom"/>
          </w:tcPr>
          <w:p>
            <w:pPr>
              <w:jc w:val="right"/>
              <w:spacing w:after="0"/>
              <w:rPr>
                <w:sz w:val="20"/>
                <w:szCs w:val="20"/>
                <w:color w:val="auto"/>
              </w:rPr>
            </w:pPr>
            <w:r>
              <w:rPr>
                <w:rFonts w:ascii="Arial" w:cs="Arial" w:eastAsia="Arial" w:hAnsi="Arial"/>
                <w:sz w:val="9"/>
                <w:szCs w:val="9"/>
                <w:color w:val="auto"/>
              </w:rPr>
              <w:t>9.2%</w:t>
            </w:r>
          </w:p>
        </w:tc>
      </w:tr>
      <w:tr>
        <w:trPr>
          <w:trHeight w:val="219"/>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2023</w:t>
            </w: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12</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124,186</w:t>
            </w:r>
          </w:p>
        </w:tc>
        <w:tc>
          <w:tcPr>
            <w:tcW w:w="460" w:type="dxa"/>
            <w:vAlign w:val="bottom"/>
          </w:tcPr>
          <w:p>
            <w:pPr>
              <w:jc w:val="right"/>
              <w:spacing w:after="0"/>
              <w:rPr>
                <w:sz w:val="20"/>
                <w:szCs w:val="20"/>
                <w:color w:val="auto"/>
              </w:rPr>
            </w:pPr>
            <w:r>
              <w:rPr>
                <w:rFonts w:ascii="Arial" w:cs="Arial" w:eastAsia="Arial" w:hAnsi="Arial"/>
                <w:sz w:val="9"/>
                <w:szCs w:val="9"/>
                <w:color w:val="auto"/>
              </w:rPr>
              <w:t>16.8%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67.66</w:t>
            </w:r>
          </w:p>
        </w:tc>
        <w:tc>
          <w:tcPr>
            <w:tcW w:w="400" w:type="dxa"/>
            <w:vAlign w:val="bottom"/>
          </w:tcPr>
          <w:p>
            <w:pPr>
              <w:jc w:val="right"/>
              <w:spacing w:after="0"/>
              <w:rPr>
                <w:sz w:val="20"/>
                <w:szCs w:val="20"/>
                <w:color w:val="auto"/>
              </w:rPr>
            </w:pPr>
            <w:r>
              <w:rPr>
                <w:rFonts w:ascii="Arial" w:cs="Arial" w:eastAsia="Arial" w:hAnsi="Arial"/>
                <w:sz w:val="9"/>
                <w:szCs w:val="9"/>
                <w:color w:val="auto"/>
              </w:rPr>
              <w:t>15.0%</w:t>
            </w:r>
          </w:p>
        </w:tc>
        <w:tc>
          <w:tcPr>
            <w:tcW w:w="120" w:type="dxa"/>
            <w:vAlign w:val="bottom"/>
          </w:tcPr>
          <w:p>
            <w:pPr>
              <w:spacing w:after="0"/>
              <w:rPr>
                <w:sz w:val="19"/>
                <w:szCs w:val="19"/>
                <w:color w:val="auto"/>
              </w:rPr>
            </w:pP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9</w:t>
            </w:r>
          </w:p>
        </w:tc>
        <w:tc>
          <w:tcPr>
            <w:tcW w:w="500" w:type="dxa"/>
            <w:vAlign w:val="bottom"/>
          </w:tcPr>
          <w:p>
            <w:pPr>
              <w:jc w:val="right"/>
              <w:spacing w:after="0"/>
              <w:rPr>
                <w:sz w:val="20"/>
                <w:szCs w:val="20"/>
                <w:color w:val="auto"/>
              </w:rPr>
            </w:pPr>
            <w:r>
              <w:rPr>
                <w:rFonts w:ascii="Arial" w:cs="Arial" w:eastAsia="Arial" w:hAnsi="Arial"/>
                <w:sz w:val="9"/>
                <w:szCs w:val="9"/>
                <w:color w:val="auto"/>
              </w:rPr>
              <w:t>297,361</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10.1%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17.30</w:t>
            </w:r>
          </w:p>
        </w:tc>
        <w:tc>
          <w:tcPr>
            <w:tcW w:w="400" w:type="dxa"/>
            <w:vAlign w:val="bottom"/>
          </w:tcPr>
          <w:p>
            <w:pPr>
              <w:jc w:val="right"/>
              <w:spacing w:after="0"/>
              <w:rPr>
                <w:sz w:val="20"/>
                <w:szCs w:val="20"/>
                <w:color w:val="auto"/>
              </w:rPr>
            </w:pPr>
            <w:r>
              <w:rPr>
                <w:rFonts w:ascii="Arial" w:cs="Arial" w:eastAsia="Arial" w:hAnsi="Arial"/>
                <w:sz w:val="9"/>
                <w:szCs w:val="9"/>
                <w:color w:val="auto"/>
              </w:rPr>
              <w:t>12.0%</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26</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107,360</w:t>
            </w:r>
          </w:p>
        </w:tc>
        <w:tc>
          <w:tcPr>
            <w:tcW w:w="440" w:type="dxa"/>
            <w:vAlign w:val="bottom"/>
          </w:tcPr>
          <w:p>
            <w:pPr>
              <w:jc w:val="right"/>
              <w:spacing w:after="0"/>
              <w:rPr>
                <w:sz w:val="20"/>
                <w:szCs w:val="20"/>
                <w:color w:val="auto"/>
              </w:rPr>
            </w:pPr>
            <w:r>
              <w:rPr>
                <w:rFonts w:ascii="Arial" w:cs="Arial" w:eastAsia="Arial" w:hAnsi="Arial"/>
                <w:sz w:val="9"/>
                <w:szCs w:val="9"/>
                <w:color w:val="auto"/>
              </w:rPr>
              <w:t>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31.38</w:t>
            </w:r>
          </w:p>
        </w:tc>
        <w:tc>
          <w:tcPr>
            <w:tcW w:w="380" w:type="dxa"/>
            <w:vAlign w:val="bottom"/>
          </w:tcPr>
          <w:p>
            <w:pPr>
              <w:jc w:val="right"/>
              <w:spacing w:after="0"/>
              <w:rPr>
                <w:sz w:val="20"/>
                <w:szCs w:val="20"/>
                <w:color w:val="auto"/>
              </w:rPr>
            </w:pPr>
            <w:r>
              <w:rPr>
                <w:rFonts w:ascii="Arial" w:cs="Arial" w:eastAsia="Arial" w:hAnsi="Arial"/>
                <w:sz w:val="9"/>
                <w:szCs w:val="9"/>
                <w:color w:val="auto"/>
              </w:rPr>
              <w:t>10.0%</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47</w:t>
            </w: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528,907</w:t>
            </w:r>
          </w:p>
        </w:tc>
        <w:tc>
          <w:tcPr>
            <w:tcW w:w="440" w:type="dxa"/>
            <w:vAlign w:val="bottom"/>
          </w:tcPr>
          <w:p>
            <w:pPr>
              <w:jc w:val="right"/>
              <w:spacing w:after="0"/>
              <w:rPr>
                <w:sz w:val="20"/>
                <w:szCs w:val="20"/>
                <w:color w:val="auto"/>
              </w:rPr>
            </w:pPr>
            <w:r>
              <w:rPr>
                <w:rFonts w:ascii="Arial" w:cs="Arial" w:eastAsia="Arial" w:hAnsi="Arial"/>
                <w:sz w:val="9"/>
                <w:szCs w:val="9"/>
                <w:color w:val="auto"/>
              </w:rPr>
              <w:t>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31.98</w:t>
            </w:r>
          </w:p>
        </w:tc>
        <w:tc>
          <w:tcPr>
            <w:tcW w:w="380" w:type="dxa"/>
            <w:vAlign w:val="bottom"/>
          </w:tcPr>
          <w:p>
            <w:pPr>
              <w:jc w:val="right"/>
              <w:spacing w:after="0"/>
              <w:rPr>
                <w:sz w:val="20"/>
                <w:szCs w:val="20"/>
                <w:color w:val="auto"/>
              </w:rPr>
            </w:pPr>
            <w:r>
              <w:rPr>
                <w:rFonts w:ascii="Arial" w:cs="Arial" w:eastAsia="Arial" w:hAnsi="Arial"/>
                <w:sz w:val="9"/>
                <w:szCs w:val="9"/>
                <w:color w:val="auto"/>
              </w:rPr>
              <w:t>12.7%</w:t>
            </w:r>
          </w:p>
        </w:tc>
      </w:tr>
      <w:tr>
        <w:trPr>
          <w:trHeight w:val="219"/>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2024</w:t>
            </w: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13</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82,397</w:t>
            </w:r>
          </w:p>
        </w:tc>
        <w:tc>
          <w:tcPr>
            <w:tcW w:w="460" w:type="dxa"/>
            <w:vAlign w:val="bottom"/>
          </w:tcPr>
          <w:p>
            <w:pPr>
              <w:jc w:val="right"/>
              <w:spacing w:after="0"/>
              <w:rPr>
                <w:sz w:val="20"/>
                <w:szCs w:val="20"/>
                <w:color w:val="auto"/>
              </w:rPr>
            </w:pPr>
            <w:r>
              <w:rPr>
                <w:rFonts w:ascii="Arial" w:cs="Arial" w:eastAsia="Arial" w:hAnsi="Arial"/>
                <w:sz w:val="9"/>
                <w:szCs w:val="9"/>
                <w:color w:val="auto"/>
              </w:rPr>
              <w:t>11.2%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74.89</w:t>
            </w:r>
          </w:p>
        </w:tc>
        <w:tc>
          <w:tcPr>
            <w:tcW w:w="400" w:type="dxa"/>
            <w:vAlign w:val="bottom"/>
          </w:tcPr>
          <w:p>
            <w:pPr>
              <w:jc w:val="right"/>
              <w:spacing w:after="0"/>
              <w:rPr>
                <w:sz w:val="20"/>
                <w:szCs w:val="20"/>
                <w:color w:val="auto"/>
              </w:rPr>
            </w:pPr>
            <w:r>
              <w:rPr>
                <w:rFonts w:ascii="Arial" w:cs="Arial" w:eastAsia="Arial" w:hAnsi="Arial"/>
                <w:sz w:val="9"/>
                <w:szCs w:val="9"/>
                <w:color w:val="auto"/>
              </w:rPr>
              <w:t>11.0%</w:t>
            </w:r>
          </w:p>
        </w:tc>
        <w:tc>
          <w:tcPr>
            <w:tcW w:w="120" w:type="dxa"/>
            <w:vAlign w:val="bottom"/>
          </w:tcPr>
          <w:p>
            <w:pPr>
              <w:spacing w:after="0"/>
              <w:rPr>
                <w:sz w:val="19"/>
                <w:szCs w:val="19"/>
                <w:color w:val="auto"/>
              </w:rPr>
            </w:pP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6</w:t>
            </w:r>
          </w:p>
        </w:tc>
        <w:tc>
          <w:tcPr>
            <w:tcW w:w="500" w:type="dxa"/>
            <w:vAlign w:val="bottom"/>
          </w:tcPr>
          <w:p>
            <w:pPr>
              <w:jc w:val="right"/>
              <w:spacing w:after="0"/>
              <w:rPr>
                <w:sz w:val="20"/>
                <w:szCs w:val="20"/>
                <w:color w:val="auto"/>
              </w:rPr>
            </w:pPr>
            <w:r>
              <w:rPr>
                <w:rFonts w:ascii="Arial" w:cs="Arial" w:eastAsia="Arial" w:hAnsi="Arial"/>
                <w:sz w:val="9"/>
                <w:szCs w:val="9"/>
                <w:color w:val="auto"/>
              </w:rPr>
              <w:t>182,179</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17.14</w:t>
            </w:r>
          </w:p>
        </w:tc>
        <w:tc>
          <w:tcPr>
            <w:tcW w:w="400" w:type="dxa"/>
            <w:vAlign w:val="bottom"/>
          </w:tcPr>
          <w:p>
            <w:pPr>
              <w:jc w:val="right"/>
              <w:spacing w:after="0"/>
              <w:rPr>
                <w:sz w:val="20"/>
                <w:szCs w:val="20"/>
                <w:color w:val="auto"/>
              </w:rPr>
            </w:pPr>
            <w:r>
              <w:rPr>
                <w:rFonts w:ascii="Arial" w:cs="Arial" w:eastAsia="Arial" w:hAnsi="Arial"/>
                <w:sz w:val="9"/>
                <w:szCs w:val="9"/>
                <w:color w:val="auto"/>
              </w:rPr>
              <w:t>7.3%</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25</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106,179</w:t>
            </w:r>
          </w:p>
        </w:tc>
        <w:tc>
          <w:tcPr>
            <w:tcW w:w="440" w:type="dxa"/>
            <w:vAlign w:val="bottom"/>
          </w:tcPr>
          <w:p>
            <w:pPr>
              <w:jc w:val="right"/>
              <w:spacing w:after="0"/>
              <w:rPr>
                <w:sz w:val="20"/>
                <w:szCs w:val="20"/>
                <w:color w:val="auto"/>
              </w:rPr>
            </w:pPr>
            <w:r>
              <w:rPr>
                <w:rFonts w:ascii="Arial" w:cs="Arial" w:eastAsia="Arial" w:hAnsi="Arial"/>
                <w:sz w:val="9"/>
                <w:szCs w:val="9"/>
                <w:color w:val="auto"/>
              </w:rPr>
              <w:t>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29.45</w:t>
            </w:r>
          </w:p>
        </w:tc>
        <w:tc>
          <w:tcPr>
            <w:tcW w:w="380" w:type="dxa"/>
            <w:vAlign w:val="bottom"/>
          </w:tcPr>
          <w:p>
            <w:pPr>
              <w:jc w:val="right"/>
              <w:spacing w:after="0"/>
              <w:rPr>
                <w:sz w:val="20"/>
                <w:szCs w:val="20"/>
                <w:color w:val="auto"/>
              </w:rPr>
            </w:pPr>
            <w:r>
              <w:rPr>
                <w:rFonts w:ascii="Arial" w:cs="Arial" w:eastAsia="Arial" w:hAnsi="Arial"/>
                <w:sz w:val="9"/>
                <w:szCs w:val="9"/>
                <w:color w:val="auto"/>
              </w:rPr>
              <w:t>9.2%</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44</w:t>
            </w: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370,755</w:t>
            </w:r>
          </w:p>
        </w:tc>
        <w:tc>
          <w:tcPr>
            <w:tcW w:w="440" w:type="dxa"/>
            <w:vAlign w:val="bottom"/>
          </w:tcPr>
          <w:p>
            <w:pPr>
              <w:jc w:val="right"/>
              <w:spacing w:after="0"/>
              <w:rPr>
                <w:sz w:val="20"/>
                <w:szCs w:val="20"/>
                <w:color w:val="auto"/>
              </w:rPr>
            </w:pPr>
            <w:r>
              <w:rPr>
                <w:rFonts w:ascii="Arial" w:cs="Arial" w:eastAsia="Arial" w:hAnsi="Arial"/>
                <w:sz w:val="9"/>
                <w:szCs w:val="9"/>
                <w:color w:val="auto"/>
              </w:rPr>
              <w:t>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33.50</w:t>
            </w:r>
          </w:p>
        </w:tc>
        <w:tc>
          <w:tcPr>
            <w:tcW w:w="380" w:type="dxa"/>
            <w:vAlign w:val="bottom"/>
          </w:tcPr>
          <w:p>
            <w:pPr>
              <w:jc w:val="right"/>
              <w:spacing w:after="0"/>
              <w:rPr>
                <w:sz w:val="20"/>
                <w:szCs w:val="20"/>
                <w:color w:val="auto"/>
              </w:rPr>
            </w:pPr>
            <w:r>
              <w:rPr>
                <w:rFonts w:ascii="Arial" w:cs="Arial" w:eastAsia="Arial" w:hAnsi="Arial"/>
                <w:sz w:val="9"/>
                <w:szCs w:val="9"/>
                <w:color w:val="auto"/>
              </w:rPr>
              <w:t>9.3%</w:t>
            </w:r>
          </w:p>
        </w:tc>
      </w:tr>
      <w:tr>
        <w:trPr>
          <w:trHeight w:val="219"/>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2025</w:t>
            </w: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11</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42,101</w:t>
            </w:r>
          </w:p>
        </w:tc>
        <w:tc>
          <w:tcPr>
            <w:tcW w:w="460" w:type="dxa"/>
            <w:vAlign w:val="bottom"/>
          </w:tcPr>
          <w:p>
            <w:pPr>
              <w:jc w:val="right"/>
              <w:spacing w:after="0"/>
              <w:rPr>
                <w:sz w:val="20"/>
                <w:szCs w:val="20"/>
                <w:color w:val="auto"/>
              </w:rPr>
            </w:pPr>
            <w:r>
              <w:rPr>
                <w:rFonts w:ascii="Arial" w:cs="Arial" w:eastAsia="Arial" w:hAnsi="Arial"/>
                <w:sz w:val="9"/>
                <w:szCs w:val="9"/>
                <w:color w:val="auto"/>
              </w:rPr>
              <w:t>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139.49</w:t>
            </w:r>
          </w:p>
        </w:tc>
        <w:tc>
          <w:tcPr>
            <w:tcW w:w="400" w:type="dxa"/>
            <w:vAlign w:val="bottom"/>
          </w:tcPr>
          <w:p>
            <w:pPr>
              <w:jc w:val="right"/>
              <w:spacing w:after="0"/>
              <w:rPr>
                <w:sz w:val="20"/>
                <w:szCs w:val="20"/>
                <w:color w:val="auto"/>
              </w:rPr>
            </w:pPr>
            <w:r>
              <w:rPr>
                <w:rFonts w:ascii="Arial" w:cs="Arial" w:eastAsia="Arial" w:hAnsi="Arial"/>
                <w:sz w:val="9"/>
                <w:szCs w:val="9"/>
                <w:color w:val="auto"/>
              </w:rPr>
              <w:t>10.5%</w:t>
            </w:r>
          </w:p>
        </w:tc>
        <w:tc>
          <w:tcPr>
            <w:tcW w:w="120" w:type="dxa"/>
            <w:vAlign w:val="bottom"/>
          </w:tcPr>
          <w:p>
            <w:pPr>
              <w:spacing w:after="0"/>
              <w:rPr>
                <w:sz w:val="19"/>
                <w:szCs w:val="19"/>
                <w:color w:val="auto"/>
              </w:rPr>
            </w:pP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6</w:t>
            </w:r>
          </w:p>
        </w:tc>
        <w:tc>
          <w:tcPr>
            <w:tcW w:w="500" w:type="dxa"/>
            <w:vAlign w:val="bottom"/>
          </w:tcPr>
          <w:p>
            <w:pPr>
              <w:jc w:val="right"/>
              <w:spacing w:after="0"/>
              <w:rPr>
                <w:sz w:val="20"/>
                <w:szCs w:val="20"/>
                <w:color w:val="auto"/>
              </w:rPr>
            </w:pPr>
            <w:r>
              <w:rPr>
                <w:rFonts w:ascii="Arial" w:cs="Arial" w:eastAsia="Arial" w:hAnsi="Arial"/>
                <w:sz w:val="9"/>
                <w:szCs w:val="9"/>
                <w:color w:val="auto"/>
              </w:rPr>
              <w:t>152,198</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18.33</w:t>
            </w:r>
          </w:p>
        </w:tc>
        <w:tc>
          <w:tcPr>
            <w:tcW w:w="400" w:type="dxa"/>
            <w:vAlign w:val="bottom"/>
          </w:tcPr>
          <w:p>
            <w:pPr>
              <w:jc w:val="right"/>
              <w:spacing w:after="0"/>
              <w:rPr>
                <w:sz w:val="20"/>
                <w:szCs w:val="20"/>
                <w:color w:val="auto"/>
              </w:rPr>
            </w:pPr>
            <w:r>
              <w:rPr>
                <w:rFonts w:ascii="Arial" w:cs="Arial" w:eastAsia="Arial" w:hAnsi="Arial"/>
                <w:sz w:val="9"/>
                <w:szCs w:val="9"/>
                <w:color w:val="auto"/>
              </w:rPr>
              <w:t>6.5%</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17</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45,282</w:t>
            </w:r>
          </w:p>
        </w:tc>
        <w:tc>
          <w:tcPr>
            <w:tcW w:w="440" w:type="dxa"/>
            <w:vAlign w:val="bottom"/>
          </w:tcPr>
          <w:p>
            <w:pPr>
              <w:jc w:val="right"/>
              <w:spacing w:after="0"/>
              <w:rPr>
                <w:sz w:val="20"/>
                <w:szCs w:val="20"/>
                <w:color w:val="auto"/>
              </w:rPr>
            </w:pPr>
            <w:r>
              <w:rPr>
                <w:rFonts w:ascii="Arial" w:cs="Arial" w:eastAsia="Arial" w:hAnsi="Arial"/>
                <w:sz w:val="9"/>
                <w:szCs w:val="9"/>
                <w:color w:val="auto"/>
              </w:rPr>
              <w:t>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30.94</w:t>
            </w:r>
          </w:p>
        </w:tc>
        <w:tc>
          <w:tcPr>
            <w:tcW w:w="380" w:type="dxa"/>
            <w:vAlign w:val="bottom"/>
          </w:tcPr>
          <w:p>
            <w:pPr>
              <w:jc w:val="right"/>
              <w:spacing w:after="0"/>
              <w:rPr>
                <w:sz w:val="20"/>
                <w:szCs w:val="20"/>
                <w:color w:val="auto"/>
              </w:rPr>
            </w:pPr>
            <w:r>
              <w:rPr>
                <w:rFonts w:ascii="Arial" w:cs="Arial" w:eastAsia="Arial" w:hAnsi="Arial"/>
                <w:sz w:val="9"/>
                <w:szCs w:val="9"/>
                <w:color w:val="auto"/>
              </w:rPr>
              <w:t>4.1%</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34</w:t>
            </w: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239,581</w:t>
            </w:r>
          </w:p>
        </w:tc>
        <w:tc>
          <w:tcPr>
            <w:tcW w:w="440" w:type="dxa"/>
            <w:vAlign w:val="bottom"/>
          </w:tcPr>
          <w:p>
            <w:pPr>
              <w:jc w:val="right"/>
              <w:spacing w:after="0"/>
              <w:rPr>
                <w:sz w:val="20"/>
                <w:szCs w:val="20"/>
                <w:color w:val="auto"/>
              </w:rPr>
            </w:pPr>
            <w:r>
              <w:rPr>
                <w:rFonts w:ascii="Arial" w:cs="Arial" w:eastAsia="Arial" w:hAnsi="Arial"/>
                <w:sz w:val="9"/>
                <w:szCs w:val="9"/>
                <w:color w:val="auto"/>
              </w:rPr>
              <w:t>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42.01</w:t>
            </w:r>
          </w:p>
        </w:tc>
        <w:tc>
          <w:tcPr>
            <w:tcW w:w="380" w:type="dxa"/>
            <w:vAlign w:val="bottom"/>
          </w:tcPr>
          <w:p>
            <w:pPr>
              <w:jc w:val="right"/>
              <w:spacing w:after="0"/>
              <w:rPr>
                <w:sz w:val="20"/>
                <w:szCs w:val="20"/>
                <w:color w:val="auto"/>
              </w:rPr>
            </w:pPr>
            <w:r>
              <w:rPr>
                <w:rFonts w:ascii="Arial" w:cs="Arial" w:eastAsia="Arial" w:hAnsi="Arial"/>
                <w:sz w:val="9"/>
                <w:szCs w:val="9"/>
                <w:color w:val="auto"/>
              </w:rPr>
              <w:t>7.6%</w:t>
            </w:r>
          </w:p>
        </w:tc>
      </w:tr>
      <w:tr>
        <w:trPr>
          <w:trHeight w:val="219"/>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2026</w:t>
            </w: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11</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24,927</w:t>
            </w:r>
          </w:p>
        </w:tc>
        <w:tc>
          <w:tcPr>
            <w:tcW w:w="460" w:type="dxa"/>
            <w:vAlign w:val="bottom"/>
          </w:tcPr>
          <w:p>
            <w:pPr>
              <w:jc w:val="right"/>
              <w:spacing w:after="0"/>
              <w:rPr>
                <w:sz w:val="20"/>
                <w:szCs w:val="20"/>
                <w:color w:val="auto"/>
              </w:rPr>
            </w:pPr>
            <w:r>
              <w:rPr>
                <w:rFonts w:ascii="Arial" w:cs="Arial" w:eastAsia="Arial" w:hAnsi="Arial"/>
                <w:sz w:val="9"/>
                <w:szCs w:val="9"/>
                <w:color w:val="auto"/>
              </w:rPr>
              <w:t>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95.82</w:t>
            </w:r>
          </w:p>
        </w:tc>
        <w:tc>
          <w:tcPr>
            <w:tcW w:w="400" w:type="dxa"/>
            <w:vAlign w:val="bottom"/>
          </w:tcPr>
          <w:p>
            <w:pPr>
              <w:jc w:val="right"/>
              <w:spacing w:after="0"/>
              <w:rPr>
                <w:sz w:val="20"/>
                <w:szCs w:val="20"/>
                <w:color w:val="auto"/>
              </w:rPr>
            </w:pPr>
            <w:r>
              <w:rPr>
                <w:rFonts w:ascii="Arial" w:cs="Arial" w:eastAsia="Arial" w:hAnsi="Arial"/>
                <w:sz w:val="9"/>
                <w:szCs w:val="9"/>
                <w:color w:val="auto"/>
              </w:rPr>
              <w:t>4.3%</w:t>
            </w:r>
          </w:p>
        </w:tc>
        <w:tc>
          <w:tcPr>
            <w:tcW w:w="120" w:type="dxa"/>
            <w:vAlign w:val="bottom"/>
          </w:tcPr>
          <w:p>
            <w:pPr>
              <w:spacing w:after="0"/>
              <w:rPr>
                <w:sz w:val="19"/>
                <w:szCs w:val="19"/>
                <w:color w:val="auto"/>
              </w:rPr>
            </w:pP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2</w:t>
            </w:r>
          </w:p>
        </w:tc>
        <w:tc>
          <w:tcPr>
            <w:tcW w:w="500" w:type="dxa"/>
            <w:vAlign w:val="bottom"/>
          </w:tcPr>
          <w:p>
            <w:pPr>
              <w:jc w:val="right"/>
              <w:spacing w:after="0"/>
              <w:rPr>
                <w:sz w:val="20"/>
                <w:szCs w:val="20"/>
                <w:color w:val="auto"/>
              </w:rPr>
            </w:pPr>
            <w:r>
              <w:rPr>
                <w:rFonts w:ascii="Arial" w:cs="Arial" w:eastAsia="Arial" w:hAnsi="Arial"/>
                <w:sz w:val="9"/>
                <w:szCs w:val="9"/>
                <w:color w:val="auto"/>
              </w:rPr>
              <w:t>32,570</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17.71</w:t>
            </w:r>
          </w:p>
        </w:tc>
        <w:tc>
          <w:tcPr>
            <w:tcW w:w="400" w:type="dxa"/>
            <w:vAlign w:val="bottom"/>
          </w:tcPr>
          <w:p>
            <w:pPr>
              <w:jc w:val="right"/>
              <w:spacing w:after="0"/>
              <w:rPr>
                <w:sz w:val="20"/>
                <w:szCs w:val="20"/>
                <w:color w:val="auto"/>
              </w:rPr>
            </w:pPr>
            <w:r>
              <w:rPr>
                <w:rFonts w:ascii="Arial" w:cs="Arial" w:eastAsia="Arial" w:hAnsi="Arial"/>
                <w:sz w:val="9"/>
                <w:szCs w:val="9"/>
                <w:color w:val="auto"/>
              </w:rPr>
              <w:t>1.3%</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17</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75,029</w:t>
            </w:r>
          </w:p>
        </w:tc>
        <w:tc>
          <w:tcPr>
            <w:tcW w:w="440" w:type="dxa"/>
            <w:vAlign w:val="bottom"/>
          </w:tcPr>
          <w:p>
            <w:pPr>
              <w:jc w:val="right"/>
              <w:spacing w:after="0"/>
              <w:rPr>
                <w:sz w:val="20"/>
                <w:szCs w:val="20"/>
                <w:color w:val="auto"/>
              </w:rPr>
            </w:pPr>
            <w:r>
              <w:rPr>
                <w:rFonts w:ascii="Arial" w:cs="Arial" w:eastAsia="Arial" w:hAnsi="Arial"/>
                <w:sz w:val="9"/>
                <w:szCs w:val="9"/>
                <w:color w:val="auto"/>
              </w:rPr>
              <w:t>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31.23</w:t>
            </w:r>
          </w:p>
        </w:tc>
        <w:tc>
          <w:tcPr>
            <w:tcW w:w="380" w:type="dxa"/>
            <w:vAlign w:val="bottom"/>
          </w:tcPr>
          <w:p>
            <w:pPr>
              <w:jc w:val="right"/>
              <w:spacing w:after="0"/>
              <w:rPr>
                <w:sz w:val="20"/>
                <w:szCs w:val="20"/>
                <w:color w:val="auto"/>
              </w:rPr>
            </w:pPr>
            <w:r>
              <w:rPr>
                <w:rFonts w:ascii="Arial" w:cs="Arial" w:eastAsia="Arial" w:hAnsi="Arial"/>
                <w:sz w:val="9"/>
                <w:szCs w:val="9"/>
                <w:color w:val="auto"/>
              </w:rPr>
              <w:t>6.9%</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30</w:t>
            </w: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132,526</w:t>
            </w:r>
          </w:p>
        </w:tc>
        <w:tc>
          <w:tcPr>
            <w:tcW w:w="440" w:type="dxa"/>
            <w:vAlign w:val="bottom"/>
          </w:tcPr>
          <w:p>
            <w:pPr>
              <w:jc w:val="right"/>
              <w:spacing w:after="0"/>
              <w:rPr>
                <w:sz w:val="20"/>
                <w:szCs w:val="20"/>
                <w:color w:val="auto"/>
              </w:rPr>
            </w:pPr>
            <w:r>
              <w:rPr>
                <w:rFonts w:ascii="Arial" w:cs="Arial" w:eastAsia="Arial" w:hAnsi="Arial"/>
                <w:sz w:val="9"/>
                <w:szCs w:val="9"/>
                <w:color w:val="auto"/>
              </w:rPr>
              <w:t>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40.06</w:t>
            </w:r>
          </w:p>
        </w:tc>
        <w:tc>
          <w:tcPr>
            <w:tcW w:w="380" w:type="dxa"/>
            <w:vAlign w:val="bottom"/>
          </w:tcPr>
          <w:p>
            <w:pPr>
              <w:jc w:val="right"/>
              <w:spacing w:after="0"/>
              <w:rPr>
                <w:sz w:val="20"/>
                <w:szCs w:val="20"/>
                <w:color w:val="auto"/>
              </w:rPr>
            </w:pPr>
            <w:r>
              <w:rPr>
                <w:rFonts w:ascii="Arial" w:cs="Arial" w:eastAsia="Arial" w:hAnsi="Arial"/>
                <w:sz w:val="9"/>
                <w:szCs w:val="9"/>
                <w:color w:val="auto"/>
              </w:rPr>
              <w:t>4.0%</w:t>
            </w:r>
          </w:p>
        </w:tc>
      </w:tr>
      <w:tr>
        <w:trPr>
          <w:trHeight w:val="219"/>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2027</w:t>
            </w: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6</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17,231</w:t>
            </w:r>
          </w:p>
        </w:tc>
        <w:tc>
          <w:tcPr>
            <w:tcW w:w="460" w:type="dxa"/>
            <w:vAlign w:val="bottom"/>
          </w:tcPr>
          <w:p>
            <w:pPr>
              <w:jc w:val="right"/>
              <w:spacing w:after="0"/>
              <w:rPr>
                <w:sz w:val="20"/>
                <w:szCs w:val="20"/>
                <w:color w:val="auto"/>
              </w:rPr>
            </w:pPr>
            <w:r>
              <w:rPr>
                <w:rFonts w:ascii="Arial" w:cs="Arial" w:eastAsia="Arial" w:hAnsi="Arial"/>
                <w:sz w:val="9"/>
                <w:szCs w:val="9"/>
                <w:color w:val="auto"/>
              </w:rPr>
              <w:t>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79.58</w:t>
            </w:r>
          </w:p>
        </w:tc>
        <w:tc>
          <w:tcPr>
            <w:tcW w:w="400" w:type="dxa"/>
            <w:vAlign w:val="bottom"/>
          </w:tcPr>
          <w:p>
            <w:pPr>
              <w:jc w:val="right"/>
              <w:spacing w:after="0"/>
              <w:rPr>
                <w:sz w:val="20"/>
                <w:szCs w:val="20"/>
                <w:color w:val="auto"/>
              </w:rPr>
            </w:pPr>
            <w:r>
              <w:rPr>
                <w:rFonts w:ascii="Arial" w:cs="Arial" w:eastAsia="Arial" w:hAnsi="Arial"/>
                <w:sz w:val="9"/>
                <w:szCs w:val="9"/>
                <w:color w:val="auto"/>
              </w:rPr>
              <w:t>2.4%</w:t>
            </w:r>
          </w:p>
        </w:tc>
        <w:tc>
          <w:tcPr>
            <w:tcW w:w="120" w:type="dxa"/>
            <w:vAlign w:val="bottom"/>
          </w:tcPr>
          <w:p>
            <w:pPr>
              <w:spacing w:after="0"/>
              <w:rPr>
                <w:sz w:val="19"/>
                <w:szCs w:val="19"/>
                <w:color w:val="auto"/>
              </w:rPr>
            </w:pPr>
          </w:p>
        </w:tc>
        <w:tc>
          <w:tcPr>
            <w:tcW w:w="480" w:type="dxa"/>
            <w:vAlign w:val="bottom"/>
          </w:tcPr>
          <w:p>
            <w:pPr>
              <w:jc w:val="right"/>
              <w:ind w:right="76"/>
              <w:spacing w:after="0"/>
              <w:rPr>
                <w:sz w:val="20"/>
                <w:szCs w:val="20"/>
                <w:color w:val="auto"/>
              </w:rPr>
            </w:pPr>
            <w:r>
              <w:rPr>
                <w:rFonts w:ascii="Arial" w:cs="Arial" w:eastAsia="Arial" w:hAnsi="Arial"/>
                <w:sz w:val="9"/>
                <w:szCs w:val="9"/>
                <w:color w:val="auto"/>
              </w:rPr>
              <w:t>2</w:t>
            </w:r>
          </w:p>
        </w:tc>
        <w:tc>
          <w:tcPr>
            <w:tcW w:w="500" w:type="dxa"/>
            <w:vAlign w:val="bottom"/>
          </w:tcPr>
          <w:p>
            <w:pPr>
              <w:jc w:val="right"/>
              <w:spacing w:after="0"/>
              <w:rPr>
                <w:sz w:val="20"/>
                <w:szCs w:val="20"/>
                <w:color w:val="auto"/>
              </w:rPr>
            </w:pPr>
            <w:r>
              <w:rPr>
                <w:rFonts w:ascii="Arial" w:cs="Arial" w:eastAsia="Arial" w:hAnsi="Arial"/>
                <w:sz w:val="9"/>
                <w:szCs w:val="9"/>
                <w:color w:val="auto"/>
              </w:rPr>
              <w:t>66,650</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36"/>
              <w:spacing w:after="0"/>
              <w:rPr>
                <w:sz w:val="20"/>
                <w:szCs w:val="20"/>
                <w:color w:val="auto"/>
              </w:rPr>
            </w:pPr>
            <w:r>
              <w:rPr>
                <w:rFonts w:ascii="Arial" w:cs="Arial" w:eastAsia="Arial" w:hAnsi="Arial"/>
                <w:sz w:val="9"/>
                <w:szCs w:val="9"/>
                <w:color w:val="auto"/>
              </w:rPr>
              <w:t>23.33</w:t>
            </w:r>
          </w:p>
        </w:tc>
        <w:tc>
          <w:tcPr>
            <w:tcW w:w="400" w:type="dxa"/>
            <w:vAlign w:val="bottom"/>
          </w:tcPr>
          <w:p>
            <w:pPr>
              <w:jc w:val="right"/>
              <w:spacing w:after="0"/>
              <w:rPr>
                <w:sz w:val="20"/>
                <w:szCs w:val="20"/>
                <w:color w:val="auto"/>
              </w:rPr>
            </w:pPr>
            <w:r>
              <w:rPr>
                <w:rFonts w:ascii="Arial" w:cs="Arial" w:eastAsia="Arial" w:hAnsi="Arial"/>
                <w:sz w:val="9"/>
                <w:szCs w:val="9"/>
                <w:color w:val="auto"/>
              </w:rPr>
              <w:t>3.6%</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16</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75,786</w:t>
            </w:r>
          </w:p>
        </w:tc>
        <w:tc>
          <w:tcPr>
            <w:tcW w:w="440" w:type="dxa"/>
            <w:vAlign w:val="bottom"/>
          </w:tcPr>
          <w:p>
            <w:pPr>
              <w:jc w:val="right"/>
              <w:spacing w:after="0"/>
              <w:rPr>
                <w:sz w:val="20"/>
                <w:szCs w:val="20"/>
                <w:color w:val="auto"/>
              </w:rPr>
            </w:pPr>
            <w:r>
              <w:rPr>
                <w:rFonts w:ascii="Arial" w:cs="Arial" w:eastAsia="Arial" w:hAnsi="Arial"/>
                <w:sz w:val="9"/>
                <w:szCs w:val="9"/>
                <w:color w:val="auto"/>
              </w:rPr>
              <w:t>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29.40</w:t>
            </w:r>
          </w:p>
        </w:tc>
        <w:tc>
          <w:tcPr>
            <w:tcW w:w="380" w:type="dxa"/>
            <w:vAlign w:val="bottom"/>
          </w:tcPr>
          <w:p>
            <w:pPr>
              <w:jc w:val="right"/>
              <w:spacing w:after="0"/>
              <w:rPr>
                <w:sz w:val="20"/>
                <w:szCs w:val="20"/>
                <w:color w:val="auto"/>
              </w:rPr>
            </w:pPr>
            <w:r>
              <w:rPr>
                <w:rFonts w:ascii="Arial" w:cs="Arial" w:eastAsia="Arial" w:hAnsi="Arial"/>
                <w:sz w:val="9"/>
                <w:szCs w:val="9"/>
                <w:color w:val="auto"/>
              </w:rPr>
              <w:t>6.6%</w:t>
            </w:r>
          </w:p>
        </w:tc>
        <w:tc>
          <w:tcPr>
            <w:tcW w:w="120" w:type="dxa"/>
            <w:vAlign w:val="bottom"/>
          </w:tcPr>
          <w:p>
            <w:pPr>
              <w:spacing w:after="0"/>
              <w:rPr>
                <w:sz w:val="19"/>
                <w:szCs w:val="19"/>
                <w:color w:val="auto"/>
              </w:rPr>
            </w:pPr>
          </w:p>
        </w:tc>
        <w:tc>
          <w:tcPr>
            <w:tcW w:w="440" w:type="dxa"/>
            <w:vAlign w:val="bottom"/>
          </w:tcPr>
          <w:p>
            <w:pPr>
              <w:jc w:val="right"/>
              <w:ind w:right="56"/>
              <w:spacing w:after="0"/>
              <w:rPr>
                <w:sz w:val="20"/>
                <w:szCs w:val="20"/>
                <w:color w:val="auto"/>
              </w:rPr>
            </w:pPr>
            <w:r>
              <w:rPr>
                <w:rFonts w:ascii="Arial" w:cs="Arial" w:eastAsia="Arial" w:hAnsi="Arial"/>
                <w:sz w:val="9"/>
                <w:szCs w:val="9"/>
                <w:color w:val="auto"/>
              </w:rPr>
              <w:t>24</w:t>
            </w: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159,667</w:t>
            </w:r>
          </w:p>
        </w:tc>
        <w:tc>
          <w:tcPr>
            <w:tcW w:w="440" w:type="dxa"/>
            <w:vAlign w:val="bottom"/>
          </w:tcPr>
          <w:p>
            <w:pPr>
              <w:jc w:val="right"/>
              <w:spacing w:after="0"/>
              <w:rPr>
                <w:sz w:val="20"/>
                <w:szCs w:val="20"/>
                <w:color w:val="auto"/>
              </w:rPr>
            </w:pPr>
            <w:r>
              <w:rPr>
                <w:rFonts w:ascii="Arial" w:cs="Arial" w:eastAsia="Arial" w:hAnsi="Arial"/>
                <w:sz w:val="9"/>
                <w:szCs w:val="9"/>
                <w:color w:val="auto"/>
              </w:rPr>
              <w:t>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36"/>
              <w:spacing w:after="0"/>
              <w:rPr>
                <w:sz w:val="20"/>
                <w:szCs w:val="20"/>
                <w:color w:val="auto"/>
              </w:rPr>
            </w:pPr>
            <w:r>
              <w:rPr>
                <w:rFonts w:ascii="Arial" w:cs="Arial" w:eastAsia="Arial" w:hAnsi="Arial"/>
                <w:sz w:val="9"/>
                <w:szCs w:val="9"/>
                <w:color w:val="auto"/>
              </w:rPr>
              <w:t>32.28</w:t>
            </w:r>
          </w:p>
        </w:tc>
        <w:tc>
          <w:tcPr>
            <w:tcW w:w="380" w:type="dxa"/>
            <w:vAlign w:val="bottom"/>
          </w:tcPr>
          <w:p>
            <w:pPr>
              <w:jc w:val="right"/>
              <w:spacing w:after="0"/>
              <w:rPr>
                <w:sz w:val="20"/>
                <w:szCs w:val="20"/>
                <w:color w:val="auto"/>
              </w:rPr>
            </w:pPr>
            <w:r>
              <w:rPr>
                <w:rFonts w:ascii="Arial" w:cs="Arial" w:eastAsia="Arial" w:hAnsi="Arial"/>
                <w:sz w:val="9"/>
                <w:szCs w:val="9"/>
                <w:color w:val="auto"/>
              </w:rPr>
              <w:t>3.9%</w:t>
            </w:r>
          </w:p>
        </w:tc>
      </w:tr>
      <w:tr>
        <w:trPr>
          <w:trHeight w:val="227"/>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Thereafter</w:t>
            </w: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14</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200,969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27.3%</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72.66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26.0%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503,039</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17.2%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13.88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16.2%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22</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116,013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10.3%</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44.69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15.4%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45</w:t>
            </w: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820,021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17.8%</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32.65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20.1%</w:t>
            </w:r>
          </w:p>
        </w:tc>
      </w:tr>
      <w:tr>
        <w:trPr>
          <w:trHeight w:val="215"/>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Total</w:t>
            </w: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131</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738,458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100.0%</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w w:val="78"/>
              </w:rPr>
              <w:t>$</w:t>
            </w: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75.96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100.0%</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72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2,933,373</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100.0%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14.63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100.0%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311</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1,132,106</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100.0%</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ind w:right="33"/>
              <w:spacing w:after="0"/>
              <w:rPr>
                <w:sz w:val="20"/>
                <w:szCs w:val="20"/>
                <w:color w:val="auto"/>
              </w:rPr>
            </w:pPr>
            <w:r>
              <w:rPr>
                <w:rFonts w:ascii="Arial" w:cs="Arial" w:eastAsia="Arial" w:hAnsi="Arial"/>
                <w:sz w:val="5"/>
                <w:szCs w:val="5"/>
                <w:b w:val="1"/>
                <w:bCs w:val="1"/>
                <w:color w:val="auto"/>
                <w:w w:val="70"/>
              </w:rPr>
              <w:t>$</w:t>
            </w: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29.90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100.0%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514</w:t>
            </w: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4,803,937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100.0%</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ind w:right="33"/>
              <w:spacing w:after="0"/>
              <w:rPr>
                <w:sz w:val="20"/>
                <w:szCs w:val="20"/>
                <w:color w:val="auto"/>
              </w:rPr>
            </w:pPr>
            <w:r>
              <w:rPr>
                <w:rFonts w:ascii="Arial" w:cs="Arial" w:eastAsia="Arial" w:hAnsi="Arial"/>
                <w:sz w:val="5"/>
                <w:szCs w:val="5"/>
                <w:b w:val="1"/>
                <w:bCs w:val="1"/>
                <w:color w:val="auto"/>
                <w:w w:val="70"/>
              </w:rPr>
              <w:t>$</w:t>
            </w: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27.58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100.0%</w:t>
            </w:r>
          </w:p>
        </w:tc>
      </w:tr>
      <w:tr>
        <w:trPr>
          <w:trHeight w:val="20"/>
        </w:trPr>
        <w:tc>
          <w:tcPr>
            <w:tcW w:w="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36"/>
        </w:trPr>
        <w:tc>
          <w:tcPr>
            <w:tcW w:w="1060" w:type="dxa"/>
            <w:vAlign w:val="bottom"/>
            <w:gridSpan w:val="2"/>
          </w:tcPr>
          <w:p>
            <w:pPr>
              <w:ind w:left="20"/>
              <w:spacing w:after="0"/>
              <w:rPr>
                <w:sz w:val="20"/>
                <w:szCs w:val="20"/>
                <w:color w:val="auto"/>
              </w:rPr>
            </w:pPr>
            <w:r>
              <w:rPr>
                <w:rFonts w:ascii="Arial" w:cs="Arial" w:eastAsia="Arial" w:hAnsi="Arial"/>
                <w:sz w:val="9"/>
                <w:szCs w:val="9"/>
                <w:color w:val="auto"/>
              </w:rPr>
              <w:t>Anchor GLA Owned by</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105"/>
        </w:trPr>
        <w:tc>
          <w:tcPr>
            <w:tcW w:w="580" w:type="dxa"/>
            <w:vAlign w:val="bottom"/>
          </w:tcPr>
          <w:p>
            <w:pPr>
              <w:ind w:left="20"/>
              <w:spacing w:after="0"/>
              <w:rPr>
                <w:sz w:val="20"/>
                <w:szCs w:val="20"/>
                <w:color w:val="auto"/>
              </w:rPr>
            </w:pPr>
            <w:r>
              <w:rPr>
                <w:rFonts w:ascii="Arial" w:cs="Arial" w:eastAsia="Arial" w:hAnsi="Arial"/>
                <w:sz w:val="9"/>
                <w:szCs w:val="9"/>
                <w:color w:val="auto"/>
              </w:rPr>
              <w:t>Tenants</w:t>
            </w:r>
          </w:p>
        </w:tc>
        <w:tc>
          <w:tcPr>
            <w:tcW w:w="480" w:type="dxa"/>
            <w:vAlign w:val="bottom"/>
          </w:tcPr>
          <w:p>
            <w:pPr>
              <w:spacing w:after="0"/>
              <w:rPr>
                <w:sz w:val="9"/>
                <w:szCs w:val="9"/>
                <w:color w:val="auto"/>
              </w:rPr>
            </w:pP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254,916</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jc w:val="right"/>
              <w:ind w:right="76"/>
              <w:spacing w:after="0"/>
              <w:rPr>
                <w:sz w:val="20"/>
                <w:szCs w:val="20"/>
                <w:color w:val="auto"/>
              </w:rPr>
            </w:pPr>
            <w:r>
              <w:rPr>
                <w:rFonts w:ascii="Arial" w:cs="Arial" w:eastAsia="Arial" w:hAnsi="Arial"/>
                <w:sz w:val="9"/>
                <w:szCs w:val="9"/>
                <w:color w:val="auto"/>
              </w:rPr>
              <w:t>254,916</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227"/>
        </w:trPr>
        <w:tc>
          <w:tcPr>
            <w:tcW w:w="580" w:type="dxa"/>
            <w:vAlign w:val="bottom"/>
          </w:tcPr>
          <w:p>
            <w:pPr>
              <w:ind w:left="20"/>
              <w:spacing w:after="0"/>
              <w:rPr>
                <w:sz w:val="20"/>
                <w:szCs w:val="20"/>
                <w:color w:val="auto"/>
              </w:rPr>
            </w:pPr>
            <w:r>
              <w:rPr>
                <w:rFonts w:ascii="Arial" w:cs="Arial" w:eastAsia="Arial" w:hAnsi="Arial"/>
                <w:sz w:val="9"/>
                <w:szCs w:val="9"/>
                <w:color w:val="auto"/>
              </w:rPr>
              <w:t>Total Vacant</w:t>
            </w:r>
          </w:p>
        </w:tc>
        <w:tc>
          <w:tcPr>
            <w:tcW w:w="480" w:type="dxa"/>
            <w:vAlign w:val="bottom"/>
          </w:tcPr>
          <w:p>
            <w:pPr>
              <w:spacing w:after="0"/>
              <w:rPr>
                <w:sz w:val="19"/>
                <w:szCs w:val="19"/>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41,359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44,698</w:t>
            </w:r>
          </w:p>
        </w:tc>
        <w:tc>
          <w:tcPr>
            <w:tcW w:w="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214,299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300,356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193"/>
        </w:trPr>
        <w:tc>
          <w:tcPr>
            <w:tcW w:w="1060" w:type="dxa"/>
            <w:vAlign w:val="bottom"/>
            <w:gridSpan w:val="2"/>
          </w:tcPr>
          <w:p>
            <w:pPr>
              <w:ind w:left="20"/>
              <w:spacing w:after="0"/>
              <w:rPr>
                <w:sz w:val="20"/>
                <w:szCs w:val="20"/>
                <w:color w:val="auto"/>
              </w:rPr>
            </w:pPr>
            <w:r>
              <w:rPr>
                <w:rFonts w:ascii="Arial" w:cs="Arial" w:eastAsia="Arial" w:hAnsi="Arial"/>
                <w:sz w:val="9"/>
                <w:szCs w:val="9"/>
                <w:b w:val="1"/>
                <w:bCs w:val="1"/>
                <w:color w:val="auto"/>
              </w:rPr>
              <w:t>Total Square Feet</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779,817</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3,232,987</w:t>
            </w:r>
          </w:p>
        </w:tc>
        <w:tc>
          <w:tcPr>
            <w:tcW w:w="8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1,346,405</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5,359,209</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_________</w:t>
      </w:r>
    </w:p>
    <w:p>
      <w:pPr>
        <w:spacing w:after="0" w:line="192" w:lineRule="exact"/>
        <w:rPr>
          <w:sz w:val="20"/>
          <w:szCs w:val="20"/>
          <w:color w:val="auto"/>
        </w:rPr>
      </w:pPr>
    </w:p>
    <w:p>
      <w:pPr>
        <w:ind w:left="540" w:hanging="270"/>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Leases currently under month to month or in process of renewal</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29</w:t>
            </w:r>
          </w:p>
        </w:tc>
      </w:tr>
    </w:tbl>
    <w:p>
      <w:pPr>
        <w:sectPr>
          <w:pgSz w:w="11900" w:h="16838" w:orient="portrait"/>
          <w:cols w:equalWidth="0" w:num="1">
            <w:col w:w="11460"/>
          </w:cols>
          <w:pgMar w:left="220" w:top="617" w:right="219" w:bottom="1440" w:gutter="0" w:footer="0" w:header="0"/>
        </w:sectPr>
      </w:pPr>
    </w:p>
    <w:bookmarkStart w:id="41" w:name="page42"/>
    <w:bookmarkEnd w:id="41"/>
    <w:p>
      <w:pPr>
        <w:ind w:left="400"/>
        <w:spacing w:after="0"/>
        <w:rPr>
          <w:sz w:val="20"/>
          <w:szCs w:val="20"/>
          <w:color w:val="auto"/>
        </w:rPr>
      </w:pPr>
      <w:r>
        <w:rPr>
          <w:rFonts w:ascii="Arial" w:cs="Arial" w:eastAsia="Arial" w:hAnsi="Arial"/>
          <w:sz w:val="20"/>
          <w:szCs w:val="20"/>
          <w:b w:val="1"/>
          <w:bCs w:val="1"/>
          <w:color w:val="auto"/>
        </w:rPr>
        <w:t xml:space="preserve">Core Portfolio - New and Renewal Rent Spreads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14605</wp:posOffset>
            </wp:positionV>
            <wp:extent cx="680085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0850" cy="6985"/>
                    </a:xfrm>
                    <a:prstGeom prst="rect">
                      <a:avLst/>
                    </a:prstGeom>
                    <a:noFill/>
                  </pic:spPr>
                </pic:pic>
              </a:graphicData>
            </a:graphic>
          </wp:anchor>
        </w:drawing>
      </w:r>
    </w:p>
    <w:p>
      <w:pPr>
        <w:spacing w:after="0" w:line="234" w:lineRule="exact"/>
        <w:rPr>
          <w:sz w:val="20"/>
          <w:szCs w:val="20"/>
          <w:color w:val="auto"/>
        </w:rPr>
      </w:pPr>
    </w:p>
    <w:tbl>
      <w:tblPr>
        <w:tblLayout w:type="fixed"/>
        <w:tblInd w:w="400" w:type="dxa"/>
        <w:tblCellMar>
          <w:top w:w="0" w:type="dxa"/>
          <w:left w:w="0" w:type="dxa"/>
          <w:bottom w:w="0" w:type="dxa"/>
          <w:right w:w="0" w:type="dxa"/>
        </w:tblCellMar>
      </w:tblPr>
      <w:tr>
        <w:trPr>
          <w:trHeight w:val="206"/>
        </w:trPr>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920" w:type="dxa"/>
            <w:vAlign w:val="bottom"/>
            <w:tcBorders>
              <w:right w:val="single" w:sz="8" w:color="9BDA44"/>
            </w:tcBorders>
          </w:tcPr>
          <w:p>
            <w:pPr>
              <w:spacing w:after="0"/>
              <w:rPr>
                <w:sz w:val="17"/>
                <w:szCs w:val="17"/>
                <w:color w:val="auto"/>
              </w:rPr>
            </w:pPr>
          </w:p>
        </w:tc>
        <w:tc>
          <w:tcPr>
            <w:tcW w:w="1660" w:type="dxa"/>
            <w:vAlign w:val="bottom"/>
            <w:tcBorders>
              <w:top w:val="single" w:sz="8" w:color="9BDA44"/>
              <w:right w:val="single" w:sz="8" w:color="9BDA44"/>
            </w:tcBorders>
            <w:gridSpan w:val="3"/>
          </w:tcPr>
          <w:p>
            <w:pPr>
              <w:jc w:val="right"/>
              <w:ind w:right="274"/>
              <w:spacing w:after="0"/>
              <w:rPr>
                <w:sz w:val="20"/>
                <w:szCs w:val="20"/>
                <w:color w:val="auto"/>
              </w:rPr>
            </w:pPr>
            <w:r>
              <w:rPr>
                <w:rFonts w:ascii="Arial" w:cs="Arial" w:eastAsia="Arial" w:hAnsi="Arial"/>
                <w:sz w:val="15"/>
                <w:szCs w:val="15"/>
                <w:b w:val="1"/>
                <w:bCs w:val="1"/>
                <w:color w:val="auto"/>
              </w:rPr>
              <w:t>Quarter Ended</w:t>
            </w:r>
          </w:p>
        </w:tc>
      </w:tr>
      <w:tr>
        <w:trPr>
          <w:trHeight w:val="225"/>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920" w:type="dxa"/>
            <w:vAlign w:val="bottom"/>
            <w:tcBorders>
              <w:right w:val="single" w:sz="8" w:color="9BDA44"/>
            </w:tcBorders>
          </w:tcPr>
          <w:p>
            <w:pPr>
              <w:spacing w:after="0"/>
              <w:rPr>
                <w:sz w:val="19"/>
                <w:szCs w:val="19"/>
                <w:color w:val="auto"/>
              </w:rPr>
            </w:pPr>
          </w:p>
        </w:tc>
        <w:tc>
          <w:tcPr>
            <w:tcW w:w="1660" w:type="dxa"/>
            <w:vAlign w:val="bottom"/>
            <w:tcBorders>
              <w:bottom w:val="single" w:sz="8" w:color="auto"/>
              <w:right w:val="single" w:sz="8" w:color="9BDA44"/>
            </w:tcBorders>
            <w:gridSpan w:val="3"/>
          </w:tcPr>
          <w:p>
            <w:pPr>
              <w:jc w:val="right"/>
              <w:ind w:right="254"/>
              <w:spacing w:after="0"/>
              <w:rPr>
                <w:sz w:val="20"/>
                <w:szCs w:val="20"/>
                <w:color w:val="auto"/>
              </w:rPr>
            </w:pPr>
            <w:r>
              <w:rPr>
                <w:rFonts w:ascii="Arial" w:cs="Arial" w:eastAsia="Arial" w:hAnsi="Arial"/>
                <w:sz w:val="15"/>
                <w:szCs w:val="15"/>
                <w:b w:val="1"/>
                <w:bCs w:val="1"/>
                <w:color w:val="auto"/>
              </w:rPr>
              <w:t>March 31, 2018</w:t>
            </w:r>
          </w:p>
        </w:tc>
      </w:tr>
      <w:tr>
        <w:trPr>
          <w:trHeight w:val="216"/>
        </w:trPr>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20" w:type="dxa"/>
            <w:vAlign w:val="bottom"/>
            <w:tcBorders>
              <w:right w:val="single" w:sz="8" w:color="9BDA44"/>
            </w:tcBorders>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5"/>
                <w:szCs w:val="15"/>
                <w:b w:val="1"/>
                <w:bCs w:val="1"/>
                <w:color w:val="auto"/>
              </w:rPr>
              <w:t xml:space="preserve">GAAP </w:t>
            </w:r>
            <w:r>
              <w:rPr>
                <w:rFonts w:ascii="Arial" w:cs="Arial" w:eastAsia="Arial" w:hAnsi="Arial"/>
                <w:sz w:val="17"/>
                <w:szCs w:val="17"/>
                <w:b w:val="1"/>
                <w:bCs w:val="1"/>
                <w:color w:val="auto"/>
                <w:vertAlign w:val="superscript"/>
              </w:rPr>
              <w:t>2</w:t>
            </w:r>
          </w:p>
        </w:tc>
        <w:tc>
          <w:tcPr>
            <w:tcW w:w="800" w:type="dxa"/>
            <w:vAlign w:val="bottom"/>
            <w:tcBorders>
              <w:right w:val="single" w:sz="8" w:color="9BDA44"/>
            </w:tcBorders>
          </w:tcPr>
          <w:p>
            <w:pPr>
              <w:jc w:val="right"/>
              <w:ind w:right="134"/>
              <w:spacing w:after="0"/>
              <w:rPr>
                <w:sz w:val="20"/>
                <w:szCs w:val="20"/>
                <w:color w:val="auto"/>
              </w:rPr>
            </w:pPr>
            <w:r>
              <w:rPr>
                <w:rFonts w:ascii="Arial" w:cs="Arial" w:eastAsia="Arial" w:hAnsi="Arial"/>
                <w:sz w:val="15"/>
                <w:szCs w:val="15"/>
                <w:b w:val="1"/>
                <w:bCs w:val="1"/>
                <w:color w:val="auto"/>
              </w:rPr>
              <w:t xml:space="preserve">Cash </w:t>
            </w:r>
            <w:r>
              <w:rPr>
                <w:rFonts w:ascii="Arial" w:cs="Arial" w:eastAsia="Arial" w:hAnsi="Arial"/>
                <w:sz w:val="17"/>
                <w:szCs w:val="17"/>
                <w:b w:val="1"/>
                <w:bCs w:val="1"/>
                <w:color w:val="auto"/>
                <w:vertAlign w:val="superscript"/>
              </w:rPr>
              <w:t>3</w:t>
            </w:r>
          </w:p>
        </w:tc>
      </w:tr>
      <w:tr>
        <w:trPr>
          <w:trHeight w:val="166"/>
        </w:trPr>
        <w:tc>
          <w:tcPr>
            <w:tcW w:w="8960" w:type="dxa"/>
            <w:vAlign w:val="bottom"/>
            <w:tcBorders>
              <w:right w:val="single" w:sz="8" w:color="9BDA44"/>
            </w:tcBorders>
            <w:gridSpan w:val="4"/>
          </w:tcPr>
          <w:p>
            <w:pPr>
              <w:spacing w:after="0" w:line="166" w:lineRule="exact"/>
              <w:rPr>
                <w:sz w:val="20"/>
                <w:szCs w:val="20"/>
                <w:color w:val="auto"/>
              </w:rPr>
            </w:pPr>
            <w:r>
              <w:rPr>
                <w:rFonts w:ascii="Arial" w:cs="Arial" w:eastAsia="Arial" w:hAnsi="Arial"/>
                <w:sz w:val="15"/>
                <w:szCs w:val="15"/>
                <w:b w:val="1"/>
                <w:bCs w:val="1"/>
                <w:color w:val="auto"/>
              </w:rPr>
              <w:t>New leases</w:t>
            </w: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right w:val="single" w:sz="8" w:color="9BDA44"/>
            </w:tcBorders>
          </w:tcPr>
          <w:p>
            <w:pPr>
              <w:spacing w:after="0"/>
              <w:rPr>
                <w:sz w:val="14"/>
                <w:szCs w:val="14"/>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920" w:type="dxa"/>
            <w:vAlign w:val="bottom"/>
            <w:tcBorders>
              <w:right w:val="single" w:sz="8" w:color="9BDA44"/>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9BDA44"/>
            </w:tcBorders>
          </w:tcPr>
          <w:p>
            <w:pPr>
              <w:spacing w:after="0" w:line="20" w:lineRule="exact"/>
              <w:rPr>
                <w:sz w:val="1"/>
                <w:szCs w:val="1"/>
                <w:color w:val="auto"/>
              </w:rPr>
            </w:pPr>
          </w:p>
        </w:tc>
      </w:tr>
      <w:tr>
        <w:trPr>
          <w:trHeight w:val="226"/>
        </w:trPr>
        <w:tc>
          <w:tcPr>
            <w:tcW w:w="8960" w:type="dxa"/>
            <w:vAlign w:val="bottom"/>
            <w:tcBorders>
              <w:right w:val="single" w:sz="8" w:color="9BDA44"/>
            </w:tcBorders>
            <w:gridSpan w:val="4"/>
          </w:tcPr>
          <w:p>
            <w:pPr>
              <w:spacing w:after="0"/>
              <w:rPr>
                <w:sz w:val="20"/>
                <w:szCs w:val="20"/>
                <w:color w:val="auto"/>
              </w:rPr>
            </w:pPr>
            <w:r>
              <w:rPr>
                <w:rFonts w:ascii="Arial" w:cs="Arial" w:eastAsia="Arial" w:hAnsi="Arial"/>
                <w:sz w:val="13"/>
                <w:szCs w:val="13"/>
                <w:color w:val="auto"/>
              </w:rPr>
              <w:t>Number of new leases executed</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ind w:right="114"/>
              <w:spacing w:after="0"/>
              <w:rPr>
                <w:sz w:val="20"/>
                <w:szCs w:val="20"/>
                <w:color w:val="auto"/>
              </w:rPr>
            </w:pPr>
            <w:r>
              <w:rPr>
                <w:rFonts w:ascii="Arial" w:cs="Arial" w:eastAsia="Arial" w:hAnsi="Arial"/>
                <w:sz w:val="13"/>
                <w:szCs w:val="13"/>
                <w:color w:val="auto"/>
              </w:rPr>
              <w:t>1</w:t>
            </w:r>
          </w:p>
        </w:tc>
      </w:tr>
      <w:tr>
        <w:trPr>
          <w:trHeight w:val="219"/>
        </w:trPr>
        <w:tc>
          <w:tcPr>
            <w:tcW w:w="8960" w:type="dxa"/>
            <w:vAlign w:val="bottom"/>
            <w:tcBorders>
              <w:right w:val="single" w:sz="8" w:color="9BDA44"/>
            </w:tcBorders>
            <w:gridSpan w:val="4"/>
          </w:tcPr>
          <w:p>
            <w:pPr>
              <w:spacing w:after="0"/>
              <w:rPr>
                <w:sz w:val="20"/>
                <w:szCs w:val="20"/>
                <w:color w:val="auto"/>
              </w:rPr>
            </w:pPr>
            <w:r>
              <w:rPr>
                <w:rFonts w:ascii="Arial" w:cs="Arial" w:eastAsia="Arial" w:hAnsi="Arial"/>
                <w:sz w:val="13"/>
                <w:szCs w:val="13"/>
                <w:color w:val="auto"/>
              </w:rPr>
              <w:t>GLA</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3,405</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ind w:right="114"/>
              <w:spacing w:after="0"/>
              <w:rPr>
                <w:sz w:val="20"/>
                <w:szCs w:val="20"/>
                <w:color w:val="auto"/>
              </w:rPr>
            </w:pPr>
            <w:r>
              <w:rPr>
                <w:rFonts w:ascii="Arial" w:cs="Arial" w:eastAsia="Arial" w:hAnsi="Arial"/>
                <w:sz w:val="13"/>
                <w:szCs w:val="13"/>
                <w:color w:val="auto"/>
              </w:rPr>
              <w:t>3,405</w:t>
            </w:r>
          </w:p>
        </w:tc>
      </w:tr>
      <w:tr>
        <w:trPr>
          <w:trHeight w:val="21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920" w:type="dxa"/>
            <w:vAlign w:val="bottom"/>
            <w:tcBorders>
              <w:right w:val="single" w:sz="8" w:color="9BDA44"/>
            </w:tcBorders>
          </w:tcPr>
          <w:p>
            <w:pPr>
              <w:jc w:val="right"/>
              <w:ind w:right="174"/>
              <w:spacing w:after="0"/>
              <w:rPr>
                <w:sz w:val="20"/>
                <w:szCs w:val="20"/>
                <w:color w:val="auto"/>
              </w:rPr>
            </w:pPr>
            <w:r>
              <w:rPr>
                <w:rFonts w:ascii="Arial" w:cs="Arial" w:eastAsia="Arial" w:hAnsi="Arial"/>
                <w:sz w:val="13"/>
                <w:szCs w:val="13"/>
                <w:color w:val="auto"/>
              </w:rPr>
              <w:t>New base rent</w:t>
            </w:r>
          </w:p>
        </w:tc>
        <w:tc>
          <w:tcPr>
            <w:tcW w:w="760" w:type="dxa"/>
            <w:vAlign w:val="bottom"/>
          </w:tcPr>
          <w:p>
            <w:pPr>
              <w:jc w:val="right"/>
              <w:spacing w:after="0"/>
              <w:rPr>
                <w:sz w:val="20"/>
                <w:szCs w:val="20"/>
                <w:color w:val="auto"/>
              </w:rPr>
            </w:pPr>
            <w:r>
              <w:rPr>
                <w:rFonts w:ascii="Arial" w:cs="Arial" w:eastAsia="Arial" w:hAnsi="Arial"/>
                <w:sz w:val="13"/>
                <w:szCs w:val="13"/>
                <w:color w:val="auto"/>
              </w:rPr>
              <w:t>$88.01</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spacing w:after="0"/>
              <w:rPr>
                <w:sz w:val="20"/>
                <w:szCs w:val="20"/>
                <w:color w:val="auto"/>
              </w:rPr>
            </w:pPr>
            <w:r>
              <w:rPr>
                <w:rFonts w:ascii="Arial" w:cs="Arial" w:eastAsia="Arial" w:hAnsi="Arial"/>
                <w:sz w:val="13"/>
                <w:szCs w:val="13"/>
                <w:color w:val="auto"/>
              </w:rPr>
              <w:t>$78.56</w:t>
            </w:r>
          </w:p>
        </w:tc>
      </w:tr>
      <w:tr>
        <w:trPr>
          <w:trHeight w:val="21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920" w:type="dxa"/>
            <w:vAlign w:val="bottom"/>
            <w:tcBorders>
              <w:right w:val="single" w:sz="8" w:color="9BDA44"/>
            </w:tcBorders>
          </w:tcPr>
          <w:p>
            <w:pPr>
              <w:jc w:val="right"/>
              <w:ind w:right="174"/>
              <w:spacing w:after="0"/>
              <w:rPr>
                <w:sz w:val="20"/>
                <w:szCs w:val="20"/>
                <w:color w:val="auto"/>
              </w:rPr>
            </w:pPr>
            <w:r>
              <w:rPr>
                <w:rFonts w:ascii="Arial" w:cs="Arial" w:eastAsia="Arial" w:hAnsi="Arial"/>
                <w:sz w:val="13"/>
                <w:szCs w:val="13"/>
                <w:color w:val="auto"/>
              </w:rPr>
              <w:t>Previous base rent</w:t>
            </w:r>
          </w:p>
        </w:tc>
        <w:tc>
          <w:tcPr>
            <w:tcW w:w="760" w:type="dxa"/>
            <w:vAlign w:val="bottom"/>
          </w:tcPr>
          <w:p>
            <w:pPr>
              <w:jc w:val="right"/>
              <w:spacing w:after="0"/>
              <w:rPr>
                <w:sz w:val="20"/>
                <w:szCs w:val="20"/>
                <w:color w:val="auto"/>
              </w:rPr>
            </w:pPr>
            <w:r>
              <w:rPr>
                <w:rFonts w:ascii="Arial" w:cs="Arial" w:eastAsia="Arial" w:hAnsi="Arial"/>
                <w:sz w:val="13"/>
                <w:szCs w:val="13"/>
                <w:color w:val="auto"/>
              </w:rPr>
              <w:t>$41.16</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spacing w:after="0"/>
              <w:rPr>
                <w:sz w:val="20"/>
                <w:szCs w:val="20"/>
                <w:color w:val="auto"/>
              </w:rPr>
            </w:pPr>
            <w:r>
              <w:rPr>
                <w:rFonts w:ascii="Arial" w:cs="Arial" w:eastAsia="Arial" w:hAnsi="Arial"/>
                <w:sz w:val="13"/>
                <w:szCs w:val="13"/>
                <w:color w:val="auto"/>
              </w:rPr>
              <w:t>$38.77</w:t>
            </w:r>
          </w:p>
        </w:tc>
      </w:tr>
      <w:tr>
        <w:trPr>
          <w:trHeight w:val="21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920" w:type="dxa"/>
            <w:vAlign w:val="bottom"/>
            <w:tcBorders>
              <w:right w:val="single" w:sz="8" w:color="9BDA44"/>
            </w:tcBorders>
          </w:tcPr>
          <w:p>
            <w:pPr>
              <w:jc w:val="right"/>
              <w:ind w:right="174"/>
              <w:spacing w:after="0"/>
              <w:rPr>
                <w:sz w:val="20"/>
                <w:szCs w:val="20"/>
                <w:color w:val="auto"/>
              </w:rPr>
            </w:pPr>
            <w:r>
              <w:rPr>
                <w:rFonts w:ascii="Arial" w:cs="Arial" w:eastAsia="Arial" w:hAnsi="Arial"/>
                <w:sz w:val="13"/>
                <w:szCs w:val="13"/>
                <w:color w:val="auto"/>
              </w:rPr>
              <w:t>Average cost per square foot</w:t>
            </w:r>
          </w:p>
        </w:tc>
        <w:tc>
          <w:tcPr>
            <w:tcW w:w="760" w:type="dxa"/>
            <w:vAlign w:val="bottom"/>
          </w:tcPr>
          <w:p>
            <w:pPr>
              <w:jc w:val="right"/>
              <w:spacing w:after="0"/>
              <w:rPr>
                <w:sz w:val="20"/>
                <w:szCs w:val="20"/>
                <w:color w:val="auto"/>
              </w:rPr>
            </w:pPr>
            <w:r>
              <w:rPr>
                <w:rFonts w:ascii="Arial" w:cs="Arial" w:eastAsia="Arial" w:hAnsi="Arial"/>
                <w:sz w:val="13"/>
                <w:szCs w:val="13"/>
                <w:color w:val="auto"/>
              </w:rPr>
              <w:t>$48.31</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spacing w:after="0"/>
              <w:rPr>
                <w:sz w:val="20"/>
                <w:szCs w:val="20"/>
                <w:color w:val="auto"/>
              </w:rPr>
            </w:pPr>
            <w:r>
              <w:rPr>
                <w:rFonts w:ascii="Arial" w:cs="Arial" w:eastAsia="Arial" w:hAnsi="Arial"/>
                <w:sz w:val="13"/>
                <w:szCs w:val="13"/>
                <w:color w:val="auto"/>
              </w:rPr>
              <w:t>$48.31</w:t>
            </w:r>
          </w:p>
        </w:tc>
      </w:tr>
      <w:tr>
        <w:trPr>
          <w:trHeight w:val="219"/>
        </w:trPr>
        <w:tc>
          <w:tcPr>
            <w:tcW w:w="8960" w:type="dxa"/>
            <w:vAlign w:val="bottom"/>
            <w:tcBorders>
              <w:right w:val="single" w:sz="8" w:color="9BDA44"/>
            </w:tcBorders>
            <w:gridSpan w:val="4"/>
          </w:tcPr>
          <w:p>
            <w:pPr>
              <w:spacing w:after="0"/>
              <w:rPr>
                <w:sz w:val="20"/>
                <w:szCs w:val="20"/>
                <w:color w:val="auto"/>
              </w:rPr>
            </w:pPr>
            <w:r>
              <w:rPr>
                <w:rFonts w:ascii="Arial" w:cs="Arial" w:eastAsia="Arial" w:hAnsi="Arial"/>
                <w:sz w:val="13"/>
                <w:szCs w:val="13"/>
                <w:color w:val="auto"/>
              </w:rPr>
              <w:t>Weighted Average Lease Term (years)</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ind w:right="114"/>
              <w:spacing w:after="0"/>
              <w:rPr>
                <w:sz w:val="20"/>
                <w:szCs w:val="20"/>
                <w:color w:val="auto"/>
              </w:rPr>
            </w:pPr>
            <w:r>
              <w:rPr>
                <w:rFonts w:ascii="Arial" w:cs="Arial" w:eastAsia="Arial" w:hAnsi="Arial"/>
                <w:sz w:val="13"/>
                <w:szCs w:val="13"/>
                <w:color w:val="auto"/>
              </w:rPr>
              <w:t>10.0</w:t>
            </w:r>
          </w:p>
        </w:tc>
      </w:tr>
      <w:tr>
        <w:trPr>
          <w:trHeight w:val="219"/>
        </w:trPr>
        <w:tc>
          <w:tcPr>
            <w:tcW w:w="8960" w:type="dxa"/>
            <w:vAlign w:val="bottom"/>
            <w:tcBorders>
              <w:right w:val="single" w:sz="8" w:color="9BDA44"/>
            </w:tcBorders>
            <w:gridSpan w:val="4"/>
          </w:tcPr>
          <w:p>
            <w:pPr>
              <w:spacing w:after="0"/>
              <w:rPr>
                <w:sz w:val="20"/>
                <w:szCs w:val="20"/>
                <w:color w:val="auto"/>
              </w:rPr>
            </w:pPr>
            <w:r>
              <w:rPr>
                <w:rFonts w:ascii="Arial" w:cs="Arial" w:eastAsia="Arial" w:hAnsi="Arial"/>
                <w:sz w:val="13"/>
                <w:szCs w:val="13"/>
                <w:b w:val="1"/>
                <w:bCs w:val="1"/>
                <w:color w:val="auto"/>
              </w:rPr>
              <w:t>Percentage growth in base rent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113.8%</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spacing w:after="0"/>
              <w:rPr>
                <w:sz w:val="20"/>
                <w:szCs w:val="20"/>
                <w:color w:val="auto"/>
              </w:rPr>
            </w:pPr>
            <w:r>
              <w:rPr>
                <w:rFonts w:ascii="Arial" w:cs="Arial" w:eastAsia="Arial" w:hAnsi="Arial"/>
                <w:sz w:val="13"/>
                <w:szCs w:val="13"/>
                <w:b w:val="1"/>
                <w:bCs w:val="1"/>
                <w:color w:val="auto"/>
              </w:rPr>
              <w:t>102.6%</w:t>
            </w:r>
          </w:p>
        </w:tc>
      </w:tr>
      <w:tr>
        <w:trPr>
          <w:trHeight w:val="334"/>
        </w:trPr>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5"/>
              </w:rPr>
              <w:t>Renewal leases</w:t>
            </w:r>
          </w:p>
        </w:tc>
        <w:tc>
          <w:tcPr>
            <w:tcW w:w="7880" w:type="dxa"/>
            <w:vAlign w:val="bottom"/>
            <w:tcBorders>
              <w:right w:val="single" w:sz="8" w:color="9BDA44"/>
            </w:tcBorders>
            <w:gridSpan w:val="2"/>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right w:val="single" w:sz="8" w:color="9BDA44"/>
            </w:tcBorders>
          </w:tcPr>
          <w:p>
            <w:pPr>
              <w:spacing w:after="0"/>
              <w:rPr>
                <w:sz w:val="24"/>
                <w:szCs w:val="24"/>
                <w:color w:val="auto"/>
              </w:rPr>
            </w:pPr>
          </w:p>
        </w:tc>
      </w:tr>
      <w:tr>
        <w:trPr>
          <w:trHeight w:val="226"/>
        </w:trPr>
        <w:tc>
          <w:tcPr>
            <w:tcW w:w="8960" w:type="dxa"/>
            <w:vAlign w:val="bottom"/>
            <w:tcBorders>
              <w:right w:val="single" w:sz="8" w:color="9BDA44"/>
            </w:tcBorders>
            <w:gridSpan w:val="4"/>
          </w:tcPr>
          <w:p>
            <w:pPr>
              <w:spacing w:after="0"/>
              <w:rPr>
                <w:sz w:val="20"/>
                <w:szCs w:val="20"/>
                <w:color w:val="auto"/>
              </w:rPr>
            </w:pPr>
            <w:r>
              <w:rPr>
                <w:rFonts w:ascii="Arial" w:cs="Arial" w:eastAsia="Arial" w:hAnsi="Arial"/>
                <w:sz w:val="13"/>
                <w:szCs w:val="13"/>
                <w:color w:val="auto"/>
              </w:rPr>
              <w:t>Number of renewal leases executed</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ind w:right="114"/>
              <w:spacing w:after="0"/>
              <w:rPr>
                <w:sz w:val="20"/>
                <w:szCs w:val="20"/>
                <w:color w:val="auto"/>
              </w:rPr>
            </w:pPr>
            <w:r>
              <w:rPr>
                <w:rFonts w:ascii="Arial" w:cs="Arial" w:eastAsia="Arial" w:hAnsi="Arial"/>
                <w:sz w:val="13"/>
                <w:szCs w:val="13"/>
                <w:color w:val="auto"/>
              </w:rPr>
              <w:t>8</w:t>
            </w:r>
          </w:p>
        </w:tc>
      </w:tr>
      <w:tr>
        <w:trPr>
          <w:trHeight w:val="219"/>
        </w:trPr>
        <w:tc>
          <w:tcPr>
            <w:tcW w:w="8960" w:type="dxa"/>
            <w:vAlign w:val="bottom"/>
            <w:tcBorders>
              <w:right w:val="single" w:sz="8" w:color="9BDA44"/>
            </w:tcBorders>
            <w:gridSpan w:val="4"/>
          </w:tcPr>
          <w:p>
            <w:pPr>
              <w:spacing w:after="0"/>
              <w:rPr>
                <w:sz w:val="20"/>
                <w:szCs w:val="20"/>
                <w:color w:val="auto"/>
              </w:rPr>
            </w:pPr>
            <w:r>
              <w:rPr>
                <w:rFonts w:ascii="Arial" w:cs="Arial" w:eastAsia="Arial" w:hAnsi="Arial"/>
                <w:sz w:val="13"/>
                <w:szCs w:val="13"/>
                <w:color w:val="auto"/>
              </w:rPr>
              <w:t>GLA</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62,135</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ind w:right="114"/>
              <w:spacing w:after="0"/>
              <w:rPr>
                <w:sz w:val="20"/>
                <w:szCs w:val="20"/>
                <w:color w:val="auto"/>
              </w:rPr>
            </w:pPr>
            <w:r>
              <w:rPr>
                <w:rFonts w:ascii="Arial" w:cs="Arial" w:eastAsia="Arial" w:hAnsi="Arial"/>
                <w:sz w:val="13"/>
                <w:szCs w:val="13"/>
                <w:color w:val="auto"/>
              </w:rPr>
              <w:t>62,135</w:t>
            </w:r>
          </w:p>
        </w:tc>
      </w:tr>
      <w:tr>
        <w:trPr>
          <w:trHeight w:val="21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920" w:type="dxa"/>
            <w:vAlign w:val="bottom"/>
            <w:tcBorders>
              <w:right w:val="single" w:sz="8" w:color="9BDA44"/>
            </w:tcBorders>
          </w:tcPr>
          <w:p>
            <w:pPr>
              <w:jc w:val="right"/>
              <w:ind w:right="174"/>
              <w:spacing w:after="0"/>
              <w:rPr>
                <w:sz w:val="20"/>
                <w:szCs w:val="20"/>
                <w:color w:val="auto"/>
              </w:rPr>
            </w:pPr>
            <w:r>
              <w:rPr>
                <w:rFonts w:ascii="Arial" w:cs="Arial" w:eastAsia="Arial" w:hAnsi="Arial"/>
                <w:sz w:val="13"/>
                <w:szCs w:val="13"/>
                <w:color w:val="auto"/>
              </w:rPr>
              <w:t>New base rent</w:t>
            </w:r>
          </w:p>
        </w:tc>
        <w:tc>
          <w:tcPr>
            <w:tcW w:w="760" w:type="dxa"/>
            <w:vAlign w:val="bottom"/>
          </w:tcPr>
          <w:p>
            <w:pPr>
              <w:jc w:val="right"/>
              <w:spacing w:after="0"/>
              <w:rPr>
                <w:sz w:val="20"/>
                <w:szCs w:val="20"/>
                <w:color w:val="auto"/>
              </w:rPr>
            </w:pPr>
            <w:r>
              <w:rPr>
                <w:rFonts w:ascii="Arial" w:cs="Arial" w:eastAsia="Arial" w:hAnsi="Arial"/>
                <w:sz w:val="13"/>
                <w:szCs w:val="13"/>
                <w:color w:val="auto"/>
              </w:rPr>
              <w:t>$17.48</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spacing w:after="0"/>
              <w:rPr>
                <w:sz w:val="20"/>
                <w:szCs w:val="20"/>
                <w:color w:val="auto"/>
              </w:rPr>
            </w:pPr>
            <w:r>
              <w:rPr>
                <w:rFonts w:ascii="Arial" w:cs="Arial" w:eastAsia="Arial" w:hAnsi="Arial"/>
                <w:sz w:val="13"/>
                <w:szCs w:val="13"/>
                <w:color w:val="auto"/>
              </w:rPr>
              <w:t>$17.09</w:t>
            </w:r>
          </w:p>
        </w:tc>
      </w:tr>
      <w:tr>
        <w:trPr>
          <w:trHeight w:val="21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920" w:type="dxa"/>
            <w:vAlign w:val="bottom"/>
            <w:tcBorders>
              <w:right w:val="single" w:sz="8" w:color="9BDA44"/>
            </w:tcBorders>
          </w:tcPr>
          <w:p>
            <w:pPr>
              <w:jc w:val="right"/>
              <w:ind w:right="174"/>
              <w:spacing w:after="0"/>
              <w:rPr>
                <w:sz w:val="20"/>
                <w:szCs w:val="20"/>
                <w:color w:val="auto"/>
              </w:rPr>
            </w:pPr>
            <w:r>
              <w:rPr>
                <w:rFonts w:ascii="Arial" w:cs="Arial" w:eastAsia="Arial" w:hAnsi="Arial"/>
                <w:sz w:val="13"/>
                <w:szCs w:val="13"/>
                <w:color w:val="auto"/>
              </w:rPr>
              <w:t>Expiring base rent</w:t>
            </w:r>
          </w:p>
        </w:tc>
        <w:tc>
          <w:tcPr>
            <w:tcW w:w="760" w:type="dxa"/>
            <w:vAlign w:val="bottom"/>
          </w:tcPr>
          <w:p>
            <w:pPr>
              <w:jc w:val="right"/>
              <w:spacing w:after="0"/>
              <w:rPr>
                <w:sz w:val="20"/>
                <w:szCs w:val="20"/>
                <w:color w:val="auto"/>
              </w:rPr>
            </w:pPr>
            <w:r>
              <w:rPr>
                <w:rFonts w:ascii="Arial" w:cs="Arial" w:eastAsia="Arial" w:hAnsi="Arial"/>
                <w:sz w:val="13"/>
                <w:szCs w:val="13"/>
                <w:color w:val="auto"/>
              </w:rPr>
              <w:t>$15.83</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spacing w:after="0"/>
              <w:rPr>
                <w:sz w:val="20"/>
                <w:szCs w:val="20"/>
                <w:color w:val="auto"/>
              </w:rPr>
            </w:pPr>
            <w:r>
              <w:rPr>
                <w:rFonts w:ascii="Arial" w:cs="Arial" w:eastAsia="Arial" w:hAnsi="Arial"/>
                <w:sz w:val="13"/>
                <w:szCs w:val="13"/>
                <w:color w:val="auto"/>
              </w:rPr>
              <w:t>$16.43</w:t>
            </w:r>
          </w:p>
        </w:tc>
      </w:tr>
      <w:tr>
        <w:trPr>
          <w:trHeight w:val="21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920" w:type="dxa"/>
            <w:vAlign w:val="bottom"/>
            <w:tcBorders>
              <w:right w:val="single" w:sz="8" w:color="9BDA44"/>
            </w:tcBorders>
          </w:tcPr>
          <w:p>
            <w:pPr>
              <w:jc w:val="right"/>
              <w:ind w:right="174"/>
              <w:spacing w:after="0"/>
              <w:rPr>
                <w:sz w:val="20"/>
                <w:szCs w:val="20"/>
                <w:color w:val="auto"/>
              </w:rPr>
            </w:pPr>
            <w:r>
              <w:rPr>
                <w:rFonts w:ascii="Arial" w:cs="Arial" w:eastAsia="Arial" w:hAnsi="Arial"/>
                <w:sz w:val="13"/>
                <w:szCs w:val="13"/>
                <w:color w:val="auto"/>
              </w:rPr>
              <w:t>Average cost per square foot</w:t>
            </w:r>
          </w:p>
        </w:tc>
        <w:tc>
          <w:tcPr>
            <w:tcW w:w="760" w:type="dxa"/>
            <w:vAlign w:val="bottom"/>
          </w:tcPr>
          <w:p>
            <w:pPr>
              <w:jc w:val="right"/>
              <w:spacing w:after="0"/>
              <w:rPr>
                <w:sz w:val="20"/>
                <w:szCs w:val="20"/>
                <w:color w:val="auto"/>
              </w:rPr>
            </w:pPr>
            <w:r>
              <w:rPr>
                <w:rFonts w:ascii="Arial" w:cs="Arial" w:eastAsia="Arial" w:hAnsi="Arial"/>
                <w:sz w:val="13"/>
                <w:szCs w:val="13"/>
                <w:color w:val="auto"/>
              </w:rPr>
              <w:t>$0.51</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spacing w:after="0"/>
              <w:rPr>
                <w:sz w:val="20"/>
                <w:szCs w:val="20"/>
                <w:color w:val="auto"/>
              </w:rPr>
            </w:pPr>
            <w:r>
              <w:rPr>
                <w:rFonts w:ascii="Arial" w:cs="Arial" w:eastAsia="Arial" w:hAnsi="Arial"/>
                <w:sz w:val="13"/>
                <w:szCs w:val="13"/>
                <w:color w:val="auto"/>
              </w:rPr>
              <w:t>$0.51</w:t>
            </w:r>
          </w:p>
        </w:tc>
      </w:tr>
      <w:tr>
        <w:trPr>
          <w:trHeight w:val="219"/>
        </w:trPr>
        <w:tc>
          <w:tcPr>
            <w:tcW w:w="8960" w:type="dxa"/>
            <w:vAlign w:val="bottom"/>
            <w:tcBorders>
              <w:right w:val="single" w:sz="8" w:color="9BDA44"/>
            </w:tcBorders>
            <w:gridSpan w:val="4"/>
          </w:tcPr>
          <w:p>
            <w:pPr>
              <w:spacing w:after="0"/>
              <w:rPr>
                <w:sz w:val="20"/>
                <w:szCs w:val="20"/>
                <w:color w:val="auto"/>
              </w:rPr>
            </w:pPr>
            <w:r>
              <w:rPr>
                <w:rFonts w:ascii="Arial" w:cs="Arial" w:eastAsia="Arial" w:hAnsi="Arial"/>
                <w:sz w:val="13"/>
                <w:szCs w:val="13"/>
                <w:color w:val="auto"/>
              </w:rPr>
              <w:t>Weighted Average Lease Term (years)</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ind w:right="114"/>
              <w:spacing w:after="0"/>
              <w:rPr>
                <w:sz w:val="20"/>
                <w:szCs w:val="20"/>
                <w:color w:val="auto"/>
              </w:rPr>
            </w:pPr>
            <w:r>
              <w:rPr>
                <w:rFonts w:ascii="Arial" w:cs="Arial" w:eastAsia="Arial" w:hAnsi="Arial"/>
                <w:sz w:val="13"/>
                <w:szCs w:val="13"/>
                <w:color w:val="auto"/>
              </w:rPr>
              <w:t>4.9</w:t>
            </w:r>
          </w:p>
        </w:tc>
      </w:tr>
      <w:tr>
        <w:trPr>
          <w:trHeight w:val="219"/>
        </w:trPr>
        <w:tc>
          <w:tcPr>
            <w:tcW w:w="8960" w:type="dxa"/>
            <w:vAlign w:val="bottom"/>
            <w:tcBorders>
              <w:right w:val="single" w:sz="8" w:color="9BDA44"/>
            </w:tcBorders>
            <w:gridSpan w:val="4"/>
          </w:tcPr>
          <w:p>
            <w:pPr>
              <w:spacing w:after="0"/>
              <w:rPr>
                <w:sz w:val="20"/>
                <w:szCs w:val="20"/>
                <w:color w:val="auto"/>
              </w:rPr>
            </w:pPr>
            <w:r>
              <w:rPr>
                <w:rFonts w:ascii="Arial" w:cs="Arial" w:eastAsia="Arial" w:hAnsi="Arial"/>
                <w:sz w:val="13"/>
                <w:szCs w:val="13"/>
                <w:b w:val="1"/>
                <w:bCs w:val="1"/>
                <w:color w:val="auto"/>
              </w:rPr>
              <w:t>Percentage growth in base rent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10.4%</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spacing w:after="0"/>
              <w:rPr>
                <w:sz w:val="20"/>
                <w:szCs w:val="20"/>
                <w:color w:val="auto"/>
              </w:rPr>
            </w:pPr>
            <w:r>
              <w:rPr>
                <w:rFonts w:ascii="Arial" w:cs="Arial" w:eastAsia="Arial" w:hAnsi="Arial"/>
                <w:sz w:val="13"/>
                <w:szCs w:val="13"/>
                <w:b w:val="1"/>
                <w:bCs w:val="1"/>
                <w:color w:val="auto"/>
              </w:rPr>
              <w:t>4.0%</w:t>
            </w:r>
          </w:p>
        </w:tc>
      </w:tr>
      <w:tr>
        <w:trPr>
          <w:trHeight w:val="344"/>
        </w:trPr>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6"/>
              </w:rPr>
              <w:t>Total new and renewal leases</w:t>
            </w:r>
          </w:p>
        </w:tc>
        <w:tc>
          <w:tcPr>
            <w:tcW w:w="6920" w:type="dxa"/>
            <w:vAlign w:val="bottom"/>
            <w:tcBorders>
              <w:right w:val="single" w:sz="8" w:color="9BDA44"/>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right w:val="single" w:sz="8" w:color="9BDA44"/>
            </w:tcBorders>
          </w:tcPr>
          <w:p>
            <w:pPr>
              <w:spacing w:after="0"/>
              <w:rPr>
                <w:sz w:val="24"/>
                <w:szCs w:val="24"/>
                <w:color w:val="auto"/>
              </w:rPr>
            </w:pPr>
          </w:p>
        </w:tc>
      </w:tr>
      <w:tr>
        <w:trPr>
          <w:trHeight w:val="226"/>
        </w:trPr>
        <w:tc>
          <w:tcPr>
            <w:tcW w:w="8960" w:type="dxa"/>
            <w:vAlign w:val="bottom"/>
            <w:tcBorders>
              <w:right w:val="single" w:sz="8" w:color="9BDA44"/>
            </w:tcBorders>
            <w:gridSpan w:val="4"/>
          </w:tcPr>
          <w:p>
            <w:pPr>
              <w:spacing w:after="0"/>
              <w:rPr>
                <w:sz w:val="20"/>
                <w:szCs w:val="20"/>
                <w:color w:val="auto"/>
              </w:rPr>
            </w:pPr>
            <w:r>
              <w:rPr>
                <w:rFonts w:ascii="Arial" w:cs="Arial" w:eastAsia="Arial" w:hAnsi="Arial"/>
                <w:sz w:val="13"/>
                <w:szCs w:val="13"/>
                <w:color w:val="auto"/>
              </w:rPr>
              <w:t>Number of new and renewal leases executed</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ind w:right="114"/>
              <w:spacing w:after="0"/>
              <w:rPr>
                <w:sz w:val="20"/>
                <w:szCs w:val="20"/>
                <w:color w:val="auto"/>
              </w:rPr>
            </w:pPr>
            <w:r>
              <w:rPr>
                <w:rFonts w:ascii="Arial" w:cs="Arial" w:eastAsia="Arial" w:hAnsi="Arial"/>
                <w:sz w:val="13"/>
                <w:szCs w:val="13"/>
                <w:color w:val="auto"/>
              </w:rPr>
              <w:t>9</w:t>
            </w:r>
          </w:p>
        </w:tc>
      </w:tr>
      <w:tr>
        <w:trPr>
          <w:trHeight w:val="219"/>
        </w:trPr>
        <w:tc>
          <w:tcPr>
            <w:tcW w:w="8960" w:type="dxa"/>
            <w:vAlign w:val="bottom"/>
            <w:tcBorders>
              <w:right w:val="single" w:sz="8" w:color="9BDA44"/>
            </w:tcBorders>
            <w:gridSpan w:val="4"/>
          </w:tcPr>
          <w:p>
            <w:pPr>
              <w:spacing w:after="0"/>
              <w:rPr>
                <w:sz w:val="20"/>
                <w:szCs w:val="20"/>
                <w:color w:val="auto"/>
              </w:rPr>
            </w:pPr>
            <w:r>
              <w:rPr>
                <w:rFonts w:ascii="Arial" w:cs="Arial" w:eastAsia="Arial" w:hAnsi="Arial"/>
                <w:sz w:val="13"/>
                <w:szCs w:val="13"/>
                <w:color w:val="auto"/>
              </w:rPr>
              <w:t>GLA commencing</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65,540</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ind w:right="114"/>
              <w:spacing w:after="0"/>
              <w:rPr>
                <w:sz w:val="20"/>
                <w:szCs w:val="20"/>
                <w:color w:val="auto"/>
              </w:rPr>
            </w:pPr>
            <w:r>
              <w:rPr>
                <w:rFonts w:ascii="Arial" w:cs="Arial" w:eastAsia="Arial" w:hAnsi="Arial"/>
                <w:sz w:val="13"/>
                <w:szCs w:val="13"/>
                <w:color w:val="auto"/>
              </w:rPr>
              <w:t>65,540</w:t>
            </w:r>
          </w:p>
        </w:tc>
      </w:tr>
      <w:tr>
        <w:trPr>
          <w:trHeight w:val="21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920" w:type="dxa"/>
            <w:vAlign w:val="bottom"/>
            <w:tcBorders>
              <w:right w:val="single" w:sz="8" w:color="9BDA44"/>
            </w:tcBorders>
          </w:tcPr>
          <w:p>
            <w:pPr>
              <w:jc w:val="right"/>
              <w:ind w:right="174"/>
              <w:spacing w:after="0"/>
              <w:rPr>
                <w:sz w:val="20"/>
                <w:szCs w:val="20"/>
                <w:color w:val="auto"/>
              </w:rPr>
            </w:pPr>
            <w:r>
              <w:rPr>
                <w:rFonts w:ascii="Arial" w:cs="Arial" w:eastAsia="Arial" w:hAnsi="Arial"/>
                <w:sz w:val="13"/>
                <w:szCs w:val="13"/>
                <w:color w:val="auto"/>
              </w:rPr>
              <w:t>New base rent</w:t>
            </w:r>
          </w:p>
        </w:tc>
        <w:tc>
          <w:tcPr>
            <w:tcW w:w="760" w:type="dxa"/>
            <w:vAlign w:val="bottom"/>
          </w:tcPr>
          <w:p>
            <w:pPr>
              <w:jc w:val="right"/>
              <w:spacing w:after="0"/>
              <w:rPr>
                <w:sz w:val="20"/>
                <w:szCs w:val="20"/>
                <w:color w:val="auto"/>
              </w:rPr>
            </w:pPr>
            <w:r>
              <w:rPr>
                <w:rFonts w:ascii="Arial" w:cs="Arial" w:eastAsia="Arial" w:hAnsi="Arial"/>
                <w:sz w:val="13"/>
                <w:szCs w:val="13"/>
                <w:color w:val="auto"/>
              </w:rPr>
              <w:t>$21.14</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spacing w:after="0"/>
              <w:rPr>
                <w:sz w:val="20"/>
                <w:szCs w:val="20"/>
                <w:color w:val="auto"/>
              </w:rPr>
            </w:pPr>
            <w:r>
              <w:rPr>
                <w:rFonts w:ascii="Arial" w:cs="Arial" w:eastAsia="Arial" w:hAnsi="Arial"/>
                <w:sz w:val="13"/>
                <w:szCs w:val="13"/>
                <w:color w:val="auto"/>
              </w:rPr>
              <w:t>$20.28</w:t>
            </w:r>
          </w:p>
        </w:tc>
      </w:tr>
      <w:tr>
        <w:trPr>
          <w:trHeight w:val="21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920" w:type="dxa"/>
            <w:vAlign w:val="bottom"/>
            <w:tcBorders>
              <w:right w:val="single" w:sz="8" w:color="9BDA44"/>
            </w:tcBorders>
          </w:tcPr>
          <w:p>
            <w:pPr>
              <w:jc w:val="right"/>
              <w:ind w:right="174"/>
              <w:spacing w:after="0"/>
              <w:rPr>
                <w:sz w:val="20"/>
                <w:szCs w:val="20"/>
                <w:color w:val="auto"/>
              </w:rPr>
            </w:pPr>
            <w:r>
              <w:rPr>
                <w:rFonts w:ascii="Arial" w:cs="Arial" w:eastAsia="Arial" w:hAnsi="Arial"/>
                <w:sz w:val="13"/>
                <w:szCs w:val="13"/>
                <w:color w:val="auto"/>
              </w:rPr>
              <w:t>Expiring base rent</w:t>
            </w:r>
          </w:p>
        </w:tc>
        <w:tc>
          <w:tcPr>
            <w:tcW w:w="760" w:type="dxa"/>
            <w:vAlign w:val="bottom"/>
          </w:tcPr>
          <w:p>
            <w:pPr>
              <w:jc w:val="right"/>
              <w:spacing w:after="0"/>
              <w:rPr>
                <w:sz w:val="20"/>
                <w:szCs w:val="20"/>
                <w:color w:val="auto"/>
              </w:rPr>
            </w:pPr>
            <w:r>
              <w:rPr>
                <w:rFonts w:ascii="Arial" w:cs="Arial" w:eastAsia="Arial" w:hAnsi="Arial"/>
                <w:sz w:val="13"/>
                <w:szCs w:val="13"/>
                <w:color w:val="auto"/>
              </w:rPr>
              <w:t>$17.15</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spacing w:after="0"/>
              <w:rPr>
                <w:sz w:val="20"/>
                <w:szCs w:val="20"/>
                <w:color w:val="auto"/>
              </w:rPr>
            </w:pPr>
            <w:r>
              <w:rPr>
                <w:rFonts w:ascii="Arial" w:cs="Arial" w:eastAsia="Arial" w:hAnsi="Arial"/>
                <w:sz w:val="13"/>
                <w:szCs w:val="13"/>
                <w:color w:val="auto"/>
              </w:rPr>
              <w:t>$17.59</w:t>
            </w:r>
          </w:p>
        </w:tc>
      </w:tr>
      <w:tr>
        <w:trPr>
          <w:trHeight w:val="21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920" w:type="dxa"/>
            <w:vAlign w:val="bottom"/>
            <w:tcBorders>
              <w:right w:val="single" w:sz="8" w:color="9BDA44"/>
            </w:tcBorders>
          </w:tcPr>
          <w:p>
            <w:pPr>
              <w:jc w:val="right"/>
              <w:ind w:right="174"/>
              <w:spacing w:after="0"/>
              <w:rPr>
                <w:sz w:val="20"/>
                <w:szCs w:val="20"/>
                <w:color w:val="auto"/>
              </w:rPr>
            </w:pPr>
            <w:r>
              <w:rPr>
                <w:rFonts w:ascii="Arial" w:cs="Arial" w:eastAsia="Arial" w:hAnsi="Arial"/>
                <w:sz w:val="13"/>
                <w:szCs w:val="13"/>
                <w:color w:val="auto"/>
              </w:rPr>
              <w:t>Average cost per square foot</w:t>
            </w:r>
          </w:p>
        </w:tc>
        <w:tc>
          <w:tcPr>
            <w:tcW w:w="760" w:type="dxa"/>
            <w:vAlign w:val="bottom"/>
          </w:tcPr>
          <w:p>
            <w:pPr>
              <w:jc w:val="right"/>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spacing w:after="0"/>
              <w:rPr>
                <w:sz w:val="20"/>
                <w:szCs w:val="20"/>
                <w:color w:val="auto"/>
              </w:rPr>
            </w:pPr>
            <w:r>
              <w:rPr>
                <w:rFonts w:ascii="Arial" w:cs="Arial" w:eastAsia="Arial" w:hAnsi="Arial"/>
                <w:sz w:val="13"/>
                <w:szCs w:val="13"/>
                <w:color w:val="auto"/>
              </w:rPr>
              <w:t>$2.99</w:t>
            </w:r>
          </w:p>
        </w:tc>
      </w:tr>
      <w:tr>
        <w:trPr>
          <w:trHeight w:val="219"/>
        </w:trPr>
        <w:tc>
          <w:tcPr>
            <w:tcW w:w="8960" w:type="dxa"/>
            <w:vAlign w:val="bottom"/>
            <w:tcBorders>
              <w:right w:val="single" w:sz="8" w:color="9BDA44"/>
            </w:tcBorders>
            <w:gridSpan w:val="4"/>
          </w:tcPr>
          <w:p>
            <w:pPr>
              <w:spacing w:after="0"/>
              <w:rPr>
                <w:sz w:val="20"/>
                <w:szCs w:val="20"/>
                <w:color w:val="auto"/>
              </w:rPr>
            </w:pPr>
            <w:r>
              <w:rPr>
                <w:rFonts w:ascii="Arial" w:cs="Arial" w:eastAsia="Arial" w:hAnsi="Arial"/>
                <w:sz w:val="13"/>
                <w:szCs w:val="13"/>
                <w:color w:val="auto"/>
              </w:rPr>
              <w:t>Weighted average lease term (years)</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ind w:right="114"/>
              <w:spacing w:after="0"/>
              <w:rPr>
                <w:sz w:val="20"/>
                <w:szCs w:val="20"/>
                <w:color w:val="auto"/>
              </w:rPr>
            </w:pPr>
            <w:r>
              <w:rPr>
                <w:rFonts w:ascii="Arial" w:cs="Arial" w:eastAsia="Arial" w:hAnsi="Arial"/>
                <w:sz w:val="13"/>
                <w:szCs w:val="13"/>
                <w:color w:val="auto"/>
              </w:rPr>
              <w:t>5.2</w:t>
            </w:r>
          </w:p>
        </w:tc>
      </w:tr>
      <w:tr>
        <w:trPr>
          <w:trHeight w:val="219"/>
        </w:trPr>
        <w:tc>
          <w:tcPr>
            <w:tcW w:w="8960" w:type="dxa"/>
            <w:vAlign w:val="bottom"/>
            <w:tcBorders>
              <w:right w:val="single" w:sz="8" w:color="9BDA44"/>
            </w:tcBorders>
            <w:gridSpan w:val="4"/>
          </w:tcPr>
          <w:p>
            <w:pPr>
              <w:spacing w:after="0"/>
              <w:rPr>
                <w:sz w:val="20"/>
                <w:szCs w:val="20"/>
                <w:color w:val="auto"/>
              </w:rPr>
            </w:pPr>
            <w:r>
              <w:rPr>
                <w:rFonts w:ascii="Arial" w:cs="Arial" w:eastAsia="Arial" w:hAnsi="Arial"/>
                <w:sz w:val="13"/>
                <w:szCs w:val="13"/>
                <w:b w:val="1"/>
                <w:bCs w:val="1"/>
                <w:color w:val="auto"/>
              </w:rPr>
              <w:t>Percentage growth in base rent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23.3%</w:t>
            </w:r>
          </w:p>
        </w:tc>
        <w:tc>
          <w:tcPr>
            <w:tcW w:w="100" w:type="dxa"/>
            <w:vAlign w:val="bottom"/>
          </w:tcPr>
          <w:p>
            <w:pPr>
              <w:spacing w:after="0"/>
              <w:rPr>
                <w:sz w:val="19"/>
                <w:szCs w:val="19"/>
                <w:color w:val="auto"/>
              </w:rPr>
            </w:pPr>
          </w:p>
        </w:tc>
        <w:tc>
          <w:tcPr>
            <w:tcW w:w="800" w:type="dxa"/>
            <w:vAlign w:val="bottom"/>
            <w:tcBorders>
              <w:right w:val="single" w:sz="8" w:color="9BDA44"/>
            </w:tcBorders>
          </w:tcPr>
          <w:p>
            <w:pPr>
              <w:jc w:val="right"/>
              <w:spacing w:after="0"/>
              <w:rPr>
                <w:sz w:val="20"/>
                <w:szCs w:val="20"/>
                <w:color w:val="auto"/>
              </w:rPr>
            </w:pPr>
            <w:r>
              <w:rPr>
                <w:rFonts w:ascii="Arial" w:cs="Arial" w:eastAsia="Arial" w:hAnsi="Arial"/>
                <w:sz w:val="13"/>
                <w:szCs w:val="13"/>
                <w:b w:val="1"/>
                <w:bCs w:val="1"/>
                <w:color w:val="auto"/>
              </w:rPr>
              <w:t>15.3%</w:t>
            </w:r>
          </w:p>
        </w:tc>
      </w:tr>
      <w:tr>
        <w:trPr>
          <w:trHeight w:val="159"/>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920" w:type="dxa"/>
            <w:vAlign w:val="bottom"/>
            <w:tcBorders>
              <w:right w:val="single" w:sz="8" w:color="9BDA44"/>
            </w:tcBorders>
          </w:tcPr>
          <w:p>
            <w:pPr>
              <w:spacing w:after="0"/>
              <w:rPr>
                <w:sz w:val="13"/>
                <w:szCs w:val="13"/>
                <w:color w:val="auto"/>
              </w:rPr>
            </w:pPr>
          </w:p>
        </w:tc>
        <w:tc>
          <w:tcPr>
            <w:tcW w:w="760" w:type="dxa"/>
            <w:vAlign w:val="bottom"/>
            <w:tcBorders>
              <w:bottom w:val="single" w:sz="8" w:color="9BDA44"/>
            </w:tcBorders>
          </w:tcPr>
          <w:p>
            <w:pPr>
              <w:spacing w:after="0"/>
              <w:rPr>
                <w:sz w:val="13"/>
                <w:szCs w:val="13"/>
                <w:color w:val="auto"/>
              </w:rPr>
            </w:pPr>
          </w:p>
        </w:tc>
        <w:tc>
          <w:tcPr>
            <w:tcW w:w="100" w:type="dxa"/>
            <w:vAlign w:val="bottom"/>
            <w:tcBorders>
              <w:bottom w:val="single" w:sz="8" w:color="9BDA44"/>
            </w:tcBorders>
          </w:tcPr>
          <w:p>
            <w:pPr>
              <w:spacing w:after="0"/>
              <w:rPr>
                <w:sz w:val="13"/>
                <w:szCs w:val="13"/>
                <w:color w:val="auto"/>
              </w:rPr>
            </w:pPr>
          </w:p>
        </w:tc>
        <w:tc>
          <w:tcPr>
            <w:tcW w:w="800" w:type="dxa"/>
            <w:vAlign w:val="bottom"/>
            <w:tcBorders>
              <w:bottom w:val="single" w:sz="8" w:color="9BDA44"/>
              <w:right w:val="single" w:sz="8" w:color="9BDA44"/>
            </w:tcBorders>
          </w:tcPr>
          <w:p>
            <w:pPr>
              <w:spacing w:after="0"/>
              <w:rPr>
                <w:sz w:val="13"/>
                <w:szCs w:val="13"/>
                <w:color w:val="auto"/>
              </w:rPr>
            </w:pPr>
          </w:p>
        </w:tc>
      </w:tr>
    </w:tbl>
    <w:p>
      <w:pPr>
        <w:spacing w:after="0"/>
        <w:rPr>
          <w:sz w:val="20"/>
          <w:szCs w:val="20"/>
          <w:color w:val="auto"/>
        </w:rPr>
      </w:pPr>
      <w:r>
        <w:rPr>
          <w:rFonts w:ascii="Arial" w:cs="Arial" w:eastAsia="Arial" w:hAnsi="Arial"/>
          <w:sz w:val="15"/>
          <w:szCs w:val="15"/>
          <w:color w:val="auto"/>
        </w:rPr>
        <w:t>__________</w:t>
      </w:r>
    </w:p>
    <w:p>
      <w:pPr>
        <w:spacing w:after="0" w:line="181" w:lineRule="exact"/>
        <w:rPr>
          <w:sz w:val="20"/>
          <w:szCs w:val="20"/>
          <w:color w:val="auto"/>
        </w:rPr>
      </w:pPr>
    </w:p>
    <w:p>
      <w:pPr>
        <w:ind w:left="540" w:hanging="270"/>
        <w:spacing w:after="0"/>
        <w:tabs>
          <w:tab w:leader="none" w:pos="540" w:val="left"/>
        </w:tabs>
        <w:numPr>
          <w:ilvl w:val="0"/>
          <w:numId w:val="19"/>
        </w:numPr>
        <w:rPr>
          <w:rFonts w:ascii="Arial" w:cs="Arial" w:eastAsia="Arial" w:hAnsi="Arial"/>
          <w:sz w:val="10"/>
          <w:szCs w:val="10"/>
          <w:color w:val="auto"/>
        </w:rPr>
      </w:pPr>
      <w:r>
        <w:rPr>
          <w:rFonts w:ascii="Arial" w:cs="Arial" w:eastAsia="Arial" w:hAnsi="Arial"/>
          <w:sz w:val="10"/>
          <w:szCs w:val="10"/>
          <w:color w:val="auto"/>
        </w:rPr>
        <w:t>Based on lease execution dates. Does not include leased square footage and costs related to first generation space and the Company's major redevelopment projects; renewal leases include exercised options.</w:t>
      </w:r>
    </w:p>
    <w:p>
      <w:pPr>
        <w:spacing w:after="0" w:line="16" w:lineRule="exact"/>
        <w:rPr>
          <w:rFonts w:ascii="Arial" w:cs="Arial" w:eastAsia="Arial" w:hAnsi="Arial"/>
          <w:sz w:val="10"/>
          <w:szCs w:val="10"/>
          <w:color w:val="auto"/>
        </w:rPr>
      </w:pPr>
    </w:p>
    <w:p>
      <w:pPr>
        <w:ind w:left="540" w:hanging="270"/>
        <w:spacing w:after="0" w:line="228" w:lineRule="auto"/>
        <w:tabs>
          <w:tab w:leader="none" w:pos="5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Rents are calculated on a straight-line ("GAAP") basis.</w:t>
      </w:r>
    </w:p>
    <w:p>
      <w:pPr>
        <w:ind w:left="540" w:hanging="270"/>
        <w:spacing w:after="0"/>
        <w:tabs>
          <w:tab w:leader="none" w:pos="540" w:val="left"/>
        </w:tabs>
        <w:numPr>
          <w:ilvl w:val="0"/>
          <w:numId w:val="19"/>
        </w:numPr>
        <w:rPr>
          <w:rFonts w:ascii="Arial" w:cs="Arial" w:eastAsia="Arial" w:hAnsi="Arial"/>
          <w:sz w:val="10"/>
          <w:szCs w:val="10"/>
          <w:color w:val="auto"/>
        </w:rPr>
      </w:pPr>
      <w:r>
        <w:rPr>
          <w:rFonts w:ascii="Arial" w:cs="Arial" w:eastAsia="Arial" w:hAnsi="Arial"/>
          <w:sz w:val="10"/>
          <w:szCs w:val="10"/>
          <w:color w:val="auto"/>
        </w:rPr>
        <w:t>Rents have not been calculated on a straight-line basis. Previous/expiring rent is that as of time of expiration and includes any percentage rent paid as well. New rent is that which is paid at commencement.</w:t>
      </w:r>
    </w:p>
    <w:p>
      <w:pPr>
        <w:spacing w:after="0" w:line="336"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30</w:t>
            </w:r>
          </w:p>
        </w:tc>
      </w:tr>
    </w:tbl>
    <w:p>
      <w:pPr>
        <w:sectPr>
          <w:pgSz w:w="11900" w:h="16838" w:orient="portrait"/>
          <w:cols w:equalWidth="0" w:num="1">
            <w:col w:w="11300"/>
          </w:cols>
          <w:pgMar w:left="220" w:top="618" w:right="37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Core Portfolio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27265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41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Borders>
              <w:top w:val="single" w:sz="8" w:color="9BDA44"/>
              <w:left w:val="single" w:sz="8" w:color="9BDA44"/>
            </w:tcBorders>
          </w:tcPr>
          <w:p>
            <w:pPr>
              <w:spacing w:after="0"/>
              <w:rPr>
                <w:sz w:val="24"/>
                <w:szCs w:val="24"/>
                <w:color w:val="auto"/>
              </w:rPr>
            </w:pPr>
          </w:p>
        </w:tc>
        <w:tc>
          <w:tcPr>
            <w:tcW w:w="1420" w:type="dxa"/>
            <w:vAlign w:val="bottom"/>
            <w:tcBorders>
              <w:top w:val="single" w:sz="8" w:color="9BDA44"/>
              <w:right w:val="single" w:sz="8" w:color="9BDA44"/>
            </w:tcBorders>
          </w:tcPr>
          <w:p>
            <w:pPr>
              <w:jc w:val="right"/>
              <w:ind w:right="247"/>
              <w:spacing w:after="0"/>
              <w:rPr>
                <w:sz w:val="20"/>
                <w:szCs w:val="20"/>
                <w:color w:val="auto"/>
              </w:rPr>
            </w:pPr>
            <w:r>
              <w:rPr>
                <w:rFonts w:ascii="Arial" w:cs="Arial" w:eastAsia="Arial" w:hAnsi="Arial"/>
                <w:sz w:val="15"/>
                <w:szCs w:val="15"/>
                <w:b w:val="1"/>
                <w:bCs w:val="1"/>
                <w:color w:val="auto"/>
              </w:rPr>
              <w:t>Quarter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Prior Year Ended</w:t>
            </w:r>
          </w:p>
        </w:tc>
        <w:tc>
          <w:tcPr>
            <w:tcW w:w="0" w:type="dxa"/>
            <w:vAlign w:val="bottom"/>
          </w:tcPr>
          <w:p>
            <w:pPr>
              <w:spacing w:after="0"/>
              <w:rPr>
                <w:sz w:val="1"/>
                <w:szCs w:val="1"/>
                <w:color w:val="auto"/>
              </w:rPr>
            </w:pPr>
          </w:p>
        </w:tc>
      </w:tr>
      <w:tr>
        <w:trPr>
          <w:trHeight w:val="225"/>
        </w:trPr>
        <w:tc>
          <w:tcPr>
            <w:tcW w:w="41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Borders>
              <w:left w:val="single" w:sz="8" w:color="9BDA44"/>
              <w:bottom w:val="single" w:sz="8" w:color="auto"/>
            </w:tcBorders>
          </w:tcPr>
          <w:p>
            <w:pPr>
              <w:spacing w:after="0"/>
              <w:rPr>
                <w:sz w:val="19"/>
                <w:szCs w:val="19"/>
                <w:color w:val="auto"/>
              </w:rPr>
            </w:pPr>
          </w:p>
        </w:tc>
        <w:tc>
          <w:tcPr>
            <w:tcW w:w="1420" w:type="dxa"/>
            <w:vAlign w:val="bottom"/>
            <w:tcBorders>
              <w:bottom w:val="single" w:sz="8" w:color="auto"/>
              <w:right w:val="single" w:sz="8" w:color="9BDA44"/>
            </w:tcBorders>
          </w:tcPr>
          <w:p>
            <w:pPr>
              <w:jc w:val="right"/>
              <w:ind w:right="227"/>
              <w:spacing w:after="0"/>
              <w:rPr>
                <w:sz w:val="20"/>
                <w:szCs w:val="20"/>
                <w:color w:val="auto"/>
              </w:rPr>
            </w:pPr>
            <w:r>
              <w:rPr>
                <w:rFonts w:ascii="Arial" w:cs="Arial" w:eastAsia="Arial" w:hAnsi="Arial"/>
                <w:sz w:val="15"/>
                <w:szCs w:val="15"/>
                <w:b w:val="1"/>
                <w:bCs w:val="1"/>
                <w:color w:val="auto"/>
              </w:rPr>
              <w:t>March 31, 2018</w:t>
            </w:r>
          </w:p>
        </w:tc>
        <w:tc>
          <w:tcPr>
            <w:tcW w:w="80" w:type="dxa"/>
            <w:vAlign w:val="bottom"/>
          </w:tcPr>
          <w:p>
            <w:pPr>
              <w:spacing w:after="0"/>
              <w:rPr>
                <w:sz w:val="19"/>
                <w:szCs w:val="19"/>
                <w:color w:val="auto"/>
              </w:rPr>
            </w:pPr>
          </w:p>
        </w:tc>
        <w:tc>
          <w:tcPr>
            <w:tcW w:w="14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b w:val="1"/>
                <w:bCs w:val="1"/>
                <w:color w:val="auto"/>
              </w:rPr>
              <w:t>December 31, 2017</w:t>
            </w:r>
          </w:p>
        </w:tc>
        <w:tc>
          <w:tcPr>
            <w:tcW w:w="0" w:type="dxa"/>
            <w:vAlign w:val="bottom"/>
          </w:tcPr>
          <w:p>
            <w:pPr>
              <w:spacing w:after="0"/>
              <w:rPr>
                <w:sz w:val="1"/>
                <w:szCs w:val="1"/>
                <w:color w:val="auto"/>
              </w:rPr>
            </w:pPr>
          </w:p>
        </w:tc>
      </w:tr>
      <w:tr>
        <w:trPr>
          <w:trHeight w:val="465"/>
        </w:trPr>
        <w:tc>
          <w:tcPr>
            <w:tcW w:w="4180" w:type="dxa"/>
            <w:vAlign w:val="bottom"/>
          </w:tcPr>
          <w:p>
            <w:pPr>
              <w:spacing w:after="0"/>
              <w:rPr>
                <w:sz w:val="20"/>
                <w:szCs w:val="20"/>
                <w:color w:val="auto"/>
              </w:rPr>
            </w:pPr>
            <w:r>
              <w:rPr>
                <w:rFonts w:ascii="Arial" w:cs="Arial" w:eastAsia="Arial" w:hAnsi="Arial"/>
                <w:sz w:val="15"/>
                <w:szCs w:val="15"/>
                <w:color w:val="auto"/>
              </w:rPr>
              <w:t>Leasing Commissions</w:t>
            </w:r>
          </w:p>
        </w:tc>
        <w:tc>
          <w:tcPr>
            <w:tcW w:w="4060" w:type="dxa"/>
            <w:vAlign w:val="bottom"/>
          </w:tcPr>
          <w:p>
            <w:pPr>
              <w:spacing w:after="0"/>
              <w:rPr>
                <w:sz w:val="24"/>
                <w:szCs w:val="24"/>
                <w:color w:val="auto"/>
              </w:rPr>
            </w:pPr>
          </w:p>
        </w:tc>
        <w:tc>
          <w:tcPr>
            <w:tcW w:w="220" w:type="dxa"/>
            <w:vAlign w:val="bottom"/>
            <w:tcBorders>
              <w:left w:val="single" w:sz="8" w:color="9BDA44"/>
            </w:tcBorders>
          </w:tcPr>
          <w:p>
            <w:pPr>
              <w:jc w:val="right"/>
              <w:ind w:right="27"/>
              <w:spacing w:after="0"/>
              <w:rPr>
                <w:sz w:val="20"/>
                <w:szCs w:val="20"/>
                <w:color w:val="auto"/>
              </w:rPr>
            </w:pPr>
            <w:r>
              <w:rPr>
                <w:rFonts w:ascii="Arial" w:cs="Arial" w:eastAsia="Arial" w:hAnsi="Arial"/>
                <w:sz w:val="15"/>
                <w:szCs w:val="15"/>
                <w:color w:val="auto"/>
              </w:rPr>
              <w:t>$</w:t>
            </w:r>
          </w:p>
        </w:tc>
        <w:tc>
          <w:tcPr>
            <w:tcW w:w="1420" w:type="dxa"/>
            <w:vAlign w:val="bottom"/>
            <w:tcBorders>
              <w:right w:val="single" w:sz="8" w:color="9BDA44"/>
            </w:tcBorders>
          </w:tcPr>
          <w:p>
            <w:pPr>
              <w:jc w:val="right"/>
              <w:ind w:right="67"/>
              <w:spacing w:after="0"/>
              <w:rPr>
                <w:sz w:val="20"/>
                <w:szCs w:val="20"/>
                <w:color w:val="auto"/>
              </w:rPr>
            </w:pPr>
            <w:r>
              <w:rPr>
                <w:rFonts w:ascii="Arial" w:cs="Arial" w:eastAsia="Arial" w:hAnsi="Arial"/>
                <w:sz w:val="15"/>
                <w:szCs w:val="15"/>
                <w:color w:val="auto"/>
              </w:rPr>
              <w:t>212</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27"/>
              <w:spacing w:after="0"/>
              <w:rPr>
                <w:sz w:val="20"/>
                <w:szCs w:val="20"/>
                <w:color w:val="auto"/>
              </w:rPr>
            </w:pPr>
            <w:r>
              <w:rPr>
                <w:rFonts w:ascii="Arial" w:cs="Arial" w:eastAsia="Arial" w:hAnsi="Arial"/>
                <w:sz w:val="15"/>
                <w:szCs w:val="15"/>
                <w:color w:val="auto"/>
              </w:rPr>
              <w:t>2,252</w:t>
            </w:r>
          </w:p>
        </w:tc>
        <w:tc>
          <w:tcPr>
            <w:tcW w:w="0" w:type="dxa"/>
            <w:vAlign w:val="bottom"/>
          </w:tcPr>
          <w:p>
            <w:pPr>
              <w:spacing w:after="0"/>
              <w:rPr>
                <w:sz w:val="1"/>
                <w:szCs w:val="1"/>
                <w:color w:val="auto"/>
              </w:rPr>
            </w:pPr>
          </w:p>
        </w:tc>
      </w:tr>
      <w:tr>
        <w:trPr>
          <w:trHeight w:val="219"/>
        </w:trPr>
        <w:tc>
          <w:tcPr>
            <w:tcW w:w="4180" w:type="dxa"/>
            <w:vAlign w:val="bottom"/>
          </w:tcPr>
          <w:p>
            <w:pPr>
              <w:spacing w:after="0"/>
              <w:rPr>
                <w:sz w:val="20"/>
                <w:szCs w:val="20"/>
                <w:color w:val="auto"/>
              </w:rPr>
            </w:pPr>
            <w:r>
              <w:rPr>
                <w:rFonts w:ascii="Arial" w:cs="Arial" w:eastAsia="Arial" w:hAnsi="Arial"/>
                <w:sz w:val="15"/>
                <w:szCs w:val="15"/>
                <w:color w:val="auto"/>
              </w:rPr>
              <w:t>Tenant Improvements</w:t>
            </w:r>
          </w:p>
        </w:tc>
        <w:tc>
          <w:tcPr>
            <w:tcW w:w="4060" w:type="dxa"/>
            <w:vAlign w:val="bottom"/>
          </w:tcPr>
          <w:p>
            <w:pPr>
              <w:spacing w:after="0"/>
              <w:rPr>
                <w:sz w:val="19"/>
                <w:szCs w:val="19"/>
                <w:color w:val="auto"/>
              </w:rPr>
            </w:pPr>
          </w:p>
        </w:tc>
        <w:tc>
          <w:tcPr>
            <w:tcW w:w="220" w:type="dxa"/>
            <w:vAlign w:val="bottom"/>
            <w:tcBorders>
              <w:left w:val="single" w:sz="8" w:color="9BDA44"/>
            </w:tcBorders>
          </w:tcPr>
          <w:p>
            <w:pPr>
              <w:spacing w:after="0"/>
              <w:rPr>
                <w:sz w:val="19"/>
                <w:szCs w:val="19"/>
                <w:color w:val="auto"/>
              </w:rPr>
            </w:pPr>
          </w:p>
        </w:tc>
        <w:tc>
          <w:tcPr>
            <w:tcW w:w="1420" w:type="dxa"/>
            <w:vAlign w:val="bottom"/>
            <w:tcBorders>
              <w:right w:val="single" w:sz="8" w:color="9BDA44"/>
            </w:tcBorders>
          </w:tcPr>
          <w:p>
            <w:pPr>
              <w:jc w:val="right"/>
              <w:ind w:right="67"/>
              <w:spacing w:after="0"/>
              <w:rPr>
                <w:sz w:val="20"/>
                <w:szCs w:val="20"/>
                <w:color w:val="auto"/>
              </w:rPr>
            </w:pPr>
            <w:r>
              <w:rPr>
                <w:rFonts w:ascii="Arial" w:cs="Arial" w:eastAsia="Arial" w:hAnsi="Arial"/>
                <w:sz w:val="15"/>
                <w:szCs w:val="15"/>
                <w:color w:val="auto"/>
              </w:rPr>
              <w:t>1,224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27"/>
              <w:spacing w:after="0"/>
              <w:rPr>
                <w:sz w:val="20"/>
                <w:szCs w:val="20"/>
                <w:color w:val="auto"/>
              </w:rPr>
            </w:pPr>
            <w:r>
              <w:rPr>
                <w:rFonts w:ascii="Arial" w:cs="Arial" w:eastAsia="Arial" w:hAnsi="Arial"/>
                <w:sz w:val="15"/>
                <w:szCs w:val="15"/>
                <w:color w:val="auto"/>
              </w:rPr>
              <w:t>9,477</w:t>
            </w:r>
          </w:p>
        </w:tc>
        <w:tc>
          <w:tcPr>
            <w:tcW w:w="0" w:type="dxa"/>
            <w:vAlign w:val="bottom"/>
          </w:tcPr>
          <w:p>
            <w:pPr>
              <w:spacing w:after="0"/>
              <w:rPr>
                <w:sz w:val="1"/>
                <w:szCs w:val="1"/>
                <w:color w:val="auto"/>
              </w:rPr>
            </w:pPr>
          </w:p>
        </w:tc>
      </w:tr>
      <w:tr>
        <w:trPr>
          <w:trHeight w:val="225"/>
        </w:trPr>
        <w:tc>
          <w:tcPr>
            <w:tcW w:w="4180" w:type="dxa"/>
            <w:vAlign w:val="bottom"/>
          </w:tcPr>
          <w:p>
            <w:pPr>
              <w:spacing w:after="0"/>
              <w:rPr>
                <w:sz w:val="20"/>
                <w:szCs w:val="20"/>
                <w:color w:val="auto"/>
              </w:rPr>
            </w:pPr>
            <w:r>
              <w:rPr>
                <w:rFonts w:ascii="Arial" w:cs="Arial" w:eastAsia="Arial" w:hAnsi="Arial"/>
                <w:sz w:val="15"/>
                <w:szCs w:val="15"/>
                <w:color w:val="auto"/>
              </w:rPr>
              <w:t>Capital Expenditures</w:t>
            </w:r>
          </w:p>
        </w:tc>
        <w:tc>
          <w:tcPr>
            <w:tcW w:w="4060" w:type="dxa"/>
            <w:vAlign w:val="bottom"/>
          </w:tcPr>
          <w:p>
            <w:pPr>
              <w:spacing w:after="0"/>
              <w:rPr>
                <w:sz w:val="19"/>
                <w:szCs w:val="19"/>
                <w:color w:val="auto"/>
              </w:rPr>
            </w:pPr>
          </w:p>
        </w:tc>
        <w:tc>
          <w:tcPr>
            <w:tcW w:w="220" w:type="dxa"/>
            <w:vAlign w:val="bottom"/>
            <w:tcBorders>
              <w:left w:val="single" w:sz="8" w:color="9BDA44"/>
              <w:bottom w:val="single" w:sz="8" w:color="auto"/>
            </w:tcBorders>
          </w:tcPr>
          <w:p>
            <w:pPr>
              <w:spacing w:after="0"/>
              <w:rPr>
                <w:sz w:val="19"/>
                <w:szCs w:val="19"/>
                <w:color w:val="auto"/>
              </w:rPr>
            </w:pPr>
          </w:p>
        </w:tc>
        <w:tc>
          <w:tcPr>
            <w:tcW w:w="1420" w:type="dxa"/>
            <w:vAlign w:val="bottom"/>
            <w:tcBorders>
              <w:bottom w:val="single" w:sz="8" w:color="auto"/>
              <w:right w:val="single" w:sz="8" w:color="9BDA44"/>
            </w:tcBorders>
          </w:tcPr>
          <w:p>
            <w:pPr>
              <w:jc w:val="right"/>
              <w:ind w:right="67"/>
              <w:spacing w:after="0"/>
              <w:rPr>
                <w:sz w:val="20"/>
                <w:szCs w:val="20"/>
                <w:color w:val="auto"/>
              </w:rPr>
            </w:pPr>
            <w:r>
              <w:rPr>
                <w:rFonts w:ascii="Arial" w:cs="Arial" w:eastAsia="Arial" w:hAnsi="Arial"/>
                <w:sz w:val="15"/>
                <w:szCs w:val="15"/>
                <w:color w:val="auto"/>
              </w:rPr>
              <w:t>957</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1,074</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5"/>
                <w:szCs w:val="15"/>
                <w:color w:val="auto"/>
              </w:rPr>
              <w:t>Total Capital Expenditures</w:t>
            </w:r>
          </w:p>
        </w:tc>
        <w:tc>
          <w:tcPr>
            <w:tcW w:w="4060" w:type="dxa"/>
            <w:vAlign w:val="bottom"/>
          </w:tcPr>
          <w:p>
            <w:pPr>
              <w:spacing w:after="0"/>
              <w:rPr>
                <w:sz w:val="17"/>
                <w:szCs w:val="17"/>
                <w:color w:val="auto"/>
              </w:rPr>
            </w:pPr>
          </w:p>
        </w:tc>
        <w:tc>
          <w:tcPr>
            <w:tcW w:w="220" w:type="dxa"/>
            <w:vAlign w:val="bottom"/>
            <w:tcBorders>
              <w:left w:val="single" w:sz="8" w:color="9BDA44"/>
            </w:tcBorders>
          </w:tcPr>
          <w:p>
            <w:pPr>
              <w:jc w:val="right"/>
              <w:ind w:right="27"/>
              <w:spacing w:after="0"/>
              <w:rPr>
                <w:sz w:val="20"/>
                <w:szCs w:val="20"/>
                <w:color w:val="auto"/>
              </w:rPr>
            </w:pPr>
            <w:r>
              <w:rPr>
                <w:rFonts w:ascii="Arial" w:cs="Arial" w:eastAsia="Arial" w:hAnsi="Arial"/>
                <w:sz w:val="15"/>
                <w:szCs w:val="15"/>
                <w:color w:val="auto"/>
              </w:rPr>
              <w:t>$</w:t>
            </w:r>
          </w:p>
        </w:tc>
        <w:tc>
          <w:tcPr>
            <w:tcW w:w="1420" w:type="dxa"/>
            <w:vAlign w:val="bottom"/>
            <w:tcBorders>
              <w:right w:val="single" w:sz="8" w:color="9BDA44"/>
            </w:tcBorders>
          </w:tcPr>
          <w:p>
            <w:pPr>
              <w:jc w:val="right"/>
              <w:ind w:right="67"/>
              <w:spacing w:after="0"/>
              <w:rPr>
                <w:sz w:val="20"/>
                <w:szCs w:val="20"/>
                <w:color w:val="auto"/>
              </w:rPr>
            </w:pPr>
            <w:r>
              <w:rPr>
                <w:rFonts w:ascii="Arial" w:cs="Arial" w:eastAsia="Arial" w:hAnsi="Arial"/>
                <w:sz w:val="15"/>
                <w:szCs w:val="15"/>
                <w:color w:val="auto"/>
              </w:rPr>
              <w:t>2,393</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27"/>
              <w:spacing w:after="0"/>
              <w:rPr>
                <w:sz w:val="20"/>
                <w:szCs w:val="20"/>
                <w:color w:val="auto"/>
              </w:rPr>
            </w:pPr>
            <w:r>
              <w:rPr>
                <w:rFonts w:ascii="Arial" w:cs="Arial" w:eastAsia="Arial" w:hAnsi="Arial"/>
                <w:sz w:val="15"/>
                <w:szCs w:val="15"/>
                <w:color w:val="auto"/>
              </w:rPr>
              <w:t>12,803</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140"/>
              <w:spacing w:after="0"/>
              <w:rPr>
                <w:sz w:val="20"/>
                <w:szCs w:val="20"/>
                <w:color w:val="auto"/>
              </w:rPr>
            </w:pPr>
            <w:r>
              <w:rPr>
                <w:rFonts w:ascii="Arial" w:cs="Arial" w:eastAsia="Arial" w:hAnsi="Arial"/>
                <w:sz w:val="15"/>
                <w:szCs w:val="15"/>
                <w:i w:val="1"/>
                <w:iCs w:val="1"/>
                <w:color w:val="auto"/>
              </w:rPr>
              <w:t>Supplemental Report - March 31, 2018</w:t>
            </w:r>
          </w:p>
        </w:tc>
        <w:tc>
          <w:tcPr>
            <w:tcW w:w="4060" w:type="dxa"/>
            <w:vAlign w:val="bottom"/>
            <w:vMerge w:val="restart"/>
          </w:tcPr>
          <w:p>
            <w:pPr>
              <w:jc w:val="right"/>
              <w:ind w:right="2342"/>
              <w:spacing w:after="0"/>
              <w:rPr>
                <w:sz w:val="20"/>
                <w:szCs w:val="20"/>
                <w:color w:val="auto"/>
              </w:rPr>
            </w:pPr>
            <w:r>
              <w:rPr>
                <w:rFonts w:ascii="Arial" w:cs="Arial" w:eastAsia="Arial" w:hAnsi="Arial"/>
                <w:sz w:val="12"/>
                <w:szCs w:val="12"/>
                <w:color w:val="auto"/>
              </w:rPr>
              <w:t>31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180" w:type="dxa"/>
            <w:vAlign w:val="bottom"/>
            <w:vMerge w:val="continue"/>
          </w:tcPr>
          <w:p>
            <w:pPr>
              <w:spacing w:after="0"/>
              <w:rPr>
                <w:sz w:val="11"/>
                <w:szCs w:val="11"/>
                <w:color w:val="auto"/>
              </w:rPr>
            </w:pPr>
          </w:p>
        </w:tc>
        <w:tc>
          <w:tcPr>
            <w:tcW w:w="4060" w:type="dxa"/>
            <w:vAlign w:val="bottom"/>
            <w:vMerge w:val="continue"/>
          </w:tcPr>
          <w:p>
            <w:pPr>
              <w:spacing w:after="0"/>
              <w:rPr>
                <w:sz w:val="11"/>
                <w:szCs w:val="11"/>
                <w:color w:val="auto"/>
              </w:rPr>
            </w:pPr>
          </w:p>
        </w:tc>
        <w:tc>
          <w:tcPr>
            <w:tcW w:w="220" w:type="dxa"/>
            <w:vAlign w:val="bottom"/>
            <w:tcBorders>
              <w:left w:val="single" w:sz="8" w:color="9BDA44"/>
              <w:bottom w:val="single" w:sz="8" w:color="9BDA44"/>
            </w:tcBorders>
          </w:tcPr>
          <w:p>
            <w:pPr>
              <w:spacing w:after="0"/>
              <w:rPr>
                <w:sz w:val="11"/>
                <w:szCs w:val="11"/>
                <w:color w:val="auto"/>
              </w:rPr>
            </w:pPr>
          </w:p>
        </w:tc>
        <w:tc>
          <w:tcPr>
            <w:tcW w:w="1420" w:type="dxa"/>
            <w:vAlign w:val="bottom"/>
            <w:tcBorders>
              <w:bottom w:val="single" w:sz="8" w:color="9BDA44"/>
              <w:right w:val="single" w:sz="8" w:color="9BDA44"/>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1"/>
        </w:trPr>
        <w:tc>
          <w:tcPr>
            <w:tcW w:w="4180" w:type="dxa"/>
            <w:vAlign w:val="bottom"/>
            <w:vMerge w:val="continue"/>
          </w:tcPr>
          <w:p>
            <w:pPr>
              <w:spacing w:after="0"/>
              <w:rPr>
                <w:sz w:val="24"/>
                <w:szCs w:val="24"/>
                <w:color w:val="auto"/>
              </w:rPr>
            </w:pPr>
          </w:p>
        </w:tc>
        <w:tc>
          <w:tcPr>
            <w:tcW w:w="4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18" w:right="219" w:bottom="1440" w:gutter="0" w:footer="0" w:header="0"/>
        </w:sectPr>
      </w:pPr>
    </w:p>
    <w:bookmarkStart w:id="43" w:name="page44"/>
    <w:bookmarkEnd w:id="43"/>
    <w:p>
      <w:pPr>
        <w:ind w:left="160"/>
        <w:spacing w:after="0"/>
        <w:rPr>
          <w:sz w:val="20"/>
          <w:szCs w:val="20"/>
          <w:color w:val="auto"/>
        </w:rPr>
      </w:pPr>
      <w:r>
        <w:rPr>
          <w:rFonts w:ascii="Arial" w:cs="Arial" w:eastAsia="Arial" w:hAnsi="Arial"/>
          <w:sz w:val="20"/>
          <w:szCs w:val="20"/>
          <w:b w:val="1"/>
          <w:bCs w:val="1"/>
          <w:color w:val="auto"/>
        </w:rPr>
        <w:t>Fund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36195</wp:posOffset>
            </wp:positionV>
            <wp:extent cx="709930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9300" cy="698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160" w:type="dxa"/>
        <w:tblCellMar>
          <w:top w:w="0" w:type="dxa"/>
          <w:left w:w="0" w:type="dxa"/>
          <w:bottom w:w="0" w:type="dxa"/>
          <w:right w:w="0" w:type="dxa"/>
        </w:tblCellMar>
      </w:tblPr>
      <w:tr>
        <w:trPr>
          <w:trHeight w:val="180"/>
        </w:trPr>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I. KEY METRICS</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Fund I</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Fund II</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ind w:left="240"/>
              <w:spacing w:after="0"/>
              <w:rPr>
                <w:sz w:val="20"/>
                <w:szCs w:val="20"/>
                <w:color w:val="auto"/>
              </w:rPr>
            </w:pPr>
            <w:r>
              <w:rPr>
                <w:rFonts w:ascii="Arial" w:cs="Arial" w:eastAsia="Arial" w:hAnsi="Arial"/>
                <w:sz w:val="13"/>
                <w:szCs w:val="13"/>
                <w:b w:val="1"/>
                <w:bCs w:val="1"/>
                <w:color w:val="auto"/>
              </w:rPr>
              <w:t>Fund III</w:t>
            </w:r>
          </w:p>
        </w:tc>
        <w:tc>
          <w:tcPr>
            <w:tcW w:w="160" w:type="dxa"/>
            <w:vAlign w:val="bottom"/>
          </w:tcPr>
          <w:p>
            <w:pPr>
              <w:spacing w:after="0"/>
              <w:rPr>
                <w:sz w:val="15"/>
                <w:szCs w:val="15"/>
                <w:color w:val="auto"/>
              </w:rPr>
            </w:pPr>
          </w:p>
        </w:tc>
        <w:tc>
          <w:tcPr>
            <w:tcW w:w="1200" w:type="dxa"/>
            <w:vAlign w:val="bottom"/>
            <w:gridSpan w:val="3"/>
          </w:tcPr>
          <w:p>
            <w:pPr>
              <w:ind w:left="220"/>
              <w:spacing w:after="0"/>
              <w:rPr>
                <w:sz w:val="20"/>
                <w:szCs w:val="20"/>
                <w:color w:val="auto"/>
              </w:rPr>
            </w:pPr>
            <w:r>
              <w:rPr>
                <w:rFonts w:ascii="Arial" w:cs="Arial" w:eastAsia="Arial" w:hAnsi="Arial"/>
                <w:sz w:val="13"/>
                <w:szCs w:val="13"/>
                <w:b w:val="1"/>
                <w:bCs w:val="1"/>
                <w:color w:val="auto"/>
              </w:rPr>
              <w:t>Fund IV</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Fund V</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420" w:type="dxa"/>
            <w:vAlign w:val="bottom"/>
          </w:tcPr>
          <w:p>
            <w:pPr>
              <w:spacing w:after="0"/>
              <w:rPr>
                <w:sz w:val="15"/>
                <w:szCs w:val="15"/>
                <w:color w:val="auto"/>
              </w:rPr>
            </w:pPr>
          </w:p>
        </w:tc>
      </w:tr>
      <w:tr>
        <w:trPr>
          <w:trHeight w:val="175"/>
        </w:trPr>
        <w:tc>
          <w:tcPr>
            <w:tcW w:w="3040" w:type="dxa"/>
            <w:vAlign w:val="bottom"/>
            <w:gridSpan w:val="2"/>
          </w:tcPr>
          <w:p>
            <w:pPr>
              <w:spacing w:after="0"/>
              <w:rPr>
                <w:sz w:val="20"/>
                <w:szCs w:val="20"/>
                <w:color w:val="auto"/>
              </w:rPr>
            </w:pPr>
            <w:r>
              <w:rPr>
                <w:rFonts w:ascii="Arial" w:cs="Arial" w:eastAsia="Arial" w:hAnsi="Arial"/>
                <w:sz w:val="13"/>
                <w:szCs w:val="13"/>
                <w:color w:val="auto"/>
              </w:rPr>
              <w:t>General Information:</w:t>
            </w: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r>
      <w:tr>
        <w:trPr>
          <w:trHeight w:val="226"/>
        </w:trPr>
        <w:tc>
          <w:tcPr>
            <w:tcW w:w="12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Vintage</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Sep-2001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Jun-2004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May-2007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May-2012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Aug-2016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19"/>
        </w:trPr>
        <w:tc>
          <w:tcPr>
            <w:tcW w:w="3040" w:type="dxa"/>
            <w:vAlign w:val="bottom"/>
            <w:gridSpan w:val="2"/>
          </w:tcPr>
          <w:p>
            <w:pPr>
              <w:spacing w:after="0"/>
              <w:rPr>
                <w:sz w:val="20"/>
                <w:szCs w:val="20"/>
                <w:color w:val="auto"/>
              </w:rPr>
            </w:pPr>
            <w:r>
              <w:rPr>
                <w:rFonts w:ascii="Arial" w:cs="Arial" w:eastAsia="Arial" w:hAnsi="Arial"/>
                <w:sz w:val="13"/>
                <w:szCs w:val="13"/>
                <w:color w:val="auto"/>
              </w:rPr>
              <w:t>Fund Size</w:t>
            </w: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90.0</w:t>
            </w:r>
          </w:p>
        </w:tc>
        <w:tc>
          <w:tcPr>
            <w:tcW w:w="540" w:type="dxa"/>
            <w:vAlign w:val="bottom"/>
            <w:gridSpan w:val="2"/>
          </w:tcPr>
          <w:p>
            <w:pPr>
              <w:ind w:left="20"/>
              <w:spacing w:after="0"/>
              <w:rPr>
                <w:sz w:val="20"/>
                <w:szCs w:val="20"/>
                <w:color w:val="auto"/>
              </w:rPr>
            </w:pPr>
            <w:r>
              <w:rPr>
                <w:rFonts w:ascii="Arial" w:cs="Arial" w:eastAsia="Arial" w:hAnsi="Arial"/>
                <w:sz w:val="13"/>
                <w:szCs w:val="13"/>
                <w:color w:val="auto"/>
              </w:rPr>
              <w:t>Million</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300.0</w:t>
            </w:r>
          </w:p>
        </w:tc>
        <w:tc>
          <w:tcPr>
            <w:tcW w:w="520" w:type="dxa"/>
            <w:vAlign w:val="bottom"/>
            <w:gridSpan w:val="2"/>
          </w:tcPr>
          <w:p>
            <w:pPr>
              <w:spacing w:after="0"/>
              <w:rPr>
                <w:sz w:val="20"/>
                <w:szCs w:val="20"/>
                <w:color w:val="auto"/>
              </w:rPr>
            </w:pPr>
            <w:r>
              <w:rPr>
                <w:rFonts w:ascii="Arial" w:cs="Arial" w:eastAsia="Arial" w:hAnsi="Arial"/>
                <w:sz w:val="13"/>
                <w:szCs w:val="13"/>
                <w:color w:val="auto"/>
              </w:rPr>
              <w:t>Million</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502.5</w:t>
            </w:r>
          </w:p>
        </w:tc>
        <w:tc>
          <w:tcPr>
            <w:tcW w:w="540" w:type="dxa"/>
            <w:vAlign w:val="bottom"/>
            <w:gridSpan w:val="2"/>
          </w:tcPr>
          <w:p>
            <w:pPr>
              <w:ind w:left="20"/>
              <w:spacing w:after="0"/>
              <w:rPr>
                <w:sz w:val="20"/>
                <w:szCs w:val="20"/>
                <w:color w:val="auto"/>
              </w:rPr>
            </w:pPr>
            <w:r>
              <w:rPr>
                <w:rFonts w:ascii="Arial" w:cs="Arial" w:eastAsia="Arial" w:hAnsi="Arial"/>
                <w:sz w:val="13"/>
                <w:szCs w:val="13"/>
                <w:color w:val="auto"/>
              </w:rPr>
              <w:t>Million</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540.6</w:t>
            </w:r>
          </w:p>
        </w:tc>
        <w:tc>
          <w:tcPr>
            <w:tcW w:w="540" w:type="dxa"/>
            <w:vAlign w:val="bottom"/>
            <w:gridSpan w:val="2"/>
          </w:tcPr>
          <w:p>
            <w:pPr>
              <w:ind w:left="20"/>
              <w:spacing w:after="0"/>
              <w:rPr>
                <w:sz w:val="20"/>
                <w:szCs w:val="20"/>
                <w:color w:val="auto"/>
              </w:rPr>
            </w:pPr>
            <w:r>
              <w:rPr>
                <w:rFonts w:ascii="Arial" w:cs="Arial" w:eastAsia="Arial" w:hAnsi="Arial"/>
                <w:sz w:val="13"/>
                <w:szCs w:val="13"/>
                <w:color w:val="auto"/>
              </w:rPr>
              <w:t>Million</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520.0</w:t>
            </w:r>
          </w:p>
        </w:tc>
        <w:tc>
          <w:tcPr>
            <w:tcW w:w="520" w:type="dxa"/>
            <w:vAlign w:val="bottom"/>
            <w:gridSpan w:val="2"/>
          </w:tcPr>
          <w:p>
            <w:pPr>
              <w:spacing w:after="0"/>
              <w:rPr>
                <w:sz w:val="20"/>
                <w:szCs w:val="20"/>
                <w:color w:val="auto"/>
              </w:rPr>
            </w:pPr>
            <w:r>
              <w:rPr>
                <w:rFonts w:ascii="Arial" w:cs="Arial" w:eastAsia="Arial" w:hAnsi="Arial"/>
                <w:sz w:val="13"/>
                <w:szCs w:val="13"/>
                <w:color w:val="auto"/>
              </w:rPr>
              <w:t>Million</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1,953.1</w:t>
            </w:r>
          </w:p>
        </w:tc>
        <w:tc>
          <w:tcPr>
            <w:tcW w:w="420" w:type="dxa"/>
            <w:vAlign w:val="bottom"/>
          </w:tcPr>
          <w:p>
            <w:pPr>
              <w:ind w:left="20"/>
              <w:spacing w:after="0"/>
              <w:rPr>
                <w:sz w:val="20"/>
                <w:szCs w:val="20"/>
                <w:color w:val="auto"/>
              </w:rPr>
            </w:pPr>
            <w:r>
              <w:rPr>
                <w:rFonts w:ascii="Arial" w:cs="Arial" w:eastAsia="Arial" w:hAnsi="Arial"/>
                <w:sz w:val="13"/>
                <w:szCs w:val="13"/>
                <w:color w:val="auto"/>
              </w:rPr>
              <w:t>Million</w:t>
            </w:r>
          </w:p>
        </w:tc>
      </w:tr>
      <w:tr>
        <w:trPr>
          <w:trHeight w:val="219"/>
        </w:trPr>
        <w:tc>
          <w:tcPr>
            <w:tcW w:w="3040" w:type="dxa"/>
            <w:vAlign w:val="bottom"/>
            <w:gridSpan w:val="2"/>
          </w:tcPr>
          <w:p>
            <w:pPr>
              <w:spacing w:after="0"/>
              <w:rPr>
                <w:sz w:val="20"/>
                <w:szCs w:val="20"/>
                <w:color w:val="auto"/>
              </w:rPr>
            </w:pPr>
            <w:r>
              <w:rPr>
                <w:rFonts w:ascii="Arial" w:cs="Arial" w:eastAsia="Arial" w:hAnsi="Arial"/>
                <w:sz w:val="13"/>
                <w:szCs w:val="13"/>
                <w:color w:val="auto"/>
              </w:rPr>
              <w:t>Acadia's Commitment</w:t>
            </w: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20.0</w:t>
            </w:r>
          </w:p>
        </w:tc>
        <w:tc>
          <w:tcPr>
            <w:tcW w:w="540" w:type="dxa"/>
            <w:vAlign w:val="bottom"/>
            <w:gridSpan w:val="2"/>
          </w:tcPr>
          <w:p>
            <w:pPr>
              <w:ind w:left="20"/>
              <w:spacing w:after="0"/>
              <w:rPr>
                <w:sz w:val="20"/>
                <w:szCs w:val="20"/>
                <w:color w:val="auto"/>
              </w:rPr>
            </w:pPr>
            <w:r>
              <w:rPr>
                <w:rFonts w:ascii="Arial" w:cs="Arial" w:eastAsia="Arial" w:hAnsi="Arial"/>
                <w:sz w:val="13"/>
                <w:szCs w:val="13"/>
                <w:color w:val="auto"/>
              </w:rPr>
              <w:t>Million</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85.0</w:t>
            </w:r>
          </w:p>
        </w:tc>
        <w:tc>
          <w:tcPr>
            <w:tcW w:w="520" w:type="dxa"/>
            <w:vAlign w:val="bottom"/>
            <w:gridSpan w:val="2"/>
          </w:tcPr>
          <w:p>
            <w:pPr>
              <w:spacing w:after="0"/>
              <w:rPr>
                <w:sz w:val="20"/>
                <w:szCs w:val="20"/>
                <w:color w:val="auto"/>
              </w:rPr>
            </w:pPr>
            <w:r>
              <w:rPr>
                <w:rFonts w:ascii="Arial" w:cs="Arial" w:eastAsia="Arial" w:hAnsi="Arial"/>
                <w:sz w:val="13"/>
                <w:szCs w:val="13"/>
                <w:color w:val="auto"/>
              </w:rPr>
              <w:t>Million</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123.3</w:t>
            </w:r>
          </w:p>
        </w:tc>
        <w:tc>
          <w:tcPr>
            <w:tcW w:w="540" w:type="dxa"/>
            <w:vAlign w:val="bottom"/>
            <w:gridSpan w:val="2"/>
          </w:tcPr>
          <w:p>
            <w:pPr>
              <w:ind w:left="20"/>
              <w:spacing w:after="0"/>
              <w:rPr>
                <w:sz w:val="20"/>
                <w:szCs w:val="20"/>
                <w:color w:val="auto"/>
              </w:rPr>
            </w:pPr>
            <w:r>
              <w:rPr>
                <w:rFonts w:ascii="Arial" w:cs="Arial" w:eastAsia="Arial" w:hAnsi="Arial"/>
                <w:sz w:val="13"/>
                <w:szCs w:val="13"/>
                <w:color w:val="auto"/>
              </w:rPr>
              <w:t>Million</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125.0</w:t>
            </w:r>
          </w:p>
        </w:tc>
        <w:tc>
          <w:tcPr>
            <w:tcW w:w="540" w:type="dxa"/>
            <w:vAlign w:val="bottom"/>
            <w:gridSpan w:val="2"/>
          </w:tcPr>
          <w:p>
            <w:pPr>
              <w:ind w:left="20"/>
              <w:spacing w:after="0"/>
              <w:rPr>
                <w:sz w:val="20"/>
                <w:szCs w:val="20"/>
                <w:color w:val="auto"/>
              </w:rPr>
            </w:pPr>
            <w:r>
              <w:rPr>
                <w:rFonts w:ascii="Arial" w:cs="Arial" w:eastAsia="Arial" w:hAnsi="Arial"/>
                <w:sz w:val="13"/>
                <w:szCs w:val="13"/>
                <w:color w:val="auto"/>
              </w:rPr>
              <w:t>Million</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104.5</w:t>
            </w:r>
          </w:p>
        </w:tc>
        <w:tc>
          <w:tcPr>
            <w:tcW w:w="520" w:type="dxa"/>
            <w:vAlign w:val="bottom"/>
            <w:gridSpan w:val="2"/>
          </w:tcPr>
          <w:p>
            <w:pPr>
              <w:spacing w:after="0"/>
              <w:rPr>
                <w:sz w:val="20"/>
                <w:szCs w:val="20"/>
                <w:color w:val="auto"/>
              </w:rPr>
            </w:pPr>
            <w:r>
              <w:rPr>
                <w:rFonts w:ascii="Arial" w:cs="Arial" w:eastAsia="Arial" w:hAnsi="Arial"/>
                <w:sz w:val="13"/>
                <w:szCs w:val="13"/>
                <w:color w:val="auto"/>
              </w:rPr>
              <w:t>Million</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457.8</w:t>
            </w:r>
          </w:p>
        </w:tc>
        <w:tc>
          <w:tcPr>
            <w:tcW w:w="420" w:type="dxa"/>
            <w:vAlign w:val="bottom"/>
          </w:tcPr>
          <w:p>
            <w:pPr>
              <w:ind w:left="20"/>
              <w:spacing w:after="0"/>
              <w:rPr>
                <w:sz w:val="20"/>
                <w:szCs w:val="20"/>
                <w:color w:val="auto"/>
              </w:rPr>
            </w:pPr>
            <w:r>
              <w:rPr>
                <w:rFonts w:ascii="Arial" w:cs="Arial" w:eastAsia="Arial" w:hAnsi="Arial"/>
                <w:sz w:val="13"/>
                <w:szCs w:val="13"/>
                <w:color w:val="auto"/>
              </w:rPr>
              <w:t>Million</w:t>
            </w:r>
          </w:p>
        </w:tc>
      </w:tr>
    </w:tbl>
    <w:p>
      <w:pPr>
        <w:spacing w:after="0" w:line="62" w:lineRule="exact"/>
        <w:rPr>
          <w:sz w:val="20"/>
          <w:szCs w:val="20"/>
          <w:color w:val="auto"/>
        </w:rPr>
      </w:pPr>
    </w:p>
    <w:tbl>
      <w:tblPr>
        <w:tblLayout w:type="fixed"/>
        <w:tblInd w:w="160" w:type="dxa"/>
        <w:tblCellMar>
          <w:top w:w="0" w:type="dxa"/>
          <w:left w:w="0" w:type="dxa"/>
          <w:bottom w:w="0" w:type="dxa"/>
          <w:right w:w="0" w:type="dxa"/>
        </w:tblCellMar>
      </w:tblPr>
      <w:tr>
        <w:trPr>
          <w:trHeight w:val="157"/>
        </w:trPr>
        <w:tc>
          <w:tcPr>
            <w:tcW w:w="3040" w:type="dxa"/>
            <w:vAlign w:val="bottom"/>
            <w:gridSpan w:val="3"/>
          </w:tcPr>
          <w:p>
            <w:pPr>
              <w:spacing w:after="0"/>
              <w:rPr>
                <w:sz w:val="20"/>
                <w:szCs w:val="20"/>
                <w:color w:val="auto"/>
              </w:rPr>
            </w:pPr>
            <w:r>
              <w:rPr>
                <w:rFonts w:ascii="Arial" w:cs="Arial" w:eastAsia="Arial" w:hAnsi="Arial"/>
                <w:sz w:val="13"/>
                <w:szCs w:val="13"/>
                <w:color w:val="auto"/>
              </w:rPr>
              <w:t>Acadia's Pro Rata Share</w:t>
            </w:r>
          </w:p>
        </w:tc>
        <w:tc>
          <w:tcPr>
            <w:tcW w:w="300" w:type="dxa"/>
            <w:vAlign w:val="bottom"/>
          </w:tcPr>
          <w:p>
            <w:pPr>
              <w:spacing w:after="0"/>
              <w:rPr>
                <w:sz w:val="13"/>
                <w:szCs w:val="13"/>
                <w:color w:val="auto"/>
              </w:rPr>
            </w:pPr>
          </w:p>
        </w:tc>
        <w:tc>
          <w:tcPr>
            <w:tcW w:w="1040" w:type="dxa"/>
            <w:vAlign w:val="bottom"/>
            <w:gridSpan w:val="2"/>
          </w:tcPr>
          <w:p>
            <w:pPr>
              <w:jc w:val="right"/>
              <w:ind w:right="254"/>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314"/>
              <w:spacing w:after="0"/>
              <w:rPr>
                <w:sz w:val="20"/>
                <w:szCs w:val="20"/>
                <w:color w:val="auto"/>
              </w:rPr>
            </w:pPr>
            <w:r>
              <w:rPr>
                <w:rFonts w:ascii="Arial" w:cs="Arial" w:eastAsia="Arial" w:hAnsi="Arial"/>
                <w:sz w:val="13"/>
                <w:szCs w:val="13"/>
                <w:color w:val="auto"/>
              </w:rPr>
              <w:t>28.3%</w:t>
            </w:r>
          </w:p>
        </w:tc>
        <w:tc>
          <w:tcPr>
            <w:tcW w:w="340" w:type="dxa"/>
            <w:vAlign w:val="bottom"/>
          </w:tcPr>
          <w:p>
            <w:pPr>
              <w:spacing w:after="0"/>
              <w:rPr>
                <w:sz w:val="13"/>
                <w:szCs w:val="13"/>
                <w:color w:val="auto"/>
              </w:rPr>
            </w:pPr>
          </w:p>
        </w:tc>
        <w:tc>
          <w:tcPr>
            <w:tcW w:w="1000" w:type="dxa"/>
            <w:vAlign w:val="bottom"/>
            <w:gridSpan w:val="2"/>
          </w:tcPr>
          <w:p>
            <w:pPr>
              <w:jc w:val="right"/>
              <w:ind w:right="314"/>
              <w:spacing w:after="0"/>
              <w:rPr>
                <w:sz w:val="20"/>
                <w:szCs w:val="20"/>
                <w:color w:val="auto"/>
              </w:rPr>
            </w:pPr>
            <w:r>
              <w:rPr>
                <w:rFonts w:ascii="Arial" w:cs="Arial" w:eastAsia="Arial" w:hAnsi="Arial"/>
                <w:sz w:val="13"/>
                <w:szCs w:val="13"/>
                <w:color w:val="auto"/>
              </w:rPr>
              <w:t>24.5%</w:t>
            </w:r>
          </w:p>
        </w:tc>
        <w:tc>
          <w:tcPr>
            <w:tcW w:w="300" w:type="dxa"/>
            <w:vAlign w:val="bottom"/>
          </w:tcPr>
          <w:p>
            <w:pPr>
              <w:spacing w:after="0"/>
              <w:rPr>
                <w:sz w:val="13"/>
                <w:szCs w:val="13"/>
                <w:color w:val="auto"/>
              </w:rPr>
            </w:pPr>
          </w:p>
        </w:tc>
        <w:tc>
          <w:tcPr>
            <w:tcW w:w="1060" w:type="dxa"/>
            <w:vAlign w:val="bottom"/>
            <w:gridSpan w:val="2"/>
          </w:tcPr>
          <w:p>
            <w:pPr>
              <w:jc w:val="right"/>
              <w:ind w:right="314"/>
              <w:spacing w:after="0"/>
              <w:rPr>
                <w:sz w:val="20"/>
                <w:szCs w:val="20"/>
                <w:color w:val="auto"/>
              </w:rPr>
            </w:pPr>
            <w:r>
              <w:rPr>
                <w:rFonts w:ascii="Arial" w:cs="Arial" w:eastAsia="Arial" w:hAnsi="Arial"/>
                <w:sz w:val="13"/>
                <w:szCs w:val="13"/>
                <w:color w:val="auto"/>
              </w:rPr>
              <w:t>23.1%</w:t>
            </w:r>
          </w:p>
        </w:tc>
        <w:tc>
          <w:tcPr>
            <w:tcW w:w="220" w:type="dxa"/>
            <w:vAlign w:val="bottom"/>
          </w:tcPr>
          <w:p>
            <w:pPr>
              <w:spacing w:after="0"/>
              <w:rPr>
                <w:sz w:val="13"/>
                <w:szCs w:val="13"/>
                <w:color w:val="auto"/>
              </w:rPr>
            </w:pPr>
          </w:p>
        </w:tc>
        <w:tc>
          <w:tcPr>
            <w:tcW w:w="1120" w:type="dxa"/>
            <w:vAlign w:val="bottom"/>
            <w:gridSpan w:val="2"/>
          </w:tcPr>
          <w:p>
            <w:pPr>
              <w:jc w:val="right"/>
              <w:ind w:right="294"/>
              <w:spacing w:after="0"/>
              <w:rPr>
                <w:sz w:val="20"/>
                <w:szCs w:val="20"/>
                <w:color w:val="auto"/>
              </w:rPr>
            </w:pPr>
            <w:r>
              <w:rPr>
                <w:rFonts w:ascii="Arial" w:cs="Arial" w:eastAsia="Arial" w:hAnsi="Arial"/>
                <w:sz w:val="13"/>
                <w:szCs w:val="13"/>
                <w:color w:val="auto"/>
              </w:rPr>
              <w:t>20.1%</w:t>
            </w:r>
          </w:p>
        </w:tc>
        <w:tc>
          <w:tcPr>
            <w:tcW w:w="320" w:type="dxa"/>
            <w:vAlign w:val="bottom"/>
          </w:tcPr>
          <w:p>
            <w:pPr>
              <w:spacing w:after="0"/>
              <w:rPr>
                <w:sz w:val="13"/>
                <w:szCs w:val="13"/>
                <w:color w:val="auto"/>
              </w:rPr>
            </w:pP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280"/>
        </w:trPr>
        <w:tc>
          <w:tcPr>
            <w:tcW w:w="3040" w:type="dxa"/>
            <w:vAlign w:val="bottom"/>
            <w:gridSpan w:val="3"/>
          </w:tcPr>
          <w:p>
            <w:pPr>
              <w:spacing w:after="0"/>
              <w:rPr>
                <w:sz w:val="20"/>
                <w:szCs w:val="20"/>
                <w:color w:val="auto"/>
              </w:rPr>
            </w:pPr>
            <w:r>
              <w:rPr>
                <w:rFonts w:ascii="Arial" w:cs="Arial" w:eastAsia="Arial" w:hAnsi="Arial"/>
                <w:sz w:val="13"/>
                <w:szCs w:val="13"/>
                <w:color w:val="auto"/>
              </w:rPr>
              <w:t xml:space="preserve">Acadia's Promoted Share </w:t>
            </w:r>
            <w:r>
              <w:rPr>
                <w:rFonts w:ascii="Arial" w:cs="Arial" w:eastAsia="Arial" w:hAnsi="Arial"/>
                <w:sz w:val="17"/>
                <w:szCs w:val="17"/>
                <w:color w:val="auto"/>
                <w:vertAlign w:val="superscript"/>
              </w:rPr>
              <w:t>1</w:t>
            </w:r>
          </w:p>
        </w:tc>
        <w:tc>
          <w:tcPr>
            <w:tcW w:w="300" w:type="dxa"/>
            <w:vAlign w:val="bottom"/>
          </w:tcPr>
          <w:p>
            <w:pPr>
              <w:spacing w:after="0"/>
              <w:rPr>
                <w:sz w:val="24"/>
                <w:szCs w:val="24"/>
                <w:color w:val="auto"/>
              </w:rPr>
            </w:pPr>
          </w:p>
        </w:tc>
        <w:tc>
          <w:tcPr>
            <w:tcW w:w="1040" w:type="dxa"/>
            <w:vAlign w:val="bottom"/>
            <w:gridSpan w:val="2"/>
          </w:tcPr>
          <w:p>
            <w:pPr>
              <w:jc w:val="right"/>
              <w:ind w:right="254"/>
              <w:spacing w:after="0"/>
              <w:rPr>
                <w:sz w:val="20"/>
                <w:szCs w:val="20"/>
                <w:color w:val="auto"/>
              </w:rPr>
            </w:pPr>
            <w:r>
              <w:rPr>
                <w:rFonts w:ascii="Arial" w:cs="Arial" w:eastAsia="Arial" w:hAnsi="Arial"/>
                <w:sz w:val="13"/>
                <w:szCs w:val="13"/>
                <w:color w:val="auto"/>
              </w:rPr>
              <w:t>37.8%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314"/>
              <w:spacing w:after="0"/>
              <w:rPr>
                <w:sz w:val="20"/>
                <w:szCs w:val="20"/>
                <w:color w:val="auto"/>
              </w:rPr>
            </w:pPr>
            <w:r>
              <w:rPr>
                <w:rFonts w:ascii="Arial" w:cs="Arial" w:eastAsia="Arial" w:hAnsi="Arial"/>
                <w:sz w:val="13"/>
                <w:szCs w:val="13"/>
                <w:color w:val="auto"/>
              </w:rPr>
              <w:t>42.6%</w:t>
            </w:r>
          </w:p>
        </w:tc>
        <w:tc>
          <w:tcPr>
            <w:tcW w:w="340" w:type="dxa"/>
            <w:vAlign w:val="bottom"/>
          </w:tcPr>
          <w:p>
            <w:pPr>
              <w:spacing w:after="0"/>
              <w:rPr>
                <w:sz w:val="24"/>
                <w:szCs w:val="24"/>
                <w:color w:val="auto"/>
              </w:rPr>
            </w:pPr>
          </w:p>
        </w:tc>
        <w:tc>
          <w:tcPr>
            <w:tcW w:w="1000" w:type="dxa"/>
            <w:vAlign w:val="bottom"/>
            <w:gridSpan w:val="2"/>
          </w:tcPr>
          <w:p>
            <w:pPr>
              <w:jc w:val="right"/>
              <w:ind w:right="314"/>
              <w:spacing w:after="0"/>
              <w:rPr>
                <w:sz w:val="20"/>
                <w:szCs w:val="20"/>
                <w:color w:val="auto"/>
              </w:rPr>
            </w:pPr>
            <w:r>
              <w:rPr>
                <w:rFonts w:ascii="Arial" w:cs="Arial" w:eastAsia="Arial" w:hAnsi="Arial"/>
                <w:sz w:val="13"/>
                <w:szCs w:val="13"/>
                <w:color w:val="auto"/>
              </w:rPr>
              <w:t>39.6%</w:t>
            </w:r>
          </w:p>
        </w:tc>
        <w:tc>
          <w:tcPr>
            <w:tcW w:w="300" w:type="dxa"/>
            <w:vAlign w:val="bottom"/>
          </w:tcPr>
          <w:p>
            <w:pPr>
              <w:spacing w:after="0"/>
              <w:rPr>
                <w:sz w:val="24"/>
                <w:szCs w:val="24"/>
                <w:color w:val="auto"/>
              </w:rPr>
            </w:pPr>
          </w:p>
        </w:tc>
        <w:tc>
          <w:tcPr>
            <w:tcW w:w="1060" w:type="dxa"/>
            <w:vAlign w:val="bottom"/>
            <w:gridSpan w:val="2"/>
          </w:tcPr>
          <w:p>
            <w:pPr>
              <w:jc w:val="right"/>
              <w:ind w:right="314"/>
              <w:spacing w:after="0"/>
              <w:rPr>
                <w:sz w:val="20"/>
                <w:szCs w:val="20"/>
                <w:color w:val="auto"/>
              </w:rPr>
            </w:pPr>
            <w:r>
              <w:rPr>
                <w:rFonts w:ascii="Arial" w:cs="Arial" w:eastAsia="Arial" w:hAnsi="Arial"/>
                <w:sz w:val="13"/>
                <w:szCs w:val="13"/>
                <w:color w:val="auto"/>
              </w:rPr>
              <w:t>38.5%</w:t>
            </w:r>
          </w:p>
        </w:tc>
        <w:tc>
          <w:tcPr>
            <w:tcW w:w="220" w:type="dxa"/>
            <w:vAlign w:val="bottom"/>
          </w:tcPr>
          <w:p>
            <w:pPr>
              <w:spacing w:after="0"/>
              <w:rPr>
                <w:sz w:val="24"/>
                <w:szCs w:val="24"/>
                <w:color w:val="auto"/>
              </w:rPr>
            </w:pPr>
          </w:p>
        </w:tc>
        <w:tc>
          <w:tcPr>
            <w:tcW w:w="1120" w:type="dxa"/>
            <w:vAlign w:val="bottom"/>
            <w:gridSpan w:val="2"/>
          </w:tcPr>
          <w:p>
            <w:pPr>
              <w:jc w:val="right"/>
              <w:ind w:right="294"/>
              <w:spacing w:after="0"/>
              <w:rPr>
                <w:sz w:val="20"/>
                <w:szCs w:val="20"/>
                <w:color w:val="auto"/>
              </w:rPr>
            </w:pPr>
            <w:r>
              <w:rPr>
                <w:rFonts w:ascii="Arial" w:cs="Arial" w:eastAsia="Arial" w:hAnsi="Arial"/>
                <w:sz w:val="13"/>
                <w:szCs w:val="13"/>
                <w:color w:val="auto"/>
              </w:rPr>
              <w:t>36.1%</w:t>
            </w:r>
          </w:p>
        </w:tc>
        <w:tc>
          <w:tcPr>
            <w:tcW w:w="320" w:type="dxa"/>
            <w:vAlign w:val="bottom"/>
          </w:tcPr>
          <w:p>
            <w:pPr>
              <w:spacing w:after="0"/>
              <w:rPr>
                <w:sz w:val="24"/>
                <w:szCs w:val="24"/>
                <w:color w:val="auto"/>
              </w:rPr>
            </w:pP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38.7%</w:t>
            </w:r>
          </w:p>
        </w:tc>
        <w:tc>
          <w:tcPr>
            <w:tcW w:w="0" w:type="dxa"/>
            <w:vAlign w:val="bottom"/>
          </w:tcPr>
          <w:p>
            <w:pPr>
              <w:spacing w:after="0"/>
              <w:rPr>
                <w:sz w:val="1"/>
                <w:szCs w:val="1"/>
                <w:color w:val="auto"/>
              </w:rPr>
            </w:pPr>
          </w:p>
        </w:tc>
      </w:tr>
      <w:tr>
        <w:trPr>
          <w:trHeight w:val="157"/>
        </w:trPr>
        <w:tc>
          <w:tcPr>
            <w:tcW w:w="3040" w:type="dxa"/>
            <w:vAlign w:val="bottom"/>
            <w:gridSpan w:val="3"/>
          </w:tcPr>
          <w:p>
            <w:pPr>
              <w:spacing w:after="0"/>
              <w:rPr>
                <w:sz w:val="20"/>
                <w:szCs w:val="20"/>
                <w:color w:val="auto"/>
              </w:rPr>
            </w:pPr>
            <w:r>
              <w:rPr>
                <w:rFonts w:ascii="Arial" w:cs="Arial" w:eastAsia="Arial" w:hAnsi="Arial"/>
                <w:sz w:val="13"/>
                <w:szCs w:val="13"/>
                <w:color w:val="auto"/>
              </w:rPr>
              <w:t>Preferred Return</w:t>
            </w:r>
          </w:p>
        </w:tc>
        <w:tc>
          <w:tcPr>
            <w:tcW w:w="300" w:type="dxa"/>
            <w:vAlign w:val="bottom"/>
          </w:tcPr>
          <w:p>
            <w:pPr>
              <w:spacing w:after="0"/>
              <w:rPr>
                <w:sz w:val="13"/>
                <w:szCs w:val="13"/>
                <w:color w:val="auto"/>
              </w:rPr>
            </w:pPr>
          </w:p>
        </w:tc>
        <w:tc>
          <w:tcPr>
            <w:tcW w:w="1040" w:type="dxa"/>
            <w:vAlign w:val="bottom"/>
            <w:gridSpan w:val="2"/>
          </w:tcPr>
          <w:p>
            <w:pPr>
              <w:jc w:val="right"/>
              <w:ind w:right="254"/>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314"/>
              <w:spacing w:after="0"/>
              <w:rPr>
                <w:sz w:val="20"/>
                <w:szCs w:val="20"/>
                <w:color w:val="auto"/>
              </w:rPr>
            </w:pPr>
            <w:r>
              <w:rPr>
                <w:rFonts w:ascii="Arial" w:cs="Arial" w:eastAsia="Arial" w:hAnsi="Arial"/>
                <w:sz w:val="13"/>
                <w:szCs w:val="13"/>
                <w:color w:val="auto"/>
              </w:rPr>
              <w:t>8.0%</w:t>
            </w:r>
          </w:p>
        </w:tc>
        <w:tc>
          <w:tcPr>
            <w:tcW w:w="340" w:type="dxa"/>
            <w:vAlign w:val="bottom"/>
          </w:tcPr>
          <w:p>
            <w:pPr>
              <w:spacing w:after="0"/>
              <w:rPr>
                <w:sz w:val="13"/>
                <w:szCs w:val="13"/>
                <w:color w:val="auto"/>
              </w:rPr>
            </w:pPr>
          </w:p>
        </w:tc>
        <w:tc>
          <w:tcPr>
            <w:tcW w:w="1000" w:type="dxa"/>
            <w:vAlign w:val="bottom"/>
            <w:gridSpan w:val="2"/>
          </w:tcPr>
          <w:p>
            <w:pPr>
              <w:jc w:val="right"/>
              <w:ind w:right="314"/>
              <w:spacing w:after="0"/>
              <w:rPr>
                <w:sz w:val="20"/>
                <w:szCs w:val="20"/>
                <w:color w:val="auto"/>
              </w:rPr>
            </w:pPr>
            <w:r>
              <w:rPr>
                <w:rFonts w:ascii="Arial" w:cs="Arial" w:eastAsia="Arial" w:hAnsi="Arial"/>
                <w:sz w:val="13"/>
                <w:szCs w:val="13"/>
                <w:color w:val="auto"/>
              </w:rPr>
              <w:t>6.0%</w:t>
            </w:r>
          </w:p>
        </w:tc>
        <w:tc>
          <w:tcPr>
            <w:tcW w:w="300" w:type="dxa"/>
            <w:vAlign w:val="bottom"/>
          </w:tcPr>
          <w:p>
            <w:pPr>
              <w:spacing w:after="0"/>
              <w:rPr>
                <w:sz w:val="13"/>
                <w:szCs w:val="13"/>
                <w:color w:val="auto"/>
              </w:rPr>
            </w:pPr>
          </w:p>
        </w:tc>
        <w:tc>
          <w:tcPr>
            <w:tcW w:w="1060" w:type="dxa"/>
            <w:vAlign w:val="bottom"/>
            <w:gridSpan w:val="2"/>
          </w:tcPr>
          <w:p>
            <w:pPr>
              <w:jc w:val="right"/>
              <w:ind w:right="314"/>
              <w:spacing w:after="0"/>
              <w:rPr>
                <w:sz w:val="20"/>
                <w:szCs w:val="20"/>
                <w:color w:val="auto"/>
              </w:rPr>
            </w:pPr>
            <w:r>
              <w:rPr>
                <w:rFonts w:ascii="Arial" w:cs="Arial" w:eastAsia="Arial" w:hAnsi="Arial"/>
                <w:sz w:val="13"/>
                <w:szCs w:val="13"/>
                <w:color w:val="auto"/>
              </w:rPr>
              <w:t>6.0%</w:t>
            </w:r>
          </w:p>
        </w:tc>
        <w:tc>
          <w:tcPr>
            <w:tcW w:w="220" w:type="dxa"/>
            <w:vAlign w:val="bottom"/>
          </w:tcPr>
          <w:p>
            <w:pPr>
              <w:spacing w:after="0"/>
              <w:rPr>
                <w:sz w:val="13"/>
                <w:szCs w:val="13"/>
                <w:color w:val="auto"/>
              </w:rPr>
            </w:pPr>
          </w:p>
        </w:tc>
        <w:tc>
          <w:tcPr>
            <w:tcW w:w="1120" w:type="dxa"/>
            <w:vAlign w:val="bottom"/>
            <w:gridSpan w:val="2"/>
          </w:tcPr>
          <w:p>
            <w:pPr>
              <w:jc w:val="right"/>
              <w:ind w:right="294"/>
              <w:spacing w:after="0"/>
              <w:rPr>
                <w:sz w:val="20"/>
                <w:szCs w:val="20"/>
                <w:color w:val="auto"/>
              </w:rPr>
            </w:pPr>
            <w:r>
              <w:rPr>
                <w:rFonts w:ascii="Arial" w:cs="Arial" w:eastAsia="Arial" w:hAnsi="Arial"/>
                <w:sz w:val="13"/>
                <w:szCs w:val="13"/>
                <w:color w:val="auto"/>
              </w:rPr>
              <w:t>6.0%</w:t>
            </w:r>
          </w:p>
        </w:tc>
        <w:tc>
          <w:tcPr>
            <w:tcW w:w="320" w:type="dxa"/>
            <w:vAlign w:val="bottom"/>
          </w:tcPr>
          <w:p>
            <w:pPr>
              <w:spacing w:after="0"/>
              <w:rPr>
                <w:sz w:val="13"/>
                <w:szCs w:val="13"/>
                <w:color w:val="auto"/>
              </w:rPr>
            </w:pP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344"/>
        </w:trPr>
        <w:tc>
          <w:tcPr>
            <w:tcW w:w="3040" w:type="dxa"/>
            <w:vAlign w:val="bottom"/>
            <w:gridSpan w:val="3"/>
          </w:tcPr>
          <w:p>
            <w:pPr>
              <w:spacing w:after="0"/>
              <w:rPr>
                <w:sz w:val="20"/>
                <w:szCs w:val="20"/>
                <w:color w:val="auto"/>
              </w:rPr>
            </w:pPr>
            <w:r>
              <w:rPr>
                <w:rFonts w:ascii="Arial" w:cs="Arial" w:eastAsia="Arial" w:hAnsi="Arial"/>
                <w:sz w:val="13"/>
                <w:szCs w:val="13"/>
                <w:color w:val="auto"/>
              </w:rPr>
              <w:t>Current-Quarter, Fund-Level Information:</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xml:space="preserve">Cumulative Contributions </w:t>
            </w:r>
            <w:r>
              <w:rPr>
                <w:rFonts w:ascii="Arial" w:cs="Arial" w:eastAsia="Arial" w:hAnsi="Arial"/>
                <w:sz w:val="17"/>
                <w:szCs w:val="17"/>
                <w:color w:val="auto"/>
                <w:vertAlign w:val="superscript"/>
              </w:rPr>
              <w:t>2</w:t>
            </w:r>
          </w:p>
        </w:tc>
        <w:tc>
          <w:tcPr>
            <w:tcW w:w="660" w:type="dxa"/>
            <w:vAlign w:val="bottom"/>
          </w:tcPr>
          <w:p>
            <w:pPr>
              <w:spacing w:after="0"/>
              <w:rPr>
                <w:sz w:val="24"/>
                <w:szCs w:val="24"/>
                <w:color w:val="auto"/>
              </w:rPr>
            </w:pP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86.6</w:t>
            </w:r>
          </w:p>
        </w:tc>
        <w:tc>
          <w:tcPr>
            <w:tcW w:w="540" w:type="dxa"/>
            <w:vAlign w:val="bottom"/>
            <w:gridSpan w:val="2"/>
          </w:tcPr>
          <w:p>
            <w:pPr>
              <w:ind w:left="20"/>
              <w:spacing w:after="0"/>
              <w:rPr>
                <w:sz w:val="20"/>
                <w:szCs w:val="20"/>
                <w:color w:val="auto"/>
              </w:rPr>
            </w:pPr>
            <w:r>
              <w:rPr>
                <w:rFonts w:ascii="Arial" w:cs="Arial" w:eastAsia="Arial" w:hAnsi="Arial"/>
                <w:sz w:val="13"/>
                <w:szCs w:val="13"/>
                <w:color w:val="auto"/>
              </w:rPr>
              <w:t>Million</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347.1</w:t>
            </w:r>
          </w:p>
        </w:tc>
        <w:tc>
          <w:tcPr>
            <w:tcW w:w="480" w:type="dxa"/>
            <w:vAlign w:val="bottom"/>
          </w:tcPr>
          <w:p>
            <w:pPr>
              <w:jc w:val="right"/>
              <w:ind w:right="14"/>
              <w:spacing w:after="0"/>
              <w:rPr>
                <w:sz w:val="20"/>
                <w:szCs w:val="20"/>
                <w:color w:val="auto"/>
              </w:rPr>
            </w:pPr>
            <w:r>
              <w:rPr>
                <w:rFonts w:ascii="Arial" w:cs="Arial" w:eastAsia="Arial" w:hAnsi="Arial"/>
                <w:sz w:val="13"/>
                <w:szCs w:val="13"/>
                <w:color w:val="auto"/>
              </w:rPr>
              <w:t>Million</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411.5</w:t>
            </w:r>
          </w:p>
        </w:tc>
        <w:tc>
          <w:tcPr>
            <w:tcW w:w="480" w:type="dxa"/>
            <w:vAlign w:val="bottom"/>
          </w:tcPr>
          <w:p>
            <w:pPr>
              <w:jc w:val="right"/>
              <w:ind w:right="14"/>
              <w:spacing w:after="0"/>
              <w:rPr>
                <w:sz w:val="20"/>
                <w:szCs w:val="20"/>
                <w:color w:val="auto"/>
              </w:rPr>
            </w:pPr>
            <w:r>
              <w:rPr>
                <w:rFonts w:ascii="Arial" w:cs="Arial" w:eastAsia="Arial" w:hAnsi="Arial"/>
                <w:sz w:val="13"/>
                <w:szCs w:val="13"/>
                <w:color w:val="auto"/>
              </w:rPr>
              <w:t>Million</w:t>
            </w:r>
          </w:p>
        </w:tc>
        <w:tc>
          <w:tcPr>
            <w:tcW w:w="3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412.7</w:t>
            </w:r>
          </w:p>
        </w:tc>
        <w:tc>
          <w:tcPr>
            <w:tcW w:w="480" w:type="dxa"/>
            <w:vAlign w:val="bottom"/>
          </w:tcPr>
          <w:p>
            <w:pPr>
              <w:jc w:val="right"/>
              <w:ind w:right="14"/>
              <w:spacing w:after="0"/>
              <w:rPr>
                <w:sz w:val="20"/>
                <w:szCs w:val="20"/>
                <w:color w:val="auto"/>
              </w:rPr>
            </w:pPr>
            <w:r>
              <w:rPr>
                <w:rFonts w:ascii="Arial" w:cs="Arial" w:eastAsia="Arial" w:hAnsi="Arial"/>
                <w:sz w:val="13"/>
                <w:szCs w:val="13"/>
                <w:color w:val="auto"/>
              </w:rPr>
              <w:t>Million</w:t>
            </w:r>
          </w:p>
        </w:tc>
        <w:tc>
          <w:tcPr>
            <w:tcW w:w="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45.8</w:t>
            </w:r>
          </w:p>
        </w:tc>
        <w:tc>
          <w:tcPr>
            <w:tcW w:w="460" w:type="dxa"/>
            <w:vAlign w:val="bottom"/>
          </w:tcPr>
          <w:p>
            <w:pPr>
              <w:jc w:val="right"/>
              <w:ind w:right="14"/>
              <w:spacing w:after="0"/>
              <w:rPr>
                <w:sz w:val="20"/>
                <w:szCs w:val="20"/>
                <w:color w:val="auto"/>
              </w:rPr>
            </w:pPr>
            <w:r>
              <w:rPr>
                <w:rFonts w:ascii="Arial" w:cs="Arial" w:eastAsia="Arial" w:hAnsi="Arial"/>
                <w:sz w:val="13"/>
                <w:szCs w:val="13"/>
                <w:color w:val="auto"/>
                <w:w w:val="97"/>
              </w:rPr>
              <w:t>Million</w:t>
            </w:r>
          </w:p>
        </w:tc>
        <w:tc>
          <w:tcPr>
            <w:tcW w:w="3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1,303.7 Million</w:t>
            </w:r>
          </w:p>
        </w:tc>
        <w:tc>
          <w:tcPr>
            <w:tcW w:w="0" w:type="dxa"/>
            <w:vAlign w:val="bottom"/>
          </w:tcPr>
          <w:p>
            <w:pPr>
              <w:spacing w:after="0"/>
              <w:rPr>
                <w:sz w:val="1"/>
                <w:szCs w:val="1"/>
                <w:color w:val="auto"/>
              </w:rPr>
            </w:pPr>
          </w:p>
        </w:tc>
      </w:tr>
      <w:tr>
        <w:trPr>
          <w:trHeight w:val="223"/>
        </w:trPr>
        <w:tc>
          <w:tcPr>
            <w:tcW w:w="3040" w:type="dxa"/>
            <w:vAlign w:val="bottom"/>
            <w:gridSpan w:val="3"/>
          </w:tcPr>
          <w:p>
            <w:pPr>
              <w:spacing w:after="0"/>
              <w:rPr>
                <w:sz w:val="20"/>
                <w:szCs w:val="20"/>
                <w:color w:val="auto"/>
              </w:rPr>
            </w:pPr>
            <w:r>
              <w:rPr>
                <w:rFonts w:ascii="Arial" w:cs="Arial" w:eastAsia="Arial" w:hAnsi="Arial"/>
                <w:sz w:val="13"/>
                <w:szCs w:val="13"/>
                <w:color w:val="auto"/>
              </w:rPr>
              <w:t xml:space="preserve">Cumulative Net Distributions </w:t>
            </w:r>
            <w:r>
              <w:rPr>
                <w:rFonts w:ascii="Arial" w:cs="Arial" w:eastAsia="Arial" w:hAnsi="Arial"/>
                <w:sz w:val="17"/>
                <w:szCs w:val="17"/>
                <w:color w:val="auto"/>
                <w:vertAlign w:val="superscript"/>
              </w:rPr>
              <w:t>3</w:t>
            </w: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195.4</w:t>
            </w:r>
          </w:p>
        </w:tc>
        <w:tc>
          <w:tcPr>
            <w:tcW w:w="540" w:type="dxa"/>
            <w:vAlign w:val="bottom"/>
            <w:gridSpan w:val="2"/>
          </w:tcPr>
          <w:p>
            <w:pPr>
              <w:ind w:left="20"/>
              <w:spacing w:after="0"/>
              <w:rPr>
                <w:sz w:val="20"/>
                <w:szCs w:val="20"/>
                <w:color w:val="auto"/>
              </w:rPr>
            </w:pPr>
            <w:r>
              <w:rPr>
                <w:rFonts w:ascii="Arial" w:cs="Arial" w:eastAsia="Arial" w:hAnsi="Arial"/>
                <w:sz w:val="13"/>
                <w:szCs w:val="13"/>
                <w:color w:val="auto"/>
              </w:rPr>
              <w:t>Million</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131.6</w:t>
            </w:r>
          </w:p>
        </w:tc>
        <w:tc>
          <w:tcPr>
            <w:tcW w:w="480" w:type="dxa"/>
            <w:vAlign w:val="bottom"/>
          </w:tcPr>
          <w:p>
            <w:pPr>
              <w:jc w:val="right"/>
              <w:ind w:right="14"/>
              <w:spacing w:after="0"/>
              <w:rPr>
                <w:sz w:val="20"/>
                <w:szCs w:val="20"/>
                <w:color w:val="auto"/>
              </w:rPr>
            </w:pPr>
            <w:r>
              <w:rPr>
                <w:rFonts w:ascii="Arial" w:cs="Arial" w:eastAsia="Arial" w:hAnsi="Arial"/>
                <w:sz w:val="13"/>
                <w:szCs w:val="13"/>
                <w:color w:val="auto"/>
              </w:rPr>
              <w:t>Million</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551.9</w:t>
            </w:r>
          </w:p>
        </w:tc>
        <w:tc>
          <w:tcPr>
            <w:tcW w:w="480" w:type="dxa"/>
            <w:vAlign w:val="bottom"/>
          </w:tcPr>
          <w:p>
            <w:pPr>
              <w:jc w:val="right"/>
              <w:ind w:right="14"/>
              <w:spacing w:after="0"/>
              <w:rPr>
                <w:sz w:val="20"/>
                <w:szCs w:val="20"/>
                <w:color w:val="auto"/>
              </w:rPr>
            </w:pPr>
            <w:r>
              <w:rPr>
                <w:rFonts w:ascii="Arial" w:cs="Arial" w:eastAsia="Arial" w:hAnsi="Arial"/>
                <w:sz w:val="13"/>
                <w:szCs w:val="13"/>
                <w:color w:val="auto"/>
              </w:rPr>
              <w:t>Million</w:t>
            </w:r>
          </w:p>
        </w:tc>
        <w:tc>
          <w:tcPr>
            <w:tcW w:w="3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131.5</w:t>
            </w:r>
          </w:p>
        </w:tc>
        <w:tc>
          <w:tcPr>
            <w:tcW w:w="480" w:type="dxa"/>
            <w:vAlign w:val="bottom"/>
          </w:tcPr>
          <w:p>
            <w:pPr>
              <w:jc w:val="right"/>
              <w:ind w:right="14"/>
              <w:spacing w:after="0"/>
              <w:rPr>
                <w:sz w:val="20"/>
                <w:szCs w:val="20"/>
                <w:color w:val="auto"/>
              </w:rPr>
            </w:pPr>
            <w:r>
              <w:rPr>
                <w:rFonts w:ascii="Arial" w:cs="Arial" w:eastAsia="Arial" w:hAnsi="Arial"/>
                <w:sz w:val="13"/>
                <w:szCs w:val="13"/>
                <w:color w:val="auto"/>
              </w:rPr>
              <w:t>Million</w:t>
            </w:r>
          </w:p>
        </w:tc>
        <w:tc>
          <w:tcPr>
            <w:tcW w:w="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0.0</w:t>
            </w:r>
          </w:p>
        </w:tc>
        <w:tc>
          <w:tcPr>
            <w:tcW w:w="460" w:type="dxa"/>
            <w:vAlign w:val="bottom"/>
          </w:tcPr>
          <w:p>
            <w:pPr>
              <w:jc w:val="right"/>
              <w:ind w:right="14"/>
              <w:spacing w:after="0"/>
              <w:rPr>
                <w:sz w:val="20"/>
                <w:szCs w:val="20"/>
                <w:color w:val="auto"/>
              </w:rPr>
            </w:pPr>
            <w:r>
              <w:rPr>
                <w:rFonts w:ascii="Arial" w:cs="Arial" w:eastAsia="Arial" w:hAnsi="Arial"/>
                <w:sz w:val="13"/>
                <w:szCs w:val="13"/>
                <w:color w:val="auto"/>
                <w:w w:val="97"/>
              </w:rPr>
              <w:t>Million</w:t>
            </w:r>
          </w:p>
        </w:tc>
        <w:tc>
          <w:tcPr>
            <w:tcW w:w="3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1,010.4 Million</w:t>
            </w:r>
          </w:p>
        </w:tc>
        <w:tc>
          <w:tcPr>
            <w:tcW w:w="0" w:type="dxa"/>
            <w:vAlign w:val="bottom"/>
          </w:tcPr>
          <w:p>
            <w:pPr>
              <w:spacing w:after="0"/>
              <w:rPr>
                <w:sz w:val="1"/>
                <w:szCs w:val="1"/>
                <w:color w:val="auto"/>
              </w:rPr>
            </w:pPr>
          </w:p>
        </w:tc>
      </w:tr>
      <w:tr>
        <w:trPr>
          <w:trHeight w:val="157"/>
        </w:trPr>
        <w:tc>
          <w:tcPr>
            <w:tcW w:w="3040" w:type="dxa"/>
            <w:vAlign w:val="bottom"/>
            <w:gridSpan w:val="3"/>
          </w:tcPr>
          <w:p>
            <w:pPr>
              <w:spacing w:after="0"/>
              <w:rPr>
                <w:sz w:val="20"/>
                <w:szCs w:val="20"/>
                <w:color w:val="auto"/>
              </w:rPr>
            </w:pPr>
            <w:r>
              <w:rPr>
                <w:rFonts w:ascii="Arial" w:cs="Arial" w:eastAsia="Arial" w:hAnsi="Arial"/>
                <w:sz w:val="13"/>
                <w:szCs w:val="13"/>
                <w:color w:val="auto"/>
              </w:rPr>
              <w:t>Net Distributions/Contributions</w:t>
            </w:r>
          </w:p>
        </w:tc>
        <w:tc>
          <w:tcPr>
            <w:tcW w:w="300" w:type="dxa"/>
            <w:vAlign w:val="bottom"/>
          </w:tcPr>
          <w:p>
            <w:pPr>
              <w:spacing w:after="0"/>
              <w:rPr>
                <w:sz w:val="13"/>
                <w:szCs w:val="13"/>
                <w:color w:val="auto"/>
              </w:rPr>
            </w:pPr>
          </w:p>
        </w:tc>
        <w:tc>
          <w:tcPr>
            <w:tcW w:w="1040" w:type="dxa"/>
            <w:vAlign w:val="bottom"/>
            <w:gridSpan w:val="2"/>
          </w:tcPr>
          <w:p>
            <w:pPr>
              <w:jc w:val="right"/>
              <w:ind w:right="254"/>
              <w:spacing w:after="0"/>
              <w:rPr>
                <w:sz w:val="20"/>
                <w:szCs w:val="20"/>
                <w:color w:val="auto"/>
              </w:rPr>
            </w:pPr>
            <w:r>
              <w:rPr>
                <w:rFonts w:ascii="Arial" w:cs="Arial" w:eastAsia="Arial" w:hAnsi="Arial"/>
                <w:sz w:val="13"/>
                <w:szCs w:val="13"/>
                <w:color w:val="auto"/>
              </w:rPr>
              <w:t>225.6%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314"/>
              <w:spacing w:after="0"/>
              <w:rPr>
                <w:sz w:val="20"/>
                <w:szCs w:val="20"/>
                <w:color w:val="auto"/>
              </w:rPr>
            </w:pPr>
            <w:r>
              <w:rPr>
                <w:rFonts w:ascii="Arial" w:cs="Arial" w:eastAsia="Arial" w:hAnsi="Arial"/>
                <w:sz w:val="13"/>
                <w:szCs w:val="13"/>
                <w:color w:val="auto"/>
              </w:rPr>
              <w:t>37.9%</w:t>
            </w:r>
          </w:p>
        </w:tc>
        <w:tc>
          <w:tcPr>
            <w:tcW w:w="340" w:type="dxa"/>
            <w:vAlign w:val="bottom"/>
          </w:tcPr>
          <w:p>
            <w:pPr>
              <w:spacing w:after="0"/>
              <w:rPr>
                <w:sz w:val="13"/>
                <w:szCs w:val="13"/>
                <w:color w:val="auto"/>
              </w:rPr>
            </w:pPr>
          </w:p>
        </w:tc>
        <w:tc>
          <w:tcPr>
            <w:tcW w:w="1000" w:type="dxa"/>
            <w:vAlign w:val="bottom"/>
            <w:gridSpan w:val="2"/>
          </w:tcPr>
          <w:p>
            <w:pPr>
              <w:jc w:val="right"/>
              <w:ind w:right="314"/>
              <w:spacing w:after="0"/>
              <w:rPr>
                <w:sz w:val="20"/>
                <w:szCs w:val="20"/>
                <w:color w:val="auto"/>
              </w:rPr>
            </w:pPr>
            <w:r>
              <w:rPr>
                <w:rFonts w:ascii="Arial" w:cs="Arial" w:eastAsia="Arial" w:hAnsi="Arial"/>
                <w:sz w:val="13"/>
                <w:szCs w:val="13"/>
                <w:color w:val="auto"/>
              </w:rPr>
              <w:t>134.1%</w:t>
            </w:r>
          </w:p>
        </w:tc>
        <w:tc>
          <w:tcPr>
            <w:tcW w:w="300" w:type="dxa"/>
            <w:vAlign w:val="bottom"/>
          </w:tcPr>
          <w:p>
            <w:pPr>
              <w:spacing w:after="0"/>
              <w:rPr>
                <w:sz w:val="13"/>
                <w:szCs w:val="13"/>
                <w:color w:val="auto"/>
              </w:rPr>
            </w:pPr>
          </w:p>
        </w:tc>
        <w:tc>
          <w:tcPr>
            <w:tcW w:w="1060" w:type="dxa"/>
            <w:vAlign w:val="bottom"/>
            <w:gridSpan w:val="2"/>
          </w:tcPr>
          <w:p>
            <w:pPr>
              <w:jc w:val="right"/>
              <w:ind w:right="314"/>
              <w:spacing w:after="0"/>
              <w:rPr>
                <w:sz w:val="20"/>
                <w:szCs w:val="20"/>
                <w:color w:val="auto"/>
              </w:rPr>
            </w:pPr>
            <w:r>
              <w:rPr>
                <w:rFonts w:ascii="Arial" w:cs="Arial" w:eastAsia="Arial" w:hAnsi="Arial"/>
                <w:sz w:val="13"/>
                <w:szCs w:val="13"/>
                <w:color w:val="auto"/>
              </w:rPr>
              <w:t>31.9%</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N/A</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276"/>
        </w:trPr>
        <w:tc>
          <w:tcPr>
            <w:tcW w:w="3040" w:type="dxa"/>
            <w:vAlign w:val="bottom"/>
            <w:gridSpan w:val="3"/>
          </w:tcPr>
          <w:p>
            <w:pPr>
              <w:spacing w:after="0"/>
              <w:rPr>
                <w:sz w:val="20"/>
                <w:szCs w:val="20"/>
                <w:color w:val="auto"/>
              </w:rPr>
            </w:pPr>
            <w:r>
              <w:rPr>
                <w:rFonts w:ascii="Arial" w:cs="Arial" w:eastAsia="Arial" w:hAnsi="Arial"/>
                <w:sz w:val="13"/>
                <w:szCs w:val="13"/>
                <w:color w:val="auto"/>
              </w:rPr>
              <w:t xml:space="preserve">Unfunded Commitment </w:t>
            </w:r>
            <w:r>
              <w:rPr>
                <w:rFonts w:ascii="Arial" w:cs="Arial" w:eastAsia="Arial" w:hAnsi="Arial"/>
                <w:sz w:val="17"/>
                <w:szCs w:val="17"/>
                <w:color w:val="auto"/>
                <w:vertAlign w:val="superscript"/>
              </w:rPr>
              <w:t>4</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9"/>
              </w:rPr>
              <w:t>0.0 Million</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5"/>
              </w:rPr>
              <w:t>0.0 Million</w:t>
            </w:r>
          </w:p>
        </w:tc>
        <w:tc>
          <w:tcPr>
            <w:tcW w:w="48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38.5</w:t>
            </w:r>
          </w:p>
        </w:tc>
        <w:tc>
          <w:tcPr>
            <w:tcW w:w="480" w:type="dxa"/>
            <w:vAlign w:val="bottom"/>
          </w:tcPr>
          <w:p>
            <w:pPr>
              <w:jc w:val="right"/>
              <w:ind w:right="14"/>
              <w:spacing w:after="0"/>
              <w:rPr>
                <w:sz w:val="20"/>
                <w:szCs w:val="20"/>
                <w:color w:val="auto"/>
              </w:rPr>
            </w:pPr>
            <w:r>
              <w:rPr>
                <w:rFonts w:ascii="Arial" w:cs="Arial" w:eastAsia="Arial" w:hAnsi="Arial"/>
                <w:sz w:val="13"/>
                <w:szCs w:val="13"/>
                <w:color w:val="auto"/>
              </w:rPr>
              <w:t>Million</w:t>
            </w:r>
          </w:p>
        </w:tc>
        <w:tc>
          <w:tcPr>
            <w:tcW w:w="3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117.3</w:t>
            </w:r>
          </w:p>
        </w:tc>
        <w:tc>
          <w:tcPr>
            <w:tcW w:w="480" w:type="dxa"/>
            <w:vAlign w:val="bottom"/>
          </w:tcPr>
          <w:p>
            <w:pPr>
              <w:jc w:val="right"/>
              <w:ind w:right="14"/>
              <w:spacing w:after="0"/>
              <w:rPr>
                <w:sz w:val="20"/>
                <w:szCs w:val="20"/>
                <w:color w:val="auto"/>
              </w:rPr>
            </w:pPr>
            <w:r>
              <w:rPr>
                <w:rFonts w:ascii="Arial" w:cs="Arial" w:eastAsia="Arial" w:hAnsi="Arial"/>
                <w:sz w:val="13"/>
                <w:szCs w:val="13"/>
                <w:color w:val="auto"/>
              </w:rPr>
              <w:t>Million</w:t>
            </w:r>
          </w:p>
        </w:tc>
        <w:tc>
          <w:tcPr>
            <w:tcW w:w="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474.2</w:t>
            </w:r>
          </w:p>
        </w:tc>
        <w:tc>
          <w:tcPr>
            <w:tcW w:w="460" w:type="dxa"/>
            <w:vAlign w:val="bottom"/>
          </w:tcPr>
          <w:p>
            <w:pPr>
              <w:jc w:val="right"/>
              <w:ind w:right="14"/>
              <w:spacing w:after="0"/>
              <w:rPr>
                <w:sz w:val="20"/>
                <w:szCs w:val="20"/>
                <w:color w:val="auto"/>
              </w:rPr>
            </w:pPr>
            <w:r>
              <w:rPr>
                <w:rFonts w:ascii="Arial" w:cs="Arial" w:eastAsia="Arial" w:hAnsi="Arial"/>
                <w:sz w:val="13"/>
                <w:szCs w:val="13"/>
                <w:color w:val="auto"/>
                <w:w w:val="97"/>
              </w:rPr>
              <w:t>Million</w:t>
            </w:r>
          </w:p>
        </w:tc>
        <w:tc>
          <w:tcPr>
            <w:tcW w:w="3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630.0 Million</w:t>
            </w:r>
          </w:p>
        </w:tc>
        <w:tc>
          <w:tcPr>
            <w:tcW w:w="0" w:type="dxa"/>
            <w:vAlign w:val="bottom"/>
          </w:tcPr>
          <w:p>
            <w:pPr>
              <w:spacing w:after="0"/>
              <w:rPr>
                <w:sz w:val="1"/>
                <w:szCs w:val="1"/>
                <w:color w:val="auto"/>
              </w:rPr>
            </w:pPr>
          </w:p>
        </w:tc>
      </w:tr>
      <w:tr>
        <w:trPr>
          <w:trHeight w:val="223"/>
        </w:trPr>
        <w:tc>
          <w:tcPr>
            <w:tcW w:w="3040" w:type="dxa"/>
            <w:vAlign w:val="bottom"/>
            <w:gridSpan w:val="3"/>
          </w:tcPr>
          <w:p>
            <w:pPr>
              <w:spacing w:after="0"/>
              <w:rPr>
                <w:sz w:val="20"/>
                <w:szCs w:val="20"/>
                <w:color w:val="auto"/>
              </w:rPr>
            </w:pPr>
            <w:r>
              <w:rPr>
                <w:rFonts w:ascii="Arial" w:cs="Arial" w:eastAsia="Arial" w:hAnsi="Arial"/>
                <w:sz w:val="13"/>
                <w:szCs w:val="13"/>
                <w:color w:val="auto"/>
              </w:rPr>
              <w:t xml:space="preserve">Acquisition Dry Powder </w:t>
            </w:r>
            <w:r>
              <w:rPr>
                <w:rFonts w:ascii="Arial" w:cs="Arial" w:eastAsia="Arial" w:hAnsi="Arial"/>
                <w:sz w:val="17"/>
                <w:szCs w:val="17"/>
                <w:color w:val="auto"/>
                <w:vertAlign w:val="superscript"/>
              </w:rPr>
              <w:t>5</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N/A</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N/A</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N/A</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N/A</w:t>
            </w:r>
          </w:p>
        </w:tc>
        <w:tc>
          <w:tcPr>
            <w:tcW w:w="4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419.0</w:t>
            </w:r>
          </w:p>
        </w:tc>
        <w:tc>
          <w:tcPr>
            <w:tcW w:w="460" w:type="dxa"/>
            <w:vAlign w:val="bottom"/>
          </w:tcPr>
          <w:p>
            <w:pPr>
              <w:jc w:val="right"/>
              <w:ind w:right="14"/>
              <w:spacing w:after="0"/>
              <w:rPr>
                <w:sz w:val="20"/>
                <w:szCs w:val="20"/>
                <w:color w:val="auto"/>
              </w:rPr>
            </w:pPr>
            <w:r>
              <w:rPr>
                <w:rFonts w:ascii="Arial" w:cs="Arial" w:eastAsia="Arial" w:hAnsi="Arial"/>
                <w:sz w:val="13"/>
                <w:szCs w:val="13"/>
                <w:color w:val="auto"/>
                <w:w w:val="97"/>
              </w:rPr>
              <w:t>Million</w:t>
            </w:r>
          </w:p>
        </w:tc>
        <w:tc>
          <w:tcPr>
            <w:tcW w:w="3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419.0 Million</w:t>
            </w:r>
          </w:p>
        </w:tc>
        <w:tc>
          <w:tcPr>
            <w:tcW w:w="0" w:type="dxa"/>
            <w:vAlign w:val="bottom"/>
          </w:tcPr>
          <w:p>
            <w:pPr>
              <w:spacing w:after="0"/>
              <w:rPr>
                <w:sz w:val="1"/>
                <w:szCs w:val="1"/>
                <w:color w:val="auto"/>
              </w:rPr>
            </w:pPr>
          </w:p>
        </w:tc>
      </w:tr>
      <w:tr>
        <w:trPr>
          <w:trHeight w:val="157"/>
        </w:trPr>
        <w:tc>
          <w:tcPr>
            <w:tcW w:w="3040" w:type="dxa"/>
            <w:vAlign w:val="bottom"/>
            <w:gridSpan w:val="3"/>
          </w:tcPr>
          <w:p>
            <w:pPr>
              <w:spacing w:after="0"/>
              <w:rPr>
                <w:sz w:val="20"/>
                <w:szCs w:val="20"/>
                <w:color w:val="auto"/>
              </w:rPr>
            </w:pPr>
            <w:r>
              <w:rPr>
                <w:rFonts w:ascii="Arial" w:cs="Arial" w:eastAsia="Arial" w:hAnsi="Arial"/>
                <w:sz w:val="13"/>
                <w:szCs w:val="13"/>
                <w:color w:val="auto"/>
              </w:rPr>
              <w:t>Investment Period Closes</w:t>
            </w:r>
          </w:p>
        </w:tc>
        <w:tc>
          <w:tcPr>
            <w:tcW w:w="3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Closed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Closed</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Closed</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Closed</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Aug-2019</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spacing w:after="0"/>
              <w:rPr>
                <w:sz w:val="20"/>
                <w:szCs w:val="20"/>
                <w:color w:val="auto"/>
              </w:rPr>
            </w:pPr>
            <w:r>
              <w:rPr>
                <w:rFonts w:ascii="Arial" w:cs="Arial" w:eastAsia="Arial" w:hAnsi="Arial"/>
                <w:sz w:val="13"/>
                <w:szCs w:val="13"/>
                <w:color w:val="auto"/>
              </w:rPr>
              <w:t>Currently in a Promote Position? (Yes/No)</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Yes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No</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No</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No</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No</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960" w:type="dxa"/>
            <w:vAlign w:val="bottom"/>
            <w:gridSpan w:val="5"/>
          </w:tcPr>
          <w:p>
            <w:pPr>
              <w:spacing w:after="0"/>
              <w:rPr>
                <w:sz w:val="20"/>
                <w:szCs w:val="20"/>
                <w:color w:val="auto"/>
              </w:rPr>
            </w:pPr>
            <w:r>
              <w:rPr>
                <w:rFonts w:ascii="Arial" w:cs="Arial" w:eastAsia="Arial" w:hAnsi="Arial"/>
                <w:sz w:val="13"/>
                <w:szCs w:val="13"/>
                <w:b w:val="1"/>
                <w:bCs w:val="1"/>
                <w:color w:val="auto"/>
              </w:rPr>
              <w:t>II. FEES &amp; PRIORITY DISTRIBUTIONS EARNED BY ACADIA</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40" w:type="dxa"/>
            <w:vAlign w:val="bottom"/>
            <w:gridSpan w:val="3"/>
          </w:tcPr>
          <w:p>
            <w:pPr>
              <w:spacing w:after="0"/>
              <w:rPr>
                <w:sz w:val="20"/>
                <w:szCs w:val="20"/>
                <w:color w:val="auto"/>
              </w:rPr>
            </w:pPr>
            <w:r>
              <w:rPr>
                <w:rFonts w:ascii="Arial" w:cs="Arial" w:eastAsia="Arial" w:hAnsi="Arial"/>
                <w:sz w:val="13"/>
                <w:szCs w:val="13"/>
                <w:color w:val="auto"/>
              </w:rPr>
              <w:t>Type:</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Applicable to</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3040" w:type="dxa"/>
            <w:vAlign w:val="bottom"/>
            <w:gridSpan w:val="3"/>
            <w:vMerge w:val="restart"/>
          </w:tcPr>
          <w:p>
            <w:pPr>
              <w:spacing w:after="0"/>
              <w:rPr>
                <w:sz w:val="20"/>
                <w:szCs w:val="20"/>
                <w:color w:val="auto"/>
              </w:rPr>
            </w:pPr>
            <w:r>
              <w:rPr>
                <w:rFonts w:ascii="Arial" w:cs="Arial" w:eastAsia="Arial" w:hAnsi="Arial"/>
                <w:sz w:val="13"/>
                <w:szCs w:val="13"/>
                <w:color w:val="auto"/>
              </w:rPr>
              <w:t xml:space="preserve">Asset Management </w:t>
            </w:r>
            <w:r>
              <w:rPr>
                <w:rFonts w:ascii="Arial" w:cs="Arial" w:eastAsia="Arial" w:hAnsi="Arial"/>
                <w:sz w:val="17"/>
                <w:szCs w:val="17"/>
                <w:color w:val="auto"/>
                <w:vertAlign w:val="superscript"/>
              </w:rPr>
              <w:t>6</w:t>
            </w: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040" w:type="dxa"/>
            <w:vAlign w:val="bottom"/>
            <w:gridSpan w:val="3"/>
            <w:vMerge w:val="continue"/>
          </w:tcPr>
          <w:p>
            <w:pPr>
              <w:spacing w:after="0"/>
              <w:rPr>
                <w:sz w:val="20"/>
                <w:szCs w:val="20"/>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3"/>
                <w:szCs w:val="13"/>
                <w:color w:val="auto"/>
                <w:w w:val="99"/>
              </w:rPr>
              <w:t>Fund I, II &amp; III</w:t>
            </w:r>
          </w:p>
        </w:tc>
        <w:tc>
          <w:tcPr>
            <w:tcW w:w="1620" w:type="dxa"/>
            <w:vAlign w:val="bottom"/>
            <w:gridSpan w:val="4"/>
          </w:tcPr>
          <w:p>
            <w:pPr>
              <w:spacing w:after="0"/>
              <w:rPr>
                <w:sz w:val="20"/>
                <w:szCs w:val="20"/>
                <w:color w:val="auto"/>
              </w:rPr>
            </w:pPr>
            <w:r>
              <w:rPr>
                <w:rFonts w:ascii="Arial" w:cs="Arial" w:eastAsia="Arial" w:hAnsi="Arial"/>
                <w:sz w:val="13"/>
                <w:szCs w:val="13"/>
                <w:color w:val="auto"/>
              </w:rPr>
              <w:t>1.5% of Implied Capital</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gridSpan w:val="3"/>
          </w:tcPr>
          <w:p>
            <w:pPr>
              <w:spacing w:after="0"/>
              <w:rPr>
                <w:sz w:val="20"/>
                <w:szCs w:val="20"/>
                <w:color w:val="auto"/>
              </w:rPr>
            </w:pPr>
            <w:r>
              <w:rPr>
                <w:rFonts w:ascii="Arial" w:cs="Arial" w:eastAsia="Arial" w:hAnsi="Arial"/>
                <w:sz w:val="13"/>
                <w:szCs w:val="13"/>
                <w:color w:val="auto"/>
              </w:rPr>
              <w:t xml:space="preserve">Asset Management </w:t>
            </w:r>
            <w:r>
              <w:rPr>
                <w:rFonts w:ascii="Arial" w:cs="Arial" w:eastAsia="Arial" w:hAnsi="Arial"/>
                <w:sz w:val="17"/>
                <w:szCs w:val="17"/>
                <w:color w:val="auto"/>
                <w:vertAlign w:val="superscript"/>
              </w:rPr>
              <w:t>6</w:t>
            </w:r>
          </w:p>
        </w:tc>
        <w:tc>
          <w:tcPr>
            <w:tcW w:w="300" w:type="dxa"/>
            <w:vAlign w:val="bottom"/>
          </w:tcPr>
          <w:p>
            <w:pPr>
              <w:spacing w:after="0"/>
              <w:rPr>
                <w:sz w:val="19"/>
                <w:szCs w:val="19"/>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3"/>
                <w:szCs w:val="13"/>
                <w:color w:val="auto"/>
                <w:w w:val="99"/>
              </w:rPr>
              <w:t>Fund IV &amp; V</w:t>
            </w:r>
          </w:p>
        </w:tc>
        <w:tc>
          <w:tcPr>
            <w:tcW w:w="6660" w:type="dxa"/>
            <w:vAlign w:val="bottom"/>
            <w:gridSpan w:val="14"/>
          </w:tcPr>
          <w:p>
            <w:pPr>
              <w:spacing w:after="0"/>
              <w:rPr>
                <w:sz w:val="20"/>
                <w:szCs w:val="20"/>
                <w:color w:val="auto"/>
              </w:rPr>
            </w:pPr>
            <w:r>
              <w:rPr>
                <w:rFonts w:ascii="Arial" w:cs="Arial" w:eastAsia="Arial" w:hAnsi="Arial"/>
                <w:sz w:val="13"/>
                <w:szCs w:val="13"/>
                <w:color w:val="auto"/>
              </w:rPr>
              <w:t>1.5% of Implied Capital during the investment period, 1.25% of Implied Capital post-investment period</w:t>
            </w:r>
          </w:p>
        </w:tc>
        <w:tc>
          <w:tcPr>
            <w:tcW w:w="0" w:type="dxa"/>
            <w:vAlign w:val="bottom"/>
          </w:tcPr>
          <w:p>
            <w:pPr>
              <w:spacing w:after="0"/>
              <w:rPr>
                <w:sz w:val="1"/>
                <w:szCs w:val="1"/>
                <w:color w:val="auto"/>
              </w:rPr>
            </w:pPr>
          </w:p>
        </w:tc>
      </w:tr>
      <w:tr>
        <w:trPr>
          <w:trHeight w:val="157"/>
        </w:trPr>
        <w:tc>
          <w:tcPr>
            <w:tcW w:w="3040" w:type="dxa"/>
            <w:vAlign w:val="bottom"/>
            <w:gridSpan w:val="3"/>
          </w:tcPr>
          <w:p>
            <w:pPr>
              <w:spacing w:after="0"/>
              <w:rPr>
                <w:sz w:val="20"/>
                <w:szCs w:val="20"/>
                <w:color w:val="auto"/>
              </w:rPr>
            </w:pPr>
            <w:r>
              <w:rPr>
                <w:rFonts w:ascii="Arial" w:cs="Arial" w:eastAsia="Arial" w:hAnsi="Arial"/>
                <w:sz w:val="13"/>
                <w:szCs w:val="13"/>
                <w:color w:val="auto"/>
              </w:rPr>
              <w:t>Property Management</w:t>
            </w:r>
          </w:p>
        </w:tc>
        <w:tc>
          <w:tcPr>
            <w:tcW w:w="300" w:type="dxa"/>
            <w:vAlign w:val="bottom"/>
          </w:tcPr>
          <w:p>
            <w:pPr>
              <w:spacing w:after="0"/>
              <w:rPr>
                <w:sz w:val="13"/>
                <w:szCs w:val="13"/>
                <w:color w:val="auto"/>
              </w:rPr>
            </w:pPr>
          </w:p>
        </w:tc>
        <w:tc>
          <w:tcPr>
            <w:tcW w:w="620" w:type="dxa"/>
            <w:vAlign w:val="bottom"/>
          </w:tcPr>
          <w:p>
            <w:pPr>
              <w:jc w:val="center"/>
              <w:ind w:left="54"/>
              <w:spacing w:after="0"/>
              <w:rPr>
                <w:sz w:val="20"/>
                <w:szCs w:val="20"/>
                <w:color w:val="auto"/>
              </w:rPr>
            </w:pPr>
            <w:r>
              <w:rPr>
                <w:rFonts w:ascii="Arial" w:cs="Arial" w:eastAsia="Arial" w:hAnsi="Arial"/>
                <w:sz w:val="13"/>
                <w:szCs w:val="13"/>
                <w:color w:val="auto"/>
              </w:rPr>
              <w:t>All funds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5"/>
          </w:tcPr>
          <w:p>
            <w:pPr>
              <w:spacing w:after="0"/>
              <w:rPr>
                <w:sz w:val="20"/>
                <w:szCs w:val="20"/>
                <w:color w:val="auto"/>
              </w:rPr>
            </w:pPr>
            <w:r>
              <w:rPr>
                <w:rFonts w:ascii="Arial" w:cs="Arial" w:eastAsia="Arial" w:hAnsi="Arial"/>
                <w:sz w:val="13"/>
                <w:szCs w:val="13"/>
                <w:color w:val="auto"/>
              </w:rPr>
              <w:t>4.0% of gross property revenues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spacing w:after="0"/>
              <w:rPr>
                <w:sz w:val="20"/>
                <w:szCs w:val="20"/>
                <w:color w:val="auto"/>
              </w:rPr>
            </w:pPr>
            <w:r>
              <w:rPr>
                <w:rFonts w:ascii="Arial" w:cs="Arial" w:eastAsia="Arial" w:hAnsi="Arial"/>
                <w:sz w:val="13"/>
                <w:szCs w:val="13"/>
                <w:color w:val="auto"/>
              </w:rPr>
              <w:t>Leasing</w:t>
            </w:r>
          </w:p>
        </w:tc>
        <w:tc>
          <w:tcPr>
            <w:tcW w:w="300" w:type="dxa"/>
            <w:vAlign w:val="bottom"/>
          </w:tcPr>
          <w:p>
            <w:pPr>
              <w:spacing w:after="0"/>
              <w:rPr>
                <w:sz w:val="19"/>
                <w:szCs w:val="19"/>
                <w:color w:val="auto"/>
              </w:rPr>
            </w:pPr>
          </w:p>
        </w:tc>
        <w:tc>
          <w:tcPr>
            <w:tcW w:w="620" w:type="dxa"/>
            <w:vAlign w:val="bottom"/>
          </w:tcPr>
          <w:p>
            <w:pPr>
              <w:jc w:val="center"/>
              <w:ind w:left="54"/>
              <w:spacing w:after="0"/>
              <w:rPr>
                <w:sz w:val="20"/>
                <w:szCs w:val="20"/>
                <w:color w:val="auto"/>
              </w:rPr>
            </w:pPr>
            <w:r>
              <w:rPr>
                <w:rFonts w:ascii="Arial" w:cs="Arial" w:eastAsia="Arial" w:hAnsi="Arial"/>
                <w:sz w:val="13"/>
                <w:szCs w:val="13"/>
                <w:color w:val="auto"/>
              </w:rPr>
              <w:t>All funds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5"/>
          </w:tcPr>
          <w:p>
            <w:pPr>
              <w:spacing w:after="0"/>
              <w:rPr>
                <w:sz w:val="20"/>
                <w:szCs w:val="20"/>
                <w:color w:val="auto"/>
              </w:rPr>
            </w:pPr>
            <w:r>
              <w:rPr>
                <w:rFonts w:ascii="Arial" w:cs="Arial" w:eastAsia="Arial" w:hAnsi="Arial"/>
                <w:sz w:val="13"/>
                <w:szCs w:val="13"/>
                <w:color w:val="auto"/>
              </w:rPr>
              <w:t>Market-rate leasing commissions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spacing w:after="0"/>
              <w:rPr>
                <w:sz w:val="20"/>
                <w:szCs w:val="20"/>
                <w:color w:val="auto"/>
              </w:rPr>
            </w:pPr>
            <w:r>
              <w:rPr>
                <w:rFonts w:ascii="Arial" w:cs="Arial" w:eastAsia="Arial" w:hAnsi="Arial"/>
                <w:sz w:val="13"/>
                <w:szCs w:val="13"/>
                <w:color w:val="auto"/>
              </w:rPr>
              <w:t>Construction/Project Management</w:t>
            </w:r>
          </w:p>
        </w:tc>
        <w:tc>
          <w:tcPr>
            <w:tcW w:w="300" w:type="dxa"/>
            <w:vAlign w:val="bottom"/>
          </w:tcPr>
          <w:p>
            <w:pPr>
              <w:spacing w:after="0"/>
              <w:rPr>
                <w:sz w:val="19"/>
                <w:szCs w:val="19"/>
                <w:color w:val="auto"/>
              </w:rPr>
            </w:pPr>
          </w:p>
        </w:tc>
        <w:tc>
          <w:tcPr>
            <w:tcW w:w="620" w:type="dxa"/>
            <w:vAlign w:val="bottom"/>
          </w:tcPr>
          <w:p>
            <w:pPr>
              <w:jc w:val="center"/>
              <w:ind w:left="54"/>
              <w:spacing w:after="0"/>
              <w:rPr>
                <w:sz w:val="20"/>
                <w:szCs w:val="20"/>
                <w:color w:val="auto"/>
              </w:rPr>
            </w:pPr>
            <w:r>
              <w:rPr>
                <w:rFonts w:ascii="Arial" w:cs="Arial" w:eastAsia="Arial" w:hAnsi="Arial"/>
                <w:sz w:val="13"/>
                <w:szCs w:val="13"/>
                <w:color w:val="auto"/>
              </w:rPr>
              <w:t>All funds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3"/>
                <w:szCs w:val="13"/>
                <w:color w:val="auto"/>
              </w:rPr>
              <w:t>Market-rate fees</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spacing w:after="0"/>
              <w:rPr>
                <w:sz w:val="20"/>
                <w:szCs w:val="20"/>
                <w:color w:val="auto"/>
              </w:rPr>
            </w:pPr>
            <w:r>
              <w:rPr>
                <w:rFonts w:ascii="Arial" w:cs="Arial" w:eastAsia="Arial" w:hAnsi="Arial"/>
                <w:sz w:val="13"/>
                <w:szCs w:val="13"/>
                <w:color w:val="auto"/>
              </w:rPr>
              <w:t>Development</w:t>
            </w:r>
          </w:p>
        </w:tc>
        <w:tc>
          <w:tcPr>
            <w:tcW w:w="1460" w:type="dxa"/>
            <w:vAlign w:val="bottom"/>
            <w:gridSpan w:val="4"/>
          </w:tcPr>
          <w:p>
            <w:pPr>
              <w:jc w:val="center"/>
              <w:ind w:right="120"/>
              <w:spacing w:after="0"/>
              <w:rPr>
                <w:sz w:val="20"/>
                <w:szCs w:val="20"/>
                <w:color w:val="auto"/>
              </w:rPr>
            </w:pPr>
            <w:r>
              <w:rPr>
                <w:rFonts w:ascii="Arial" w:cs="Arial" w:eastAsia="Arial" w:hAnsi="Arial"/>
                <w:sz w:val="13"/>
                <w:szCs w:val="13"/>
                <w:color w:val="auto"/>
              </w:rPr>
              <w:t>Fund III, IV &amp; V</w:t>
            </w:r>
          </w:p>
        </w:tc>
        <w:tc>
          <w:tcPr>
            <w:tcW w:w="1620" w:type="dxa"/>
            <w:vAlign w:val="bottom"/>
            <w:gridSpan w:val="4"/>
          </w:tcPr>
          <w:p>
            <w:pPr>
              <w:spacing w:after="0"/>
              <w:rPr>
                <w:sz w:val="20"/>
                <w:szCs w:val="20"/>
                <w:color w:val="auto"/>
              </w:rPr>
            </w:pPr>
            <w:r>
              <w:rPr>
                <w:rFonts w:ascii="Arial" w:cs="Arial" w:eastAsia="Arial" w:hAnsi="Arial"/>
                <w:sz w:val="13"/>
                <w:szCs w:val="13"/>
                <w:color w:val="auto"/>
              </w:rPr>
              <w:t>3.0% of total project costs</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p>
    <w:p>
      <w:pPr>
        <w:spacing w:after="0" w:line="192" w:lineRule="exact"/>
        <w:rPr>
          <w:sz w:val="20"/>
          <w:szCs w:val="20"/>
          <w:color w:val="auto"/>
        </w:rPr>
      </w:pPr>
    </w:p>
    <w:p>
      <w:pPr>
        <w:ind w:left="540" w:right="340" w:hanging="270"/>
        <w:spacing w:after="0" w:line="228" w:lineRule="auto"/>
        <w:tabs>
          <w:tab w:leader="none" w:pos="5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Acadia's "Promoted Share" reflects Acadia's share of fund profits once all partners (including Acadia) have received a return of their cumulative contributions plus their cumulative preferred return. Acadia's Promoted Share equals a 20% promote plus Acadia's pro rata share of the remaining 80%.</w:t>
      </w:r>
    </w:p>
    <w:p>
      <w:pPr>
        <w:ind w:left="540" w:hanging="270"/>
        <w:spacing w:after="0" w:line="228" w:lineRule="auto"/>
        <w:tabs>
          <w:tab w:leader="none" w:pos="5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With regard to Fund II, the additional contributions over original Fund Size reflects a prior-period distribution that was re-contributed to the Fund during 2016 to fund the on-going redevelopment of existing Fund II investments.</w:t>
      </w:r>
    </w:p>
    <w:p>
      <w:pPr>
        <w:ind w:left="540" w:hanging="270"/>
        <w:spacing w:after="0" w:line="228" w:lineRule="auto"/>
        <w:tabs>
          <w:tab w:leader="none" w:pos="5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Net of fees and promote.</w:t>
      </w:r>
    </w:p>
    <w:p>
      <w:pPr>
        <w:ind w:left="540" w:right="60" w:hanging="270"/>
        <w:spacing w:after="0" w:line="228" w:lineRule="auto"/>
        <w:tabs>
          <w:tab w:leader="none" w:pos="5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Unfunded Commitments are set aside to complete leasing and development at existing fund investments and to make new Fund V investments. The Unfunded Commitment will not equal Fund Size less Cumulative Contributions in those instances where certain fund distributions have been marked as recallable or where the fund has released commitments due to, among other reasons, the closing of the fund's investment period or accelerated asset sales.</w:t>
      </w:r>
    </w:p>
    <w:p>
      <w:pPr>
        <w:ind w:left="540" w:hanging="270"/>
        <w:spacing w:after="0" w:line="228" w:lineRule="auto"/>
        <w:tabs>
          <w:tab w:leader="none" w:pos="5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Unfunded Commitments available to deploy into new unidentified investments.</w:t>
      </w:r>
    </w:p>
    <w:p>
      <w:pPr>
        <w:ind w:left="540" w:hanging="270"/>
        <w:spacing w:after="0"/>
        <w:tabs>
          <w:tab w:leader="none" w:pos="5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Implied Capital is Fund Size less capital attributed to sold investments or released. Post-investment period, Fund IV Implied Capital also excludes $50.0 million of general reserves.</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32</w:t>
            </w:r>
          </w:p>
        </w:tc>
      </w:tr>
    </w:tbl>
    <w:p>
      <w:pPr>
        <w:sectPr>
          <w:pgSz w:w="11900" w:h="16838" w:orient="portrait"/>
          <w:cols w:equalWidth="0" w:num="1">
            <w:col w:w="11360"/>
          </w:cols>
          <w:pgMar w:left="220" w:top="617" w:right="319" w:bottom="1440" w:gutter="0" w:footer="0" w:header="0"/>
        </w:sectPr>
      </w:pPr>
    </w:p>
    <w:bookmarkStart w:id="44" w:name="page45"/>
    <w:bookmarkEnd w:id="44"/>
    <w:p>
      <w:pPr>
        <w:ind w:left="200"/>
        <w:spacing w:after="0"/>
        <w:rPr>
          <w:sz w:val="20"/>
          <w:szCs w:val="20"/>
          <w:color w:val="auto"/>
        </w:rPr>
      </w:pPr>
      <w:r>
        <w:rPr>
          <w:rFonts w:ascii="Arial" w:cs="Arial" w:eastAsia="Arial" w:hAnsi="Arial"/>
          <w:sz w:val="20"/>
          <w:szCs w:val="20"/>
          <w:b w:val="1"/>
          <w:bCs w:val="1"/>
          <w:color w:val="auto"/>
        </w:rPr>
        <w:t xml:space="preserve">Fund Retail Properties - Detail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14605</wp:posOffset>
            </wp:positionV>
            <wp:extent cx="684911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49110" cy="6985"/>
                    </a:xfrm>
                    <a:prstGeom prst="rect">
                      <a:avLst/>
                    </a:prstGeom>
                    <a:noFill/>
                  </pic:spPr>
                </pic:pic>
              </a:graphicData>
            </a:graphic>
          </wp:anchor>
        </w:drawing>
      </w:r>
    </w:p>
    <w:p>
      <w:pPr>
        <w:spacing w:after="0" w:line="99" w:lineRule="exact"/>
        <w:rPr>
          <w:sz w:val="20"/>
          <w:szCs w:val="20"/>
          <w:color w:val="auto"/>
        </w:rPr>
      </w:pPr>
    </w:p>
    <w:tbl>
      <w:tblPr>
        <w:tblLayout w:type="fixed"/>
        <w:tblInd w:w="20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Fund</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6"/>
              </w:rPr>
              <w:t>Leased</w:t>
            </w:r>
          </w:p>
        </w:tc>
        <w:tc>
          <w:tcPr>
            <w:tcW w:w="60" w:type="dxa"/>
            <w:vAlign w:val="bottom"/>
          </w:tcPr>
          <w:p>
            <w:pPr>
              <w:spacing w:after="0"/>
              <w:rPr>
                <w:sz w:val="10"/>
                <w:szCs w:val="1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5"/>
              </w:rPr>
              <w:t>Annualized</w:t>
            </w:r>
          </w:p>
        </w:tc>
        <w:tc>
          <w:tcPr>
            <w:tcW w:w="100" w:type="dxa"/>
            <w:vAlign w:val="bottom"/>
          </w:tcPr>
          <w:p>
            <w:pPr>
              <w:spacing w:after="0"/>
              <w:rPr>
                <w:sz w:val="10"/>
                <w:szCs w:val="10"/>
                <w:color w:val="auto"/>
              </w:rPr>
            </w:pPr>
          </w:p>
        </w:tc>
        <w:tc>
          <w:tcPr>
            <w:tcW w:w="640" w:type="dxa"/>
            <w:vAlign w:val="bottom"/>
          </w:tcPr>
          <w:p>
            <w:pPr>
              <w:jc w:val="center"/>
              <w:ind w:right="76"/>
              <w:spacing w:after="0"/>
              <w:rPr>
                <w:sz w:val="20"/>
                <w:szCs w:val="20"/>
                <w:color w:val="auto"/>
              </w:rPr>
            </w:pPr>
            <w:r>
              <w:rPr>
                <w:rFonts w:ascii="Arial" w:cs="Arial" w:eastAsia="Arial" w:hAnsi="Arial"/>
                <w:sz w:val="9"/>
                <w:szCs w:val="9"/>
                <w:b w:val="1"/>
                <w:bCs w:val="1"/>
                <w:color w:val="auto"/>
                <w:w w:val="99"/>
              </w:rPr>
              <w:t>Annualized</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rPr>
              <w:t>Year</w:t>
            </w:r>
          </w:p>
        </w:tc>
        <w:tc>
          <w:tcPr>
            <w:tcW w:w="6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8"/>
              </w:rPr>
              <w:t>Ownership</w:t>
            </w: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9"/>
                <w:szCs w:val="9"/>
                <w:b w:val="1"/>
                <w:bCs w:val="1"/>
                <w:color w:val="auto"/>
              </w:rPr>
              <w:t>Gross Leasable Area</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9"/>
                <w:szCs w:val="9"/>
                <w:b w:val="1"/>
                <w:bCs w:val="1"/>
                <w:color w:val="auto"/>
              </w:rPr>
              <w:t>In Place Occupancy</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4"/>
              </w:rPr>
              <w:t>Occupancy</w:t>
            </w:r>
          </w:p>
        </w:tc>
        <w:tc>
          <w:tcPr>
            <w:tcW w:w="6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5"/>
              </w:rPr>
              <w:t>Base Rent</w:t>
            </w:r>
          </w:p>
        </w:tc>
        <w:tc>
          <w:tcPr>
            <w:tcW w:w="100" w:type="dxa"/>
            <w:vAlign w:val="bottom"/>
          </w:tcPr>
          <w:p>
            <w:pPr>
              <w:spacing w:after="0"/>
              <w:rPr>
                <w:sz w:val="19"/>
                <w:szCs w:val="19"/>
                <w:color w:val="auto"/>
              </w:rPr>
            </w:pPr>
          </w:p>
        </w:tc>
        <w:tc>
          <w:tcPr>
            <w:tcW w:w="640" w:type="dxa"/>
            <w:vAlign w:val="bottom"/>
          </w:tcPr>
          <w:p>
            <w:pPr>
              <w:jc w:val="center"/>
              <w:ind w:right="76"/>
              <w:spacing w:after="0"/>
              <w:rPr>
                <w:sz w:val="20"/>
                <w:szCs w:val="20"/>
                <w:color w:val="auto"/>
              </w:rPr>
            </w:pPr>
            <w:r>
              <w:rPr>
                <w:rFonts w:ascii="Arial" w:cs="Arial" w:eastAsia="Arial" w:hAnsi="Arial"/>
                <w:sz w:val="9"/>
                <w:szCs w:val="9"/>
                <w:b w:val="1"/>
                <w:bCs w:val="1"/>
                <w:color w:val="auto"/>
                <w:w w:val="99"/>
              </w:rPr>
              <w:t>Base Rent</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9"/>
                <w:szCs w:val="9"/>
                <w:b w:val="1"/>
                <w:bCs w:val="1"/>
                <w:color w:val="auto"/>
                <w:w w:val="98"/>
              </w:rPr>
              <w:t>Anchors</w:t>
            </w: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97"/>
              </w:rPr>
              <w:t>Acquired</w:t>
            </w: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74"/>
              </w:rPr>
              <w:t>%</w:t>
            </w:r>
          </w:p>
        </w:tc>
        <w:tc>
          <w:tcPr>
            <w:tcW w:w="100" w:type="dxa"/>
            <w:vAlign w:val="bottom"/>
          </w:tcPr>
          <w:p>
            <w:pPr>
              <w:spacing w:after="0"/>
              <w:rPr>
                <w:sz w:val="17"/>
                <w:szCs w:val="17"/>
                <w:color w:val="auto"/>
              </w:rPr>
            </w:pPr>
          </w:p>
        </w:tc>
        <w:tc>
          <w:tcPr>
            <w:tcW w:w="680" w:type="dxa"/>
            <w:vAlign w:val="bottom"/>
          </w:tcPr>
          <w:p>
            <w:pPr>
              <w:jc w:val="right"/>
              <w:ind w:right="196"/>
              <w:spacing w:after="0"/>
              <w:rPr>
                <w:sz w:val="20"/>
                <w:szCs w:val="20"/>
                <w:color w:val="auto"/>
              </w:rPr>
            </w:pPr>
            <w:r>
              <w:rPr>
                <w:rFonts w:ascii="Arial" w:cs="Arial" w:eastAsia="Arial" w:hAnsi="Arial"/>
                <w:sz w:val="9"/>
                <w:szCs w:val="9"/>
                <w:b w:val="1"/>
                <w:bCs w:val="1"/>
                <w:color w:val="auto"/>
              </w:rPr>
              <w:t>Street</w:t>
            </w:r>
          </w:p>
        </w:tc>
        <w:tc>
          <w:tcPr>
            <w:tcW w:w="680" w:type="dxa"/>
            <w:vAlign w:val="bottom"/>
          </w:tcPr>
          <w:p>
            <w:pPr>
              <w:jc w:val="right"/>
              <w:ind w:right="156"/>
              <w:spacing w:after="0"/>
              <w:rPr>
                <w:sz w:val="20"/>
                <w:szCs w:val="20"/>
                <w:color w:val="auto"/>
              </w:rPr>
            </w:pPr>
            <w:r>
              <w:rPr>
                <w:rFonts w:ascii="Arial" w:cs="Arial" w:eastAsia="Arial" w:hAnsi="Arial"/>
                <w:sz w:val="9"/>
                <w:szCs w:val="9"/>
                <w:b w:val="1"/>
                <w:bCs w:val="1"/>
                <w:color w:val="auto"/>
              </w:rPr>
              <w:t>Anchors</w:t>
            </w:r>
          </w:p>
        </w:tc>
        <w:tc>
          <w:tcPr>
            <w:tcW w:w="620" w:type="dxa"/>
            <w:vAlign w:val="bottom"/>
          </w:tcPr>
          <w:p>
            <w:pPr>
              <w:jc w:val="right"/>
              <w:ind w:right="156"/>
              <w:spacing w:after="0"/>
              <w:rPr>
                <w:sz w:val="20"/>
                <w:szCs w:val="20"/>
                <w:color w:val="auto"/>
              </w:rPr>
            </w:pPr>
            <w:r>
              <w:rPr>
                <w:rFonts w:ascii="Arial" w:cs="Arial" w:eastAsia="Arial" w:hAnsi="Arial"/>
                <w:sz w:val="9"/>
                <w:szCs w:val="9"/>
                <w:b w:val="1"/>
                <w:bCs w:val="1"/>
                <w:color w:val="auto"/>
              </w:rPr>
              <w:t>Shops</w:t>
            </w:r>
          </w:p>
        </w:tc>
        <w:tc>
          <w:tcPr>
            <w:tcW w:w="640" w:type="dxa"/>
            <w:vAlign w:val="bottom"/>
            <w:gridSpan w:val="2"/>
          </w:tcPr>
          <w:p>
            <w:pPr>
              <w:ind w:left="160"/>
              <w:spacing w:after="0"/>
              <w:rPr>
                <w:sz w:val="20"/>
                <w:szCs w:val="20"/>
                <w:color w:val="auto"/>
              </w:rPr>
            </w:pPr>
            <w:r>
              <w:rPr>
                <w:rFonts w:ascii="Arial" w:cs="Arial" w:eastAsia="Arial" w:hAnsi="Arial"/>
                <w:sz w:val="9"/>
                <w:szCs w:val="9"/>
                <w:b w:val="1"/>
                <w:bCs w:val="1"/>
                <w:color w:val="auto"/>
              </w:rPr>
              <w:t>Total</w:t>
            </w:r>
          </w:p>
        </w:tc>
        <w:tc>
          <w:tcPr>
            <w:tcW w:w="720" w:type="dxa"/>
            <w:vAlign w:val="bottom"/>
          </w:tcPr>
          <w:p>
            <w:pPr>
              <w:jc w:val="right"/>
              <w:ind w:right="216"/>
              <w:spacing w:after="0"/>
              <w:rPr>
                <w:sz w:val="20"/>
                <w:szCs w:val="20"/>
                <w:color w:val="auto"/>
              </w:rPr>
            </w:pPr>
            <w:r>
              <w:rPr>
                <w:rFonts w:ascii="Arial" w:cs="Arial" w:eastAsia="Arial" w:hAnsi="Arial"/>
                <w:sz w:val="9"/>
                <w:szCs w:val="9"/>
                <w:b w:val="1"/>
                <w:bCs w:val="1"/>
                <w:color w:val="auto"/>
              </w:rPr>
              <w:t>Street</w:t>
            </w:r>
          </w:p>
        </w:tc>
        <w:tc>
          <w:tcPr>
            <w:tcW w:w="680" w:type="dxa"/>
            <w:vAlign w:val="bottom"/>
          </w:tcPr>
          <w:p>
            <w:pPr>
              <w:jc w:val="right"/>
              <w:ind w:right="196"/>
              <w:spacing w:after="0"/>
              <w:rPr>
                <w:sz w:val="20"/>
                <w:szCs w:val="20"/>
                <w:color w:val="auto"/>
              </w:rPr>
            </w:pPr>
            <w:r>
              <w:rPr>
                <w:rFonts w:ascii="Arial" w:cs="Arial" w:eastAsia="Arial" w:hAnsi="Arial"/>
                <w:sz w:val="9"/>
                <w:szCs w:val="9"/>
                <w:b w:val="1"/>
                <w:bCs w:val="1"/>
                <w:color w:val="auto"/>
              </w:rPr>
              <w:t>Anchors</w:t>
            </w:r>
          </w:p>
        </w:tc>
        <w:tc>
          <w:tcPr>
            <w:tcW w:w="620" w:type="dxa"/>
            <w:vAlign w:val="bottom"/>
          </w:tcPr>
          <w:p>
            <w:pPr>
              <w:jc w:val="right"/>
              <w:ind w:right="216"/>
              <w:spacing w:after="0"/>
              <w:rPr>
                <w:sz w:val="20"/>
                <w:szCs w:val="20"/>
                <w:color w:val="auto"/>
              </w:rPr>
            </w:pPr>
            <w:r>
              <w:rPr>
                <w:rFonts w:ascii="Arial" w:cs="Arial" w:eastAsia="Arial" w:hAnsi="Arial"/>
                <w:sz w:val="9"/>
                <w:szCs w:val="9"/>
                <w:b w:val="1"/>
                <w:bCs w:val="1"/>
                <w:color w:val="auto"/>
              </w:rPr>
              <w:t>Shops</w:t>
            </w:r>
          </w:p>
        </w:tc>
        <w:tc>
          <w:tcPr>
            <w:tcW w:w="580" w:type="dxa"/>
            <w:vAlign w:val="bottom"/>
            <w:gridSpan w:val="2"/>
          </w:tcPr>
          <w:p>
            <w:pPr>
              <w:ind w:left="100"/>
              <w:spacing w:after="0"/>
              <w:rPr>
                <w:sz w:val="20"/>
                <w:szCs w:val="20"/>
                <w:color w:val="auto"/>
              </w:rPr>
            </w:pPr>
            <w:r>
              <w:rPr>
                <w:rFonts w:ascii="Arial" w:cs="Arial" w:eastAsia="Arial" w:hAnsi="Arial"/>
                <w:sz w:val="9"/>
                <w:szCs w:val="9"/>
                <w:b w:val="1"/>
                <w:bCs w:val="1"/>
                <w:color w:val="auto"/>
              </w:rPr>
              <w:t>Total</w:t>
            </w:r>
          </w:p>
        </w:tc>
        <w:tc>
          <w:tcPr>
            <w:tcW w:w="7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2"/>
              </w:rPr>
              <w:t>Total</w:t>
            </w:r>
          </w:p>
        </w:tc>
        <w:tc>
          <w:tcPr>
            <w:tcW w:w="6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17"/>
                <w:szCs w:val="17"/>
                <w:color w:val="auto"/>
              </w:rPr>
            </w:pPr>
          </w:p>
        </w:tc>
        <w:tc>
          <w:tcPr>
            <w:tcW w:w="640" w:type="dxa"/>
            <w:vAlign w:val="bottom"/>
          </w:tcPr>
          <w:p>
            <w:pPr>
              <w:jc w:val="center"/>
              <w:ind w:right="76"/>
              <w:spacing w:after="0"/>
              <w:rPr>
                <w:sz w:val="20"/>
                <w:szCs w:val="20"/>
                <w:color w:val="auto"/>
              </w:rPr>
            </w:pPr>
            <w:r>
              <w:rPr>
                <w:rFonts w:ascii="Arial" w:cs="Arial" w:eastAsia="Arial" w:hAnsi="Arial"/>
                <w:sz w:val="9"/>
                <w:szCs w:val="9"/>
                <w:b w:val="1"/>
                <w:bCs w:val="1"/>
                <w:color w:val="auto"/>
                <w:w w:val="91"/>
              </w:rPr>
              <w:t>PSF</w:t>
            </w:r>
          </w:p>
        </w:tc>
        <w:tc>
          <w:tcPr>
            <w:tcW w:w="0" w:type="dxa"/>
            <w:vAlign w:val="bottom"/>
          </w:tcPr>
          <w:p>
            <w:pPr>
              <w:spacing w:after="0"/>
              <w:rPr>
                <w:sz w:val="1"/>
                <w:szCs w:val="1"/>
                <w:color w:val="auto"/>
              </w:rPr>
            </w:pPr>
          </w:p>
        </w:tc>
      </w:tr>
      <w:tr>
        <w:trPr>
          <w:trHeight w:val="186"/>
        </w:trPr>
        <w:tc>
          <w:tcPr>
            <w:tcW w:w="940" w:type="dxa"/>
            <w:vAlign w:val="bottom"/>
            <w:tcBorders>
              <w:bottom w:val="single" w:sz="8" w:color="auto"/>
            </w:tcBorders>
            <w:gridSpan w:val="7"/>
          </w:tcPr>
          <w:p>
            <w:pPr>
              <w:spacing w:after="0"/>
              <w:rPr>
                <w:sz w:val="20"/>
                <w:szCs w:val="20"/>
                <w:color w:val="auto"/>
              </w:rPr>
            </w:pPr>
            <w:r>
              <w:rPr>
                <w:rFonts w:ascii="Arial" w:cs="Arial" w:eastAsia="Arial" w:hAnsi="Arial"/>
                <w:sz w:val="9"/>
                <w:szCs w:val="9"/>
                <w:b w:val="1"/>
                <w:bCs w:val="1"/>
                <w:color w:val="auto"/>
                <w:w w:val="95"/>
              </w:rPr>
              <w:t>Fund II Portfolio Detail</w:t>
            </w:r>
          </w:p>
        </w:tc>
        <w:tc>
          <w:tcPr>
            <w:tcW w:w="120" w:type="dxa"/>
            <w:vAlign w:val="bottom"/>
            <w:gridSpan w:val="2"/>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060" w:type="dxa"/>
            <w:vAlign w:val="bottom"/>
            <w:gridSpan w:val="9"/>
          </w:tcPr>
          <w:p>
            <w:pPr>
              <w:spacing w:after="0"/>
              <w:rPr>
                <w:sz w:val="20"/>
                <w:szCs w:val="20"/>
                <w:color w:val="auto"/>
              </w:rPr>
            </w:pPr>
            <w:r>
              <w:rPr>
                <w:rFonts w:ascii="Arial" w:cs="Arial" w:eastAsia="Arial" w:hAnsi="Arial"/>
                <w:sz w:val="9"/>
                <w:szCs w:val="9"/>
                <w:b w:val="1"/>
                <w:bCs w:val="1"/>
                <w:color w:val="auto"/>
              </w:rPr>
              <w:t>NEW YORK</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0" w:type="dxa"/>
            <w:vAlign w:val="bottom"/>
            <w:tcBorders>
              <w:bottom w:val="single" w:sz="8" w:color="auto"/>
            </w:tcBorders>
            <w:gridSpan w:val="4"/>
          </w:tcPr>
          <w:p>
            <w:pPr>
              <w:spacing w:after="0"/>
              <w:rPr>
                <w:sz w:val="20"/>
                <w:szCs w:val="20"/>
                <w:color w:val="auto"/>
              </w:rPr>
            </w:pPr>
            <w:r>
              <w:rPr>
                <w:rFonts w:ascii="Arial" w:cs="Arial" w:eastAsia="Arial" w:hAnsi="Arial"/>
                <w:sz w:val="9"/>
                <w:szCs w:val="9"/>
                <w:color w:val="auto"/>
                <w:w w:val="97"/>
              </w:rPr>
              <w:t>New York</w:t>
            </w:r>
          </w:p>
        </w:tc>
        <w:tc>
          <w:tcPr>
            <w:tcW w:w="660" w:type="dxa"/>
            <w:vAlign w:val="bottom"/>
            <w:gridSpan w:val="5"/>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9"/>
          </w:tcPr>
          <w:p>
            <w:pPr>
              <w:spacing w:after="0"/>
              <w:rPr>
                <w:sz w:val="20"/>
                <w:szCs w:val="20"/>
                <w:color w:val="auto"/>
              </w:rPr>
            </w:pPr>
            <w:r>
              <w:rPr>
                <w:rFonts w:ascii="Arial" w:cs="Arial" w:eastAsia="Arial" w:hAnsi="Arial"/>
                <w:sz w:val="9"/>
                <w:szCs w:val="9"/>
                <w:color w:val="auto"/>
              </w:rPr>
              <w:t>City Point - Phase I and II</w:t>
            </w:r>
          </w:p>
        </w:tc>
        <w:tc>
          <w:tcPr>
            <w:tcW w:w="10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2007</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94.2%</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307,049</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167,951</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475,000</w:t>
            </w:r>
          </w:p>
        </w:tc>
        <w:tc>
          <w:tcPr>
            <w:tcW w:w="100" w:type="dxa"/>
            <w:vAlign w:val="bottom"/>
          </w:tcPr>
          <w:p>
            <w:pPr>
              <w:spacing w:after="0"/>
              <w:rPr>
                <w:sz w:val="18"/>
                <w:szCs w:val="18"/>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23.0%</w:t>
            </w:r>
          </w:p>
        </w:tc>
        <w:tc>
          <w:tcPr>
            <w:tcW w:w="480" w:type="dxa"/>
            <w:vAlign w:val="bottom"/>
          </w:tcPr>
          <w:p>
            <w:pPr>
              <w:jc w:val="right"/>
              <w:spacing w:after="0"/>
              <w:rPr>
                <w:sz w:val="20"/>
                <w:szCs w:val="20"/>
                <w:color w:val="auto"/>
              </w:rPr>
            </w:pPr>
            <w:r>
              <w:rPr>
                <w:rFonts w:ascii="Arial" w:cs="Arial" w:eastAsia="Arial" w:hAnsi="Arial"/>
                <w:sz w:val="9"/>
                <w:szCs w:val="9"/>
                <w:color w:val="auto"/>
              </w:rPr>
              <w:t>72.8%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80.1%</w:t>
            </w: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9,519,586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27.53</w:t>
            </w:r>
          </w:p>
        </w:tc>
        <w:tc>
          <w:tcPr>
            <w:tcW w:w="0" w:type="dxa"/>
            <w:vAlign w:val="bottom"/>
          </w:tcPr>
          <w:p>
            <w:pPr>
              <w:spacing w:after="0"/>
              <w:rPr>
                <w:sz w:val="1"/>
                <w:szCs w:val="1"/>
                <w:color w:val="auto"/>
              </w:rPr>
            </w:pPr>
          </w:p>
        </w:tc>
      </w:tr>
      <w:tr>
        <w:trPr>
          <w:trHeight w:val="127"/>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060" w:type="dxa"/>
            <w:vAlign w:val="bottom"/>
            <w:gridSpan w:val="9"/>
          </w:tcPr>
          <w:p>
            <w:pPr>
              <w:spacing w:after="0"/>
              <w:rPr>
                <w:sz w:val="20"/>
                <w:szCs w:val="20"/>
                <w:color w:val="auto"/>
              </w:rPr>
            </w:pPr>
            <w:r>
              <w:rPr>
                <w:rFonts w:ascii="Arial" w:cs="Arial" w:eastAsia="Arial" w:hAnsi="Arial"/>
                <w:sz w:val="9"/>
                <w:szCs w:val="9"/>
                <w:b w:val="1"/>
                <w:bCs w:val="1"/>
                <w:color w:val="auto"/>
              </w:rPr>
              <w:t>Total - Fund II</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color w:val="auto"/>
              </w:rPr>
              <w:t>307,049</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167,951</w:t>
            </w: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475,000</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100.0%</w:t>
            </w: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23.0%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72.8%</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80.1%</w:t>
            </w:r>
          </w:p>
        </w:tc>
        <w:tc>
          <w:tcPr>
            <w:tcW w:w="10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9,519,586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27.53</w:t>
            </w:r>
          </w:p>
        </w:tc>
        <w:tc>
          <w:tcPr>
            <w:tcW w:w="0" w:type="dxa"/>
            <w:vAlign w:val="bottom"/>
          </w:tcPr>
          <w:p>
            <w:pPr>
              <w:spacing w:after="0"/>
              <w:rPr>
                <w:sz w:val="1"/>
                <w:szCs w:val="1"/>
                <w:color w:val="auto"/>
              </w:rPr>
            </w:pPr>
          </w:p>
        </w:tc>
      </w:tr>
      <w:tr>
        <w:trPr>
          <w:trHeight w:val="20"/>
        </w:trPr>
        <w:tc>
          <w:tcPr>
            <w:tcW w:w="960" w:type="dxa"/>
            <w:vAlign w:val="bottom"/>
            <w:gridSpan w:val="8"/>
            <w:vMerge w:val="restart"/>
          </w:tcPr>
          <w:p>
            <w:pPr>
              <w:spacing w:after="0"/>
              <w:rPr>
                <w:sz w:val="20"/>
                <w:szCs w:val="20"/>
                <w:color w:val="auto"/>
              </w:rPr>
            </w:pPr>
            <w:r>
              <w:rPr>
                <w:rFonts w:ascii="Arial" w:cs="Arial" w:eastAsia="Arial" w:hAnsi="Arial"/>
                <w:sz w:val="9"/>
                <w:szCs w:val="9"/>
                <w:b w:val="1"/>
                <w:bCs w:val="1"/>
                <w:color w:val="auto"/>
                <w:w w:val="95"/>
              </w:rPr>
              <w:t>Fund III Portfolio Detail</w:t>
            </w:r>
          </w:p>
        </w:tc>
        <w:tc>
          <w:tcPr>
            <w:tcW w:w="10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60" w:type="dxa"/>
            <w:vAlign w:val="bottom"/>
            <w:tcBorders>
              <w:bottom w:val="single" w:sz="8" w:color="auto"/>
            </w:tcBorders>
            <w:gridSpan w:val="8"/>
            <w:vMerge w:val="continue"/>
          </w:tcPr>
          <w:p>
            <w:pPr>
              <w:spacing w:after="0"/>
              <w:rPr>
                <w:sz w:val="23"/>
                <w:szCs w:val="23"/>
                <w:color w:val="auto"/>
              </w:rPr>
            </w:pPr>
          </w:p>
        </w:tc>
        <w:tc>
          <w:tcPr>
            <w:tcW w:w="100" w:type="dxa"/>
            <w:vAlign w:val="bottom"/>
            <w:vMerge w:val="continue"/>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1060" w:type="dxa"/>
            <w:vAlign w:val="bottom"/>
            <w:gridSpan w:val="9"/>
          </w:tcPr>
          <w:p>
            <w:pPr>
              <w:spacing w:after="0"/>
              <w:rPr>
                <w:sz w:val="20"/>
                <w:szCs w:val="20"/>
                <w:color w:val="auto"/>
              </w:rPr>
            </w:pPr>
            <w:r>
              <w:rPr>
                <w:rFonts w:ascii="Arial" w:cs="Arial" w:eastAsia="Arial" w:hAnsi="Arial"/>
                <w:sz w:val="9"/>
                <w:szCs w:val="9"/>
                <w:b w:val="1"/>
                <w:bCs w:val="1"/>
                <w:color w:val="auto"/>
              </w:rPr>
              <w:t>NEW YORK</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 w:type="dxa"/>
            <w:vAlign w:val="bottom"/>
            <w:tcBorders>
              <w:bottom w:val="single" w:sz="8" w:color="auto"/>
            </w:tcBorders>
            <w:gridSpan w:val="4"/>
          </w:tcPr>
          <w:p>
            <w:pPr>
              <w:spacing w:after="0"/>
              <w:rPr>
                <w:sz w:val="20"/>
                <w:szCs w:val="20"/>
                <w:color w:val="auto"/>
              </w:rPr>
            </w:pPr>
            <w:r>
              <w:rPr>
                <w:rFonts w:ascii="Arial" w:cs="Arial" w:eastAsia="Arial" w:hAnsi="Arial"/>
                <w:sz w:val="9"/>
                <w:szCs w:val="9"/>
                <w:color w:val="auto"/>
                <w:w w:val="97"/>
              </w:rPr>
              <w:t>New York</w:t>
            </w:r>
          </w:p>
        </w:tc>
        <w:tc>
          <w:tcPr>
            <w:tcW w:w="660" w:type="dxa"/>
            <w:vAlign w:val="bottom"/>
            <w:gridSpan w:val="5"/>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9"/>
          </w:tcPr>
          <w:p>
            <w:pPr>
              <w:spacing w:after="0"/>
              <w:rPr>
                <w:sz w:val="20"/>
                <w:szCs w:val="20"/>
                <w:color w:val="auto"/>
              </w:rPr>
            </w:pPr>
            <w:r>
              <w:rPr>
                <w:rFonts w:ascii="Arial" w:cs="Arial" w:eastAsia="Arial" w:hAnsi="Arial"/>
                <w:sz w:val="9"/>
                <w:szCs w:val="9"/>
                <w:color w:val="auto"/>
              </w:rPr>
              <w:t>654 Broadway</w:t>
            </w:r>
          </w:p>
        </w:tc>
        <w:tc>
          <w:tcPr>
            <w:tcW w:w="10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2011</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2,896</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2,896</w:t>
            </w:r>
          </w:p>
        </w:tc>
        <w:tc>
          <w:tcPr>
            <w:tcW w:w="100" w:type="dxa"/>
            <w:vAlign w:val="bottom"/>
          </w:tcPr>
          <w:p>
            <w:pPr>
              <w:spacing w:after="0"/>
              <w:rPr>
                <w:sz w:val="18"/>
                <w:szCs w:val="18"/>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640 Broadway</w:t>
            </w:r>
          </w:p>
        </w:tc>
        <w:tc>
          <w:tcPr>
            <w:tcW w:w="1080" w:type="dxa"/>
            <w:vAlign w:val="bottom"/>
          </w:tcPr>
          <w:p>
            <w:pPr>
              <w:jc w:val="center"/>
              <w:spacing w:after="0"/>
              <w:rPr>
                <w:sz w:val="20"/>
                <w:szCs w:val="20"/>
                <w:color w:val="auto"/>
              </w:rPr>
            </w:pPr>
            <w:r>
              <w:rPr>
                <w:rFonts w:ascii="Arial" w:cs="Arial" w:eastAsia="Arial" w:hAnsi="Arial"/>
                <w:sz w:val="9"/>
                <w:szCs w:val="9"/>
                <w:color w:val="auto"/>
                <w:w w:val="94"/>
              </w:rPr>
              <w:t>Swatch</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2012</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63.1%</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4,247</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4,247</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70.6%</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70.6%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70.6%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975,313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325.28</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3104 M Street</w:t>
            </w:r>
          </w:p>
        </w:tc>
        <w:tc>
          <w:tcPr>
            <w:tcW w:w="10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2012</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80.0%</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3,608</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3,608</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Nostrand Avenue</w:t>
            </w:r>
          </w:p>
        </w:tc>
        <w:tc>
          <w:tcPr>
            <w:tcW w:w="10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2013</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42,628</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42,628</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85.8%</w:t>
            </w:r>
          </w:p>
        </w:tc>
        <w:tc>
          <w:tcPr>
            <w:tcW w:w="480" w:type="dxa"/>
            <w:vAlign w:val="bottom"/>
          </w:tcPr>
          <w:p>
            <w:pPr>
              <w:jc w:val="right"/>
              <w:spacing w:after="0"/>
              <w:rPr>
                <w:sz w:val="20"/>
                <w:szCs w:val="20"/>
                <w:color w:val="auto"/>
              </w:rPr>
            </w:pPr>
            <w:r>
              <w:rPr>
                <w:rFonts w:ascii="Arial" w:cs="Arial" w:eastAsia="Arial" w:hAnsi="Arial"/>
                <w:sz w:val="9"/>
                <w:szCs w:val="9"/>
                <w:color w:val="auto"/>
              </w:rPr>
              <w:t>85.8%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1,713,861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46.86</w:t>
            </w:r>
          </w:p>
        </w:tc>
        <w:tc>
          <w:tcPr>
            <w:tcW w:w="0" w:type="dxa"/>
            <w:vAlign w:val="bottom"/>
          </w:tcPr>
          <w:p>
            <w:pPr>
              <w:spacing w:after="0"/>
              <w:rPr>
                <w:sz w:val="1"/>
                <w:szCs w:val="1"/>
                <w:color w:val="auto"/>
              </w:rPr>
            </w:pPr>
          </w:p>
        </w:tc>
      </w:tr>
      <w:tr>
        <w:trPr>
          <w:trHeight w:val="127"/>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060" w:type="dxa"/>
            <w:vAlign w:val="bottom"/>
            <w:gridSpan w:val="9"/>
          </w:tcPr>
          <w:p>
            <w:pPr>
              <w:spacing w:after="0"/>
              <w:rPr>
                <w:sz w:val="20"/>
                <w:szCs w:val="20"/>
                <w:color w:val="auto"/>
              </w:rPr>
            </w:pPr>
            <w:r>
              <w:rPr>
                <w:rFonts w:ascii="Arial" w:cs="Arial" w:eastAsia="Arial" w:hAnsi="Arial"/>
                <w:sz w:val="9"/>
                <w:szCs w:val="9"/>
                <w:b w:val="1"/>
                <w:bCs w:val="1"/>
                <w:color w:val="auto"/>
              </w:rPr>
              <w:t>Total - Fund III</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7,143</w:t>
            </w: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46,236</w:t>
            </w: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53,379</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42.0%</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79.1%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74.1%</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79.1%</w:t>
            </w:r>
          </w:p>
        </w:tc>
        <w:tc>
          <w:tcPr>
            <w:tcW w:w="10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2,689,174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67.99</w:t>
            </w:r>
          </w:p>
        </w:tc>
        <w:tc>
          <w:tcPr>
            <w:tcW w:w="0" w:type="dxa"/>
            <w:vAlign w:val="bottom"/>
          </w:tcPr>
          <w:p>
            <w:pPr>
              <w:spacing w:after="0"/>
              <w:rPr>
                <w:sz w:val="1"/>
                <w:szCs w:val="1"/>
                <w:color w:val="auto"/>
              </w:rPr>
            </w:pPr>
          </w:p>
        </w:tc>
      </w:tr>
      <w:tr>
        <w:trPr>
          <w:trHeight w:val="20"/>
        </w:trPr>
        <w:tc>
          <w:tcPr>
            <w:tcW w:w="1060" w:type="dxa"/>
            <w:vAlign w:val="bottom"/>
            <w:gridSpan w:val="9"/>
            <w:vMerge w:val="restart"/>
          </w:tcPr>
          <w:p>
            <w:pPr>
              <w:spacing w:after="0"/>
              <w:rPr>
                <w:sz w:val="20"/>
                <w:szCs w:val="20"/>
                <w:color w:val="auto"/>
              </w:rPr>
            </w:pPr>
            <w:r>
              <w:rPr>
                <w:rFonts w:ascii="Arial" w:cs="Arial" w:eastAsia="Arial" w:hAnsi="Arial"/>
                <w:sz w:val="9"/>
                <w:szCs w:val="9"/>
                <w:b w:val="1"/>
                <w:bCs w:val="1"/>
                <w:color w:val="auto"/>
              </w:rPr>
              <w:t>Fund IV Portfolio Detail</w:t>
            </w: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060" w:type="dxa"/>
            <w:vAlign w:val="bottom"/>
            <w:gridSpan w:val="9"/>
            <w:vMerge w:val="continue"/>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960" w:type="dxa"/>
            <w:vAlign w:val="bottom"/>
            <w:tcBorders>
              <w:top w:val="single" w:sz="8" w:color="auto"/>
            </w:tcBorders>
            <w:gridSpan w:val="8"/>
          </w:tcPr>
          <w:p>
            <w:pPr>
              <w:spacing w:after="0"/>
              <w:rPr>
                <w:sz w:val="20"/>
                <w:szCs w:val="20"/>
                <w:color w:val="auto"/>
              </w:rPr>
            </w:pPr>
            <w:r>
              <w:rPr>
                <w:rFonts w:ascii="Arial" w:cs="Arial" w:eastAsia="Arial" w:hAnsi="Arial"/>
                <w:sz w:val="9"/>
                <w:szCs w:val="9"/>
                <w:b w:val="1"/>
                <w:bCs w:val="1"/>
                <w:color w:val="auto"/>
              </w:rPr>
              <w:t>NEW YORK</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0" w:type="dxa"/>
            <w:vAlign w:val="bottom"/>
            <w:tcBorders>
              <w:bottom w:val="single" w:sz="8" w:color="auto"/>
            </w:tcBorders>
            <w:gridSpan w:val="4"/>
          </w:tcPr>
          <w:p>
            <w:pPr>
              <w:spacing w:after="0"/>
              <w:rPr>
                <w:sz w:val="20"/>
                <w:szCs w:val="20"/>
                <w:color w:val="auto"/>
              </w:rPr>
            </w:pPr>
            <w:r>
              <w:rPr>
                <w:rFonts w:ascii="Arial" w:cs="Arial" w:eastAsia="Arial" w:hAnsi="Arial"/>
                <w:sz w:val="9"/>
                <w:szCs w:val="9"/>
                <w:color w:val="auto"/>
                <w:w w:val="97"/>
              </w:rPr>
              <w:t>New York</w:t>
            </w:r>
          </w:p>
        </w:tc>
        <w:tc>
          <w:tcPr>
            <w:tcW w:w="660" w:type="dxa"/>
            <w:vAlign w:val="bottom"/>
            <w:gridSpan w:val="5"/>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9"/>
          </w:tcPr>
          <w:p>
            <w:pPr>
              <w:spacing w:after="0"/>
              <w:rPr>
                <w:sz w:val="20"/>
                <w:szCs w:val="20"/>
                <w:color w:val="auto"/>
              </w:rPr>
            </w:pPr>
            <w:r>
              <w:rPr>
                <w:rFonts w:ascii="Arial" w:cs="Arial" w:eastAsia="Arial" w:hAnsi="Arial"/>
                <w:sz w:val="9"/>
                <w:szCs w:val="9"/>
                <w:color w:val="auto"/>
              </w:rPr>
              <w:t>801 Madison Avenue</w:t>
            </w:r>
          </w:p>
        </w:tc>
        <w:tc>
          <w:tcPr>
            <w:tcW w:w="10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2015</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2,625</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2,625</w:t>
            </w:r>
          </w:p>
        </w:tc>
        <w:tc>
          <w:tcPr>
            <w:tcW w:w="100" w:type="dxa"/>
            <w:vAlign w:val="bottom"/>
          </w:tcPr>
          <w:p>
            <w:pPr>
              <w:spacing w:after="0"/>
              <w:rPr>
                <w:sz w:val="18"/>
                <w:szCs w:val="18"/>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8"/>
                <w:szCs w:val="18"/>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210 Bowery</w:t>
            </w:r>
          </w:p>
        </w:tc>
        <w:tc>
          <w:tcPr>
            <w:tcW w:w="10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2012</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2,300</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2,300</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27 East 61st Street</w:t>
            </w:r>
          </w:p>
        </w:tc>
        <w:tc>
          <w:tcPr>
            <w:tcW w:w="10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2014</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4,177</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4,177</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17 East 71st Street</w:t>
            </w:r>
          </w:p>
        </w:tc>
        <w:tc>
          <w:tcPr>
            <w:tcW w:w="1080" w:type="dxa"/>
            <w:vAlign w:val="bottom"/>
          </w:tcPr>
          <w:p>
            <w:pPr>
              <w:jc w:val="center"/>
              <w:spacing w:after="0"/>
              <w:rPr>
                <w:sz w:val="20"/>
                <w:szCs w:val="20"/>
                <w:color w:val="auto"/>
              </w:rPr>
            </w:pPr>
            <w:r>
              <w:rPr>
                <w:rFonts w:ascii="Arial" w:cs="Arial" w:eastAsia="Arial" w:hAnsi="Arial"/>
                <w:sz w:val="9"/>
                <w:szCs w:val="9"/>
                <w:color w:val="auto"/>
                <w:w w:val="99"/>
              </w:rPr>
              <w:t>The Row</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2014</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8,432</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8,432</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1,988,159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235.79</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 xml:space="preserve">1035 Third Avenue </w:t>
            </w:r>
            <w:r>
              <w:rPr>
                <w:rFonts w:ascii="Arial" w:cs="Arial" w:eastAsia="Arial" w:hAnsi="Arial"/>
                <w:sz w:val="5"/>
                <w:szCs w:val="5"/>
                <w:color w:val="auto"/>
              </w:rPr>
              <w:t>2</w:t>
            </w:r>
          </w:p>
        </w:tc>
        <w:tc>
          <w:tcPr>
            <w:tcW w:w="10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2015</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7,617</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7,617</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59.2%</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59.2%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59.2%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885,167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196.30</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Colonie Plaza</w:t>
            </w:r>
          </w:p>
        </w:tc>
        <w:tc>
          <w:tcPr>
            <w:tcW w:w="1080" w:type="dxa"/>
            <w:vAlign w:val="bottom"/>
          </w:tcPr>
          <w:p>
            <w:pPr>
              <w:jc w:val="center"/>
              <w:spacing w:after="0"/>
              <w:rPr>
                <w:sz w:val="20"/>
                <w:szCs w:val="20"/>
                <w:color w:val="auto"/>
              </w:rPr>
            </w:pPr>
            <w:r>
              <w:rPr>
                <w:rFonts w:ascii="Arial" w:cs="Arial" w:eastAsia="Arial" w:hAnsi="Arial"/>
                <w:sz w:val="9"/>
                <w:szCs w:val="9"/>
                <w:color w:val="auto"/>
                <w:w w:val="96"/>
              </w:rPr>
              <w:t>Price Chopper, Big Lots</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2016</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96,000</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57,483</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153,483</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91.7%</w:t>
            </w:r>
          </w:p>
        </w:tc>
        <w:tc>
          <w:tcPr>
            <w:tcW w:w="480" w:type="dxa"/>
            <w:vAlign w:val="bottom"/>
          </w:tcPr>
          <w:p>
            <w:pPr>
              <w:jc w:val="right"/>
              <w:spacing w:after="0"/>
              <w:rPr>
                <w:sz w:val="20"/>
                <w:szCs w:val="20"/>
                <w:color w:val="auto"/>
              </w:rPr>
            </w:pPr>
            <w:r>
              <w:rPr>
                <w:rFonts w:ascii="Arial" w:cs="Arial" w:eastAsia="Arial" w:hAnsi="Arial"/>
                <w:sz w:val="9"/>
                <w:szCs w:val="9"/>
                <w:color w:val="auto"/>
              </w:rPr>
              <w:t>96.9%</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1,680,527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11.30</w:t>
            </w:r>
          </w:p>
        </w:tc>
        <w:tc>
          <w:tcPr>
            <w:tcW w:w="0" w:type="dxa"/>
            <w:vAlign w:val="bottom"/>
          </w:tcPr>
          <w:p>
            <w:pPr>
              <w:spacing w:after="0"/>
              <w:rPr>
                <w:sz w:val="1"/>
                <w:szCs w:val="1"/>
                <w:color w:val="auto"/>
              </w:rPr>
            </w:pPr>
          </w:p>
        </w:tc>
      </w:tr>
      <w:tr>
        <w:trPr>
          <w:trHeight w:val="313"/>
        </w:trPr>
        <w:tc>
          <w:tcPr>
            <w:tcW w:w="460" w:type="dxa"/>
            <w:vAlign w:val="bottom"/>
            <w:tcBorders>
              <w:bottom w:val="single" w:sz="8" w:color="auto"/>
            </w:tcBorders>
            <w:gridSpan w:val="5"/>
          </w:tcPr>
          <w:p>
            <w:pPr>
              <w:spacing w:after="0"/>
              <w:rPr>
                <w:sz w:val="20"/>
                <w:szCs w:val="20"/>
                <w:color w:val="auto"/>
              </w:rPr>
            </w:pPr>
            <w:r>
              <w:rPr>
                <w:rFonts w:ascii="Arial" w:cs="Arial" w:eastAsia="Arial" w:hAnsi="Arial"/>
                <w:sz w:val="9"/>
                <w:szCs w:val="9"/>
                <w:color w:val="auto"/>
                <w:w w:val="93"/>
              </w:rPr>
              <w:t>New Jersey</w:t>
            </w:r>
          </w:p>
        </w:tc>
        <w:tc>
          <w:tcPr>
            <w:tcW w:w="600" w:type="dxa"/>
            <w:vAlign w:val="bottom"/>
            <w:gridSpan w:val="4"/>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60" w:type="dxa"/>
            <w:vAlign w:val="bottom"/>
            <w:gridSpan w:val="9"/>
          </w:tcPr>
          <w:p>
            <w:pPr>
              <w:spacing w:after="0"/>
              <w:rPr>
                <w:sz w:val="20"/>
                <w:szCs w:val="20"/>
                <w:color w:val="auto"/>
              </w:rPr>
            </w:pPr>
            <w:r>
              <w:rPr>
                <w:rFonts w:ascii="Arial" w:cs="Arial" w:eastAsia="Arial" w:hAnsi="Arial"/>
                <w:sz w:val="9"/>
                <w:szCs w:val="9"/>
                <w:color w:val="auto"/>
              </w:rPr>
              <w:t>Paramus Plaza</w:t>
            </w:r>
          </w:p>
        </w:tc>
        <w:tc>
          <w:tcPr>
            <w:tcW w:w="1080" w:type="dxa"/>
            <w:vAlign w:val="bottom"/>
          </w:tcPr>
          <w:p>
            <w:pPr>
              <w:jc w:val="center"/>
              <w:spacing w:after="0"/>
              <w:rPr>
                <w:sz w:val="20"/>
                <w:szCs w:val="20"/>
                <w:color w:val="auto"/>
              </w:rPr>
            </w:pPr>
            <w:r>
              <w:rPr>
                <w:rFonts w:ascii="Arial" w:cs="Arial" w:eastAsia="Arial" w:hAnsi="Arial"/>
                <w:sz w:val="9"/>
                <w:szCs w:val="9"/>
                <w:color w:val="auto"/>
                <w:w w:val="97"/>
              </w:rPr>
              <w:t>Ashley Furniture</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2013</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50.0%</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64,235</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86,555</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150,790</w:t>
            </w:r>
          </w:p>
        </w:tc>
        <w:tc>
          <w:tcPr>
            <w:tcW w:w="100" w:type="dxa"/>
            <w:vAlign w:val="bottom"/>
          </w:tcPr>
          <w:p>
            <w:pPr>
              <w:spacing w:after="0"/>
              <w:rPr>
                <w:sz w:val="18"/>
                <w:szCs w:val="18"/>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38.9%</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81.4%</w:t>
            </w:r>
          </w:p>
        </w:tc>
        <w:tc>
          <w:tcPr>
            <w:tcW w:w="480" w:type="dxa"/>
            <w:vAlign w:val="bottom"/>
          </w:tcPr>
          <w:p>
            <w:pPr>
              <w:jc w:val="right"/>
              <w:spacing w:after="0"/>
              <w:rPr>
                <w:sz w:val="20"/>
                <w:szCs w:val="20"/>
                <w:color w:val="auto"/>
              </w:rPr>
            </w:pPr>
            <w:r>
              <w:rPr>
                <w:rFonts w:ascii="Arial" w:cs="Arial" w:eastAsia="Arial" w:hAnsi="Arial"/>
                <w:sz w:val="9"/>
                <w:szCs w:val="9"/>
                <w:color w:val="auto"/>
              </w:rPr>
              <w:t>63.3%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63.3%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1,619,790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16.97</w:t>
            </w:r>
          </w:p>
        </w:tc>
        <w:tc>
          <w:tcPr>
            <w:tcW w:w="0" w:type="dxa"/>
            <w:vAlign w:val="bottom"/>
          </w:tcPr>
          <w:p>
            <w:pPr>
              <w:spacing w:after="0"/>
              <w:rPr>
                <w:sz w:val="1"/>
                <w:szCs w:val="1"/>
                <w:color w:val="auto"/>
              </w:rPr>
            </w:pPr>
          </w:p>
        </w:tc>
      </w:tr>
      <w:tr>
        <w:trPr>
          <w:trHeight w:val="328"/>
        </w:trPr>
        <w:tc>
          <w:tcPr>
            <w:tcW w:w="1060" w:type="dxa"/>
            <w:vAlign w:val="bottom"/>
            <w:gridSpan w:val="9"/>
          </w:tcPr>
          <w:p>
            <w:pPr>
              <w:spacing w:after="0"/>
              <w:rPr>
                <w:sz w:val="20"/>
                <w:szCs w:val="20"/>
                <w:color w:val="auto"/>
              </w:rPr>
            </w:pPr>
            <w:r>
              <w:rPr>
                <w:rFonts w:ascii="Arial" w:cs="Arial" w:eastAsia="Arial" w:hAnsi="Arial"/>
                <w:sz w:val="9"/>
                <w:szCs w:val="9"/>
                <w:b w:val="1"/>
                <w:bCs w:val="1"/>
                <w:color w:val="auto"/>
              </w:rPr>
              <w:t>BOSTON</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60" w:type="dxa"/>
            <w:vAlign w:val="bottom"/>
            <w:gridSpan w:val="9"/>
          </w:tcPr>
          <w:p>
            <w:pPr>
              <w:spacing w:after="0"/>
              <w:rPr>
                <w:sz w:val="20"/>
                <w:szCs w:val="20"/>
                <w:color w:val="auto"/>
              </w:rPr>
            </w:pPr>
            <w:r>
              <w:rPr>
                <w:rFonts w:ascii="Arial" w:cs="Arial" w:eastAsia="Arial" w:hAnsi="Arial"/>
                <w:sz w:val="9"/>
                <w:szCs w:val="9"/>
                <w:color w:val="auto"/>
              </w:rPr>
              <w:t>Massachusetts</w:t>
            </w: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gridSpan w:val="9"/>
          </w:tcPr>
          <w:p>
            <w:pPr>
              <w:spacing w:after="0"/>
              <w:rPr>
                <w:sz w:val="20"/>
                <w:szCs w:val="20"/>
                <w:color w:val="auto"/>
              </w:rPr>
            </w:pPr>
            <w:r>
              <w:rPr>
                <w:rFonts w:ascii="Arial" w:cs="Arial" w:eastAsia="Arial" w:hAnsi="Arial"/>
                <w:sz w:val="9"/>
                <w:szCs w:val="9"/>
                <w:color w:val="auto"/>
              </w:rPr>
              <w:t>Restaurants at Fort Point</w:t>
            </w:r>
          </w:p>
        </w:tc>
        <w:tc>
          <w:tcPr>
            <w:tcW w:w="10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2016</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15,711</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15,711</w:t>
            </w:r>
          </w:p>
        </w:tc>
        <w:tc>
          <w:tcPr>
            <w:tcW w:w="100" w:type="dxa"/>
            <w:vAlign w:val="bottom"/>
          </w:tcPr>
          <w:p>
            <w:pPr>
              <w:spacing w:after="0"/>
              <w:rPr>
                <w:sz w:val="18"/>
                <w:szCs w:val="18"/>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329,155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20.95</w:t>
            </w:r>
          </w:p>
        </w:tc>
        <w:tc>
          <w:tcPr>
            <w:tcW w:w="0" w:type="dxa"/>
            <w:vAlign w:val="bottom"/>
          </w:tcPr>
          <w:p>
            <w:pPr>
              <w:spacing w:after="0"/>
              <w:rPr>
                <w:sz w:val="1"/>
                <w:szCs w:val="1"/>
                <w:color w:val="auto"/>
              </w:rPr>
            </w:pPr>
          </w:p>
        </w:tc>
      </w:tr>
      <w:tr>
        <w:trPr>
          <w:trHeight w:val="328"/>
        </w:trPr>
        <w:tc>
          <w:tcPr>
            <w:tcW w:w="1060" w:type="dxa"/>
            <w:vAlign w:val="bottom"/>
            <w:gridSpan w:val="9"/>
          </w:tcPr>
          <w:p>
            <w:pPr>
              <w:spacing w:after="0"/>
              <w:rPr>
                <w:sz w:val="20"/>
                <w:szCs w:val="20"/>
                <w:color w:val="auto"/>
              </w:rPr>
            </w:pPr>
            <w:r>
              <w:rPr>
                <w:rFonts w:ascii="Arial" w:cs="Arial" w:eastAsia="Arial" w:hAnsi="Arial"/>
                <w:sz w:val="9"/>
                <w:szCs w:val="9"/>
                <w:b w:val="1"/>
                <w:bCs w:val="1"/>
                <w:color w:val="auto"/>
              </w:rPr>
              <w:t>NORTHEAST</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60" w:type="dxa"/>
            <w:vAlign w:val="bottom"/>
            <w:gridSpan w:val="9"/>
          </w:tcPr>
          <w:p>
            <w:pPr>
              <w:spacing w:after="0"/>
              <w:rPr>
                <w:sz w:val="20"/>
                <w:szCs w:val="20"/>
                <w:color w:val="auto"/>
              </w:rPr>
            </w:pPr>
            <w:r>
              <w:rPr>
                <w:rFonts w:ascii="Arial" w:cs="Arial" w:eastAsia="Arial" w:hAnsi="Arial"/>
                <w:sz w:val="9"/>
                <w:szCs w:val="9"/>
                <w:color w:val="auto"/>
              </w:rPr>
              <w:t>Maine</w:t>
            </w: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gridSpan w:val="9"/>
          </w:tcPr>
          <w:p>
            <w:pPr>
              <w:spacing w:after="0"/>
              <w:rPr>
                <w:sz w:val="20"/>
                <w:szCs w:val="20"/>
                <w:color w:val="auto"/>
              </w:rPr>
            </w:pPr>
            <w:r>
              <w:rPr>
                <w:rFonts w:ascii="Arial" w:cs="Arial" w:eastAsia="Arial" w:hAnsi="Arial"/>
                <w:sz w:val="9"/>
                <w:szCs w:val="9"/>
                <w:color w:val="auto"/>
              </w:rPr>
              <w:t>Airport Mall</w:t>
            </w:r>
          </w:p>
        </w:tc>
        <w:tc>
          <w:tcPr>
            <w:tcW w:w="1080" w:type="dxa"/>
            <w:vAlign w:val="bottom"/>
          </w:tcPr>
          <w:p>
            <w:pPr>
              <w:jc w:val="center"/>
              <w:spacing w:after="0"/>
              <w:rPr>
                <w:sz w:val="20"/>
                <w:szCs w:val="20"/>
                <w:color w:val="auto"/>
              </w:rPr>
            </w:pPr>
            <w:r>
              <w:rPr>
                <w:rFonts w:ascii="Arial" w:cs="Arial" w:eastAsia="Arial" w:hAnsi="Arial"/>
                <w:sz w:val="9"/>
                <w:szCs w:val="9"/>
                <w:color w:val="auto"/>
                <w:w w:val="98"/>
              </w:rPr>
              <w:t>Hannaford, Marshalls</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2016</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131,042</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90,788</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221,830</w:t>
            </w:r>
          </w:p>
        </w:tc>
        <w:tc>
          <w:tcPr>
            <w:tcW w:w="100" w:type="dxa"/>
            <w:vAlign w:val="bottom"/>
          </w:tcPr>
          <w:p>
            <w:pPr>
              <w:spacing w:after="0"/>
              <w:rPr>
                <w:sz w:val="18"/>
                <w:szCs w:val="18"/>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73.7%</w:t>
            </w:r>
          </w:p>
        </w:tc>
        <w:tc>
          <w:tcPr>
            <w:tcW w:w="480" w:type="dxa"/>
            <w:vAlign w:val="bottom"/>
          </w:tcPr>
          <w:p>
            <w:pPr>
              <w:jc w:val="right"/>
              <w:spacing w:after="0"/>
              <w:rPr>
                <w:sz w:val="20"/>
                <w:szCs w:val="20"/>
                <w:color w:val="auto"/>
              </w:rPr>
            </w:pPr>
            <w:r>
              <w:rPr>
                <w:rFonts w:ascii="Arial" w:cs="Arial" w:eastAsia="Arial" w:hAnsi="Arial"/>
                <w:sz w:val="9"/>
                <w:szCs w:val="9"/>
                <w:color w:val="auto"/>
              </w:rPr>
              <w:t>89.2%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89.2%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1,272,679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6.43</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Wells Plaza</w:t>
            </w:r>
          </w:p>
        </w:tc>
        <w:tc>
          <w:tcPr>
            <w:tcW w:w="1080" w:type="dxa"/>
            <w:vAlign w:val="bottom"/>
          </w:tcPr>
          <w:p>
            <w:pPr>
              <w:jc w:val="center"/>
              <w:spacing w:after="0"/>
              <w:rPr>
                <w:sz w:val="20"/>
                <w:szCs w:val="20"/>
                <w:color w:val="auto"/>
              </w:rPr>
            </w:pPr>
            <w:r>
              <w:rPr>
                <w:rFonts w:ascii="Arial" w:cs="Arial" w:eastAsia="Arial" w:hAnsi="Arial"/>
                <w:sz w:val="9"/>
                <w:szCs w:val="9"/>
                <w:color w:val="auto"/>
                <w:w w:val="96"/>
              </w:rPr>
              <w:t>Reny's, Dollar Tree</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2016</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62,471</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27,963</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90,434</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82.0%</w:t>
            </w:r>
          </w:p>
        </w:tc>
        <w:tc>
          <w:tcPr>
            <w:tcW w:w="480" w:type="dxa"/>
            <w:vAlign w:val="bottom"/>
          </w:tcPr>
          <w:p>
            <w:pPr>
              <w:jc w:val="right"/>
              <w:spacing w:after="0"/>
              <w:rPr>
                <w:sz w:val="20"/>
                <w:szCs w:val="20"/>
                <w:color w:val="auto"/>
              </w:rPr>
            </w:pPr>
            <w:r>
              <w:rPr>
                <w:rFonts w:ascii="Arial" w:cs="Arial" w:eastAsia="Arial" w:hAnsi="Arial"/>
                <w:sz w:val="9"/>
                <w:szCs w:val="9"/>
                <w:color w:val="auto"/>
              </w:rPr>
              <w:t>94.4%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94.4%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705,746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8.27</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Shaw's Plaza (Waterville)</w:t>
            </w:r>
          </w:p>
        </w:tc>
        <w:tc>
          <w:tcPr>
            <w:tcW w:w="1080" w:type="dxa"/>
            <w:vAlign w:val="bottom"/>
          </w:tcPr>
          <w:p>
            <w:pPr>
              <w:jc w:val="center"/>
              <w:spacing w:after="0"/>
              <w:rPr>
                <w:sz w:val="20"/>
                <w:szCs w:val="20"/>
                <w:color w:val="auto"/>
              </w:rPr>
            </w:pPr>
            <w:r>
              <w:rPr>
                <w:rFonts w:ascii="Arial" w:cs="Arial" w:eastAsia="Arial" w:hAnsi="Arial"/>
                <w:sz w:val="9"/>
                <w:szCs w:val="9"/>
                <w:color w:val="auto"/>
                <w:w w:val="97"/>
              </w:rPr>
              <w:t>Shaw's</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2016</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87,492</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31,523</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119,015</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1,407,316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11.82</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Shaw's Plaza (Windham)</w:t>
            </w:r>
          </w:p>
        </w:tc>
        <w:tc>
          <w:tcPr>
            <w:tcW w:w="1080" w:type="dxa"/>
            <w:vAlign w:val="bottom"/>
          </w:tcPr>
          <w:p>
            <w:pPr>
              <w:jc w:val="center"/>
              <w:spacing w:after="0"/>
              <w:rPr>
                <w:sz w:val="20"/>
                <w:szCs w:val="20"/>
                <w:color w:val="auto"/>
              </w:rPr>
            </w:pPr>
            <w:r>
              <w:rPr>
                <w:rFonts w:ascii="Arial" w:cs="Arial" w:eastAsia="Arial" w:hAnsi="Arial"/>
                <w:sz w:val="9"/>
                <w:szCs w:val="9"/>
                <w:color w:val="auto"/>
                <w:w w:val="97"/>
              </w:rPr>
              <w:t>Shaw's</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2017</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66,698</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57,632</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124,330</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70.8%</w:t>
            </w:r>
          </w:p>
        </w:tc>
        <w:tc>
          <w:tcPr>
            <w:tcW w:w="480" w:type="dxa"/>
            <w:vAlign w:val="bottom"/>
          </w:tcPr>
          <w:p>
            <w:pPr>
              <w:jc w:val="right"/>
              <w:spacing w:after="0"/>
              <w:rPr>
                <w:sz w:val="20"/>
                <w:szCs w:val="20"/>
                <w:color w:val="auto"/>
              </w:rPr>
            </w:pPr>
            <w:r>
              <w:rPr>
                <w:rFonts w:ascii="Arial" w:cs="Arial" w:eastAsia="Arial" w:hAnsi="Arial"/>
                <w:sz w:val="9"/>
                <w:szCs w:val="9"/>
                <w:color w:val="auto"/>
              </w:rPr>
              <w:t>86.5%</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88.4%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1,008,393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9.38</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JFK Plaza</w:t>
            </w:r>
          </w:p>
        </w:tc>
        <w:tc>
          <w:tcPr>
            <w:tcW w:w="1080" w:type="dxa"/>
            <w:vAlign w:val="bottom"/>
          </w:tcPr>
          <w:p>
            <w:pPr>
              <w:jc w:val="center"/>
              <w:spacing w:after="0"/>
              <w:rPr>
                <w:sz w:val="20"/>
                <w:szCs w:val="20"/>
                <w:color w:val="auto"/>
              </w:rPr>
            </w:pPr>
            <w:r>
              <w:rPr>
                <w:rFonts w:ascii="Arial" w:cs="Arial" w:eastAsia="Arial" w:hAnsi="Arial"/>
                <w:sz w:val="9"/>
                <w:szCs w:val="9"/>
                <w:color w:val="auto"/>
                <w:w w:val="96"/>
              </w:rPr>
              <w:t>Hannaford, TJ Maxx</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2016</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104,426</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46,681</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151,107</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28.9%</w:t>
            </w:r>
          </w:p>
        </w:tc>
        <w:tc>
          <w:tcPr>
            <w:tcW w:w="480" w:type="dxa"/>
            <w:vAlign w:val="bottom"/>
          </w:tcPr>
          <w:p>
            <w:pPr>
              <w:jc w:val="right"/>
              <w:spacing w:after="0"/>
              <w:rPr>
                <w:sz w:val="20"/>
                <w:szCs w:val="20"/>
                <w:color w:val="auto"/>
              </w:rPr>
            </w:pPr>
            <w:r>
              <w:rPr>
                <w:rFonts w:ascii="Arial" w:cs="Arial" w:eastAsia="Arial" w:hAnsi="Arial"/>
                <w:sz w:val="9"/>
                <w:szCs w:val="9"/>
                <w:color w:val="auto"/>
              </w:rPr>
              <w:t>78.0%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78.0%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773,260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6.56</w:t>
            </w:r>
          </w:p>
        </w:tc>
        <w:tc>
          <w:tcPr>
            <w:tcW w:w="0" w:type="dxa"/>
            <w:vAlign w:val="bottom"/>
          </w:tcPr>
          <w:p>
            <w:pPr>
              <w:spacing w:after="0"/>
              <w:rPr>
                <w:sz w:val="1"/>
                <w:szCs w:val="1"/>
                <w:color w:val="auto"/>
              </w:rPr>
            </w:pPr>
          </w:p>
        </w:tc>
      </w:tr>
      <w:tr>
        <w:trPr>
          <w:trHeight w:val="313"/>
        </w:trPr>
        <w:tc>
          <w:tcPr>
            <w:tcW w:w="1060" w:type="dxa"/>
            <w:vAlign w:val="bottom"/>
            <w:gridSpan w:val="9"/>
          </w:tcPr>
          <w:p>
            <w:pPr>
              <w:spacing w:after="0"/>
              <w:rPr>
                <w:sz w:val="20"/>
                <w:szCs w:val="20"/>
                <w:color w:val="auto"/>
              </w:rPr>
            </w:pPr>
            <w:r>
              <w:rPr>
                <w:rFonts w:ascii="Arial" w:cs="Arial" w:eastAsia="Arial" w:hAnsi="Arial"/>
                <w:sz w:val="9"/>
                <w:szCs w:val="9"/>
                <w:color w:val="auto"/>
              </w:rPr>
              <w:t>Pennsylvania</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9"/>
                <w:szCs w:val="9"/>
                <w:color w:val="auto"/>
                <w:w w:val="95"/>
              </w:rPr>
              <w:t>Price Rite, Ashley</w:t>
            </w: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60" w:type="dxa"/>
            <w:vAlign w:val="bottom"/>
            <w:gridSpan w:val="9"/>
          </w:tcPr>
          <w:p>
            <w:pPr>
              <w:spacing w:after="0"/>
              <w:rPr>
                <w:sz w:val="20"/>
                <w:szCs w:val="20"/>
                <w:color w:val="auto"/>
              </w:rPr>
            </w:pPr>
            <w:r>
              <w:rPr>
                <w:rFonts w:ascii="Arial" w:cs="Arial" w:eastAsia="Arial" w:hAnsi="Arial"/>
                <w:sz w:val="9"/>
                <w:szCs w:val="9"/>
                <w:color w:val="auto"/>
              </w:rPr>
              <w:t>Dauphin Plaza</w:t>
            </w:r>
          </w:p>
        </w:tc>
        <w:tc>
          <w:tcPr>
            <w:tcW w:w="1080" w:type="dxa"/>
            <w:vAlign w:val="bottom"/>
          </w:tcPr>
          <w:p>
            <w:pPr>
              <w:jc w:val="center"/>
              <w:spacing w:after="0"/>
              <w:rPr>
                <w:sz w:val="20"/>
                <w:szCs w:val="20"/>
                <w:color w:val="auto"/>
              </w:rPr>
            </w:pPr>
            <w:r>
              <w:rPr>
                <w:rFonts w:ascii="Arial" w:cs="Arial" w:eastAsia="Arial" w:hAnsi="Arial"/>
                <w:sz w:val="9"/>
                <w:szCs w:val="9"/>
                <w:color w:val="auto"/>
                <w:w w:val="99"/>
              </w:rPr>
              <w:t>Furniture</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2016</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9"/>
                <w:szCs w:val="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122,621</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83,106</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205,727</w:t>
            </w:r>
          </w:p>
        </w:tc>
        <w:tc>
          <w:tcPr>
            <w:tcW w:w="100" w:type="dxa"/>
            <w:vAlign w:val="bottom"/>
          </w:tcPr>
          <w:p>
            <w:pPr>
              <w:spacing w:after="0"/>
              <w:rPr>
                <w:sz w:val="9"/>
                <w:szCs w:val="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62.9%</w:t>
            </w:r>
          </w:p>
        </w:tc>
        <w:tc>
          <w:tcPr>
            <w:tcW w:w="480" w:type="dxa"/>
            <w:vAlign w:val="bottom"/>
          </w:tcPr>
          <w:p>
            <w:pPr>
              <w:jc w:val="right"/>
              <w:spacing w:after="0"/>
              <w:rPr>
                <w:sz w:val="20"/>
                <w:szCs w:val="20"/>
                <w:color w:val="auto"/>
              </w:rPr>
            </w:pPr>
            <w:r>
              <w:rPr>
                <w:rFonts w:ascii="Arial" w:cs="Arial" w:eastAsia="Arial" w:hAnsi="Arial"/>
                <w:sz w:val="9"/>
                <w:szCs w:val="9"/>
                <w:color w:val="auto"/>
              </w:rPr>
              <w:t>85.0%</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85.0%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1,656,365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9.47</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Mayfair Shopping Center</w:t>
            </w:r>
          </w:p>
        </w:tc>
        <w:tc>
          <w:tcPr>
            <w:tcW w:w="10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2016</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25,673</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89,738</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115,411</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61.7%</w:t>
            </w:r>
          </w:p>
        </w:tc>
        <w:tc>
          <w:tcPr>
            <w:tcW w:w="480" w:type="dxa"/>
            <w:vAlign w:val="bottom"/>
          </w:tcPr>
          <w:p>
            <w:pPr>
              <w:jc w:val="right"/>
              <w:spacing w:after="0"/>
              <w:rPr>
                <w:sz w:val="20"/>
                <w:szCs w:val="20"/>
                <w:color w:val="auto"/>
              </w:rPr>
            </w:pPr>
            <w:r>
              <w:rPr>
                <w:rFonts w:ascii="Arial" w:cs="Arial" w:eastAsia="Arial" w:hAnsi="Arial"/>
                <w:sz w:val="9"/>
                <w:szCs w:val="9"/>
                <w:color w:val="auto"/>
              </w:rPr>
              <w:t>48.0%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59.9%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1,134,466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20.48</w:t>
            </w:r>
          </w:p>
        </w:tc>
        <w:tc>
          <w:tcPr>
            <w:tcW w:w="0" w:type="dxa"/>
            <w:vAlign w:val="bottom"/>
          </w:tcPr>
          <w:p>
            <w:pPr>
              <w:spacing w:after="0"/>
              <w:rPr>
                <w:sz w:val="1"/>
                <w:szCs w:val="1"/>
                <w:color w:val="auto"/>
              </w:rPr>
            </w:pPr>
          </w:p>
        </w:tc>
      </w:tr>
      <w:tr>
        <w:trPr>
          <w:trHeight w:val="328"/>
        </w:trPr>
        <w:tc>
          <w:tcPr>
            <w:tcW w:w="1060" w:type="dxa"/>
            <w:vAlign w:val="bottom"/>
            <w:gridSpan w:val="9"/>
          </w:tcPr>
          <w:p>
            <w:pPr>
              <w:spacing w:after="0"/>
              <w:rPr>
                <w:sz w:val="20"/>
                <w:szCs w:val="20"/>
                <w:color w:val="auto"/>
              </w:rPr>
            </w:pPr>
            <w:r>
              <w:rPr>
                <w:rFonts w:ascii="Arial" w:cs="Arial" w:eastAsia="Arial" w:hAnsi="Arial"/>
                <w:sz w:val="9"/>
                <w:szCs w:val="9"/>
                <w:b w:val="1"/>
                <w:bCs w:val="1"/>
                <w:color w:val="auto"/>
              </w:rPr>
              <w:t>MID-ATLANTIC</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w w:val="93"/>
              </w:rPr>
              <w:t>Virginia</w:t>
            </w:r>
          </w:p>
        </w:tc>
        <w:tc>
          <w:tcPr>
            <w:tcW w:w="760" w:type="dxa"/>
            <w:vAlign w:val="bottom"/>
            <w:gridSpan w:val="7"/>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9"/>
          </w:tcPr>
          <w:p>
            <w:pPr>
              <w:spacing w:after="0"/>
              <w:rPr>
                <w:sz w:val="20"/>
                <w:szCs w:val="20"/>
                <w:color w:val="auto"/>
              </w:rPr>
            </w:pPr>
            <w:r>
              <w:rPr>
                <w:rFonts w:ascii="Arial" w:cs="Arial" w:eastAsia="Arial" w:hAnsi="Arial"/>
                <w:sz w:val="9"/>
                <w:szCs w:val="9"/>
                <w:color w:val="auto"/>
              </w:rPr>
              <w:t>Promenade at Manassas</w:t>
            </w:r>
          </w:p>
        </w:tc>
        <w:tc>
          <w:tcPr>
            <w:tcW w:w="1080" w:type="dxa"/>
            <w:vAlign w:val="bottom"/>
          </w:tcPr>
          <w:p>
            <w:pPr>
              <w:jc w:val="center"/>
              <w:spacing w:after="0"/>
              <w:rPr>
                <w:sz w:val="20"/>
                <w:szCs w:val="20"/>
                <w:color w:val="auto"/>
              </w:rPr>
            </w:pPr>
            <w:r>
              <w:rPr>
                <w:rFonts w:ascii="Arial" w:cs="Arial" w:eastAsia="Arial" w:hAnsi="Arial"/>
                <w:sz w:val="9"/>
                <w:szCs w:val="9"/>
                <w:color w:val="auto"/>
                <w:w w:val="94"/>
              </w:rPr>
              <w:t>Home Depot</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2013</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98.6%</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194,038</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71,404</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265,442</w:t>
            </w:r>
          </w:p>
        </w:tc>
        <w:tc>
          <w:tcPr>
            <w:tcW w:w="100" w:type="dxa"/>
            <w:vAlign w:val="bottom"/>
          </w:tcPr>
          <w:p>
            <w:pPr>
              <w:spacing w:after="0"/>
              <w:rPr>
                <w:sz w:val="18"/>
                <w:szCs w:val="18"/>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85.6%</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88.5%</w:t>
            </w:r>
          </w:p>
        </w:tc>
        <w:tc>
          <w:tcPr>
            <w:tcW w:w="480" w:type="dxa"/>
            <w:vAlign w:val="bottom"/>
          </w:tcPr>
          <w:p>
            <w:pPr>
              <w:jc w:val="right"/>
              <w:spacing w:after="0"/>
              <w:rPr>
                <w:sz w:val="20"/>
                <w:szCs w:val="20"/>
                <w:color w:val="auto"/>
              </w:rPr>
            </w:pPr>
            <w:r>
              <w:rPr>
                <w:rFonts w:ascii="Arial" w:cs="Arial" w:eastAsia="Arial" w:hAnsi="Arial"/>
                <w:sz w:val="9"/>
                <w:szCs w:val="9"/>
                <w:color w:val="auto"/>
              </w:rPr>
              <w:t>86.4%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86.4%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2,981,456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13.00</w:t>
            </w:r>
          </w:p>
        </w:tc>
        <w:tc>
          <w:tcPr>
            <w:tcW w:w="0" w:type="dxa"/>
            <w:vAlign w:val="bottom"/>
          </w:tcPr>
          <w:p>
            <w:pPr>
              <w:spacing w:after="0"/>
              <w:rPr>
                <w:sz w:val="1"/>
                <w:szCs w:val="1"/>
                <w:color w:val="auto"/>
              </w:rPr>
            </w:pPr>
          </w:p>
        </w:tc>
      </w:tr>
      <w:tr>
        <w:trPr>
          <w:trHeight w:val="219"/>
        </w:trPr>
        <w:tc>
          <w:tcPr>
            <w:tcW w:w="1060" w:type="dxa"/>
            <w:vAlign w:val="bottom"/>
            <w:gridSpan w:val="9"/>
          </w:tcPr>
          <w:p>
            <w:pPr>
              <w:spacing w:after="0"/>
              <w:rPr>
                <w:sz w:val="20"/>
                <w:szCs w:val="20"/>
                <w:color w:val="auto"/>
              </w:rPr>
            </w:pPr>
            <w:r>
              <w:rPr>
                <w:rFonts w:ascii="Arial" w:cs="Arial" w:eastAsia="Arial" w:hAnsi="Arial"/>
                <w:sz w:val="9"/>
                <w:szCs w:val="9"/>
                <w:color w:val="auto"/>
              </w:rPr>
              <w:t>Lake Montclair</w:t>
            </w:r>
          </w:p>
        </w:tc>
        <w:tc>
          <w:tcPr>
            <w:tcW w:w="1080" w:type="dxa"/>
            <w:vAlign w:val="bottom"/>
          </w:tcPr>
          <w:p>
            <w:pPr>
              <w:jc w:val="center"/>
              <w:spacing w:after="0"/>
              <w:rPr>
                <w:sz w:val="20"/>
                <w:szCs w:val="20"/>
                <w:color w:val="auto"/>
              </w:rPr>
            </w:pPr>
            <w:r>
              <w:rPr>
                <w:rFonts w:ascii="Arial" w:cs="Arial" w:eastAsia="Arial" w:hAnsi="Arial"/>
                <w:sz w:val="9"/>
                <w:szCs w:val="9"/>
                <w:color w:val="auto"/>
                <w:w w:val="99"/>
              </w:rPr>
              <w:t>Food Lion</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2013</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33,000</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72,832</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105,832</w:t>
            </w:r>
          </w:p>
        </w:tc>
        <w:tc>
          <w:tcPr>
            <w:tcW w:w="10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97.8%</w:t>
            </w:r>
          </w:p>
        </w:tc>
        <w:tc>
          <w:tcPr>
            <w:tcW w:w="480" w:type="dxa"/>
            <w:vAlign w:val="bottom"/>
          </w:tcPr>
          <w:p>
            <w:pPr>
              <w:jc w:val="right"/>
              <w:spacing w:after="0"/>
              <w:rPr>
                <w:sz w:val="20"/>
                <w:szCs w:val="20"/>
                <w:color w:val="auto"/>
              </w:rPr>
            </w:pPr>
            <w:r>
              <w:rPr>
                <w:rFonts w:ascii="Arial" w:cs="Arial" w:eastAsia="Arial" w:hAnsi="Arial"/>
                <w:sz w:val="9"/>
                <w:szCs w:val="9"/>
                <w:color w:val="auto"/>
              </w:rPr>
              <w:t>98.5%</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98.5%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2,011,618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19.30</w:t>
            </w:r>
          </w:p>
        </w:tc>
        <w:tc>
          <w:tcPr>
            <w:tcW w:w="0" w:type="dxa"/>
            <w:vAlign w:val="bottom"/>
          </w:tcPr>
          <w:p>
            <w:pPr>
              <w:spacing w:after="0"/>
              <w:rPr>
                <w:sz w:val="1"/>
                <w:szCs w:val="1"/>
                <w:color w:val="auto"/>
              </w:rPr>
            </w:pPr>
          </w:p>
        </w:tc>
      </w:tr>
      <w:tr>
        <w:trPr>
          <w:trHeight w:val="313"/>
        </w:trPr>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9"/>
                <w:szCs w:val="9"/>
                <w:color w:val="auto"/>
                <w:w w:val="94"/>
              </w:rPr>
              <w:t>Delaware</w:t>
            </w:r>
          </w:p>
        </w:tc>
        <w:tc>
          <w:tcPr>
            <w:tcW w:w="680" w:type="dxa"/>
            <w:vAlign w:val="bottom"/>
            <w:gridSpan w:val="6"/>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60" w:type="dxa"/>
            <w:vAlign w:val="bottom"/>
            <w:gridSpan w:val="9"/>
          </w:tcPr>
          <w:p>
            <w:pPr>
              <w:spacing w:after="0"/>
              <w:rPr>
                <w:sz w:val="20"/>
                <w:szCs w:val="20"/>
                <w:color w:val="auto"/>
              </w:rPr>
            </w:pPr>
            <w:r>
              <w:rPr>
                <w:rFonts w:ascii="Arial" w:cs="Arial" w:eastAsia="Arial" w:hAnsi="Arial"/>
                <w:sz w:val="9"/>
                <w:szCs w:val="9"/>
                <w:color w:val="auto"/>
              </w:rPr>
              <w:t>Eden Square</w:t>
            </w:r>
          </w:p>
        </w:tc>
        <w:tc>
          <w:tcPr>
            <w:tcW w:w="1080" w:type="dxa"/>
            <w:vAlign w:val="bottom"/>
          </w:tcPr>
          <w:p>
            <w:pPr>
              <w:jc w:val="center"/>
              <w:spacing w:after="0"/>
              <w:rPr>
                <w:sz w:val="20"/>
                <w:szCs w:val="20"/>
                <w:color w:val="auto"/>
              </w:rPr>
            </w:pPr>
            <w:r>
              <w:rPr>
                <w:rFonts w:ascii="Arial" w:cs="Arial" w:eastAsia="Arial" w:hAnsi="Arial"/>
                <w:sz w:val="9"/>
                <w:szCs w:val="9"/>
                <w:color w:val="auto"/>
                <w:w w:val="97"/>
              </w:rPr>
              <w:t>Giant Food, LA Fitness</w:t>
            </w:r>
          </w:p>
        </w:tc>
        <w:tc>
          <w:tcPr>
            <w:tcW w:w="540" w:type="dxa"/>
            <w:vAlign w:val="bottom"/>
          </w:tcPr>
          <w:p>
            <w:pPr>
              <w:jc w:val="center"/>
              <w:spacing w:after="0"/>
              <w:rPr>
                <w:sz w:val="20"/>
                <w:szCs w:val="20"/>
                <w:color w:val="auto"/>
              </w:rPr>
            </w:pPr>
            <w:r>
              <w:rPr>
                <w:rFonts w:ascii="Arial" w:cs="Arial" w:eastAsia="Arial" w:hAnsi="Arial"/>
                <w:sz w:val="9"/>
                <w:szCs w:val="9"/>
                <w:color w:val="auto"/>
                <w:w w:val="99"/>
              </w:rPr>
              <w:t>2014</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98.6%</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16"/>
              <w:spacing w:after="0"/>
              <w:rPr>
                <w:sz w:val="20"/>
                <w:szCs w:val="20"/>
                <w:color w:val="auto"/>
              </w:rPr>
            </w:pPr>
            <w:r>
              <w:rPr>
                <w:rFonts w:ascii="Arial" w:cs="Arial" w:eastAsia="Arial" w:hAnsi="Arial"/>
                <w:sz w:val="9"/>
                <w:szCs w:val="9"/>
                <w:color w:val="auto"/>
              </w:rPr>
              <w:t>115,973</w:t>
            </w:r>
          </w:p>
        </w:tc>
        <w:tc>
          <w:tcPr>
            <w:tcW w:w="620" w:type="dxa"/>
            <w:vAlign w:val="bottom"/>
          </w:tcPr>
          <w:p>
            <w:pPr>
              <w:jc w:val="right"/>
              <w:ind w:right="76"/>
              <w:spacing w:after="0"/>
              <w:rPr>
                <w:sz w:val="20"/>
                <w:szCs w:val="20"/>
                <w:color w:val="auto"/>
              </w:rPr>
            </w:pPr>
            <w:r>
              <w:rPr>
                <w:rFonts w:ascii="Arial" w:cs="Arial" w:eastAsia="Arial" w:hAnsi="Arial"/>
                <w:sz w:val="9"/>
                <w:szCs w:val="9"/>
                <w:color w:val="auto"/>
              </w:rPr>
              <w:t>115,071</w:t>
            </w:r>
          </w:p>
        </w:tc>
        <w:tc>
          <w:tcPr>
            <w:tcW w:w="540" w:type="dxa"/>
            <w:vAlign w:val="bottom"/>
          </w:tcPr>
          <w:p>
            <w:pPr>
              <w:jc w:val="right"/>
              <w:ind w:right="76"/>
              <w:spacing w:after="0"/>
              <w:rPr>
                <w:sz w:val="20"/>
                <w:szCs w:val="20"/>
                <w:color w:val="auto"/>
              </w:rPr>
            </w:pPr>
            <w:r>
              <w:rPr>
                <w:rFonts w:ascii="Arial" w:cs="Arial" w:eastAsia="Arial" w:hAnsi="Arial"/>
                <w:sz w:val="9"/>
                <w:szCs w:val="9"/>
                <w:color w:val="auto"/>
              </w:rPr>
              <w:t>231,044</w:t>
            </w:r>
          </w:p>
        </w:tc>
        <w:tc>
          <w:tcPr>
            <w:tcW w:w="100" w:type="dxa"/>
            <w:vAlign w:val="bottom"/>
          </w:tcPr>
          <w:p>
            <w:pPr>
              <w:spacing w:after="0"/>
              <w:rPr>
                <w:sz w:val="18"/>
                <w:szCs w:val="18"/>
                <w:color w:val="auto"/>
              </w:rPr>
            </w:pPr>
          </w:p>
        </w:tc>
        <w:tc>
          <w:tcPr>
            <w:tcW w:w="72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100.0%</w:t>
            </w:r>
          </w:p>
        </w:tc>
        <w:tc>
          <w:tcPr>
            <w:tcW w:w="620" w:type="dxa"/>
            <w:vAlign w:val="bottom"/>
          </w:tcPr>
          <w:p>
            <w:pPr>
              <w:jc w:val="right"/>
              <w:ind w:right="56"/>
              <w:spacing w:after="0"/>
              <w:rPr>
                <w:sz w:val="20"/>
                <w:szCs w:val="20"/>
                <w:color w:val="auto"/>
              </w:rPr>
            </w:pPr>
            <w:r>
              <w:rPr>
                <w:rFonts w:ascii="Arial" w:cs="Arial" w:eastAsia="Arial" w:hAnsi="Arial"/>
                <w:sz w:val="9"/>
                <w:szCs w:val="9"/>
                <w:color w:val="auto"/>
              </w:rPr>
              <w:t>47.5%</w:t>
            </w:r>
          </w:p>
        </w:tc>
        <w:tc>
          <w:tcPr>
            <w:tcW w:w="480" w:type="dxa"/>
            <w:vAlign w:val="bottom"/>
          </w:tcPr>
          <w:p>
            <w:pPr>
              <w:jc w:val="right"/>
              <w:spacing w:after="0"/>
              <w:rPr>
                <w:sz w:val="20"/>
                <w:szCs w:val="20"/>
                <w:color w:val="auto"/>
              </w:rPr>
            </w:pPr>
            <w:r>
              <w:rPr>
                <w:rFonts w:ascii="Arial" w:cs="Arial" w:eastAsia="Arial" w:hAnsi="Arial"/>
                <w:sz w:val="9"/>
                <w:szCs w:val="9"/>
                <w:color w:val="auto"/>
              </w:rPr>
              <w:t>73.9%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88.6%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ind w:right="56"/>
              <w:spacing w:after="0"/>
              <w:rPr>
                <w:sz w:val="20"/>
                <w:szCs w:val="20"/>
                <w:color w:val="auto"/>
              </w:rPr>
            </w:pPr>
            <w:r>
              <w:rPr>
                <w:rFonts w:ascii="Arial" w:cs="Arial" w:eastAsia="Arial" w:hAnsi="Arial"/>
                <w:sz w:val="9"/>
                <w:szCs w:val="9"/>
                <w:color w:val="auto"/>
              </w:rPr>
              <w:t>2,435,150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14.26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33</w:t>
            </w:r>
          </w:p>
        </w:tc>
      </w:tr>
    </w:tbl>
    <w:p>
      <w:pPr>
        <w:sectPr>
          <w:pgSz w:w="11900" w:h="16838" w:orient="portrait"/>
          <w:cols w:equalWidth="0" w:num="1">
            <w:col w:w="10980"/>
          </w:cols>
          <w:pgMar w:left="380" w:top="617" w:right="539" w:bottom="1440" w:gutter="0" w:footer="0" w:header="0"/>
        </w:sectPr>
      </w:pPr>
    </w:p>
    <w:bookmarkStart w:id="45" w:name="page46"/>
    <w:bookmarkEnd w:id="45"/>
    <w:p>
      <w:pPr>
        <w:ind w:left="360"/>
        <w:spacing w:after="0"/>
        <w:rPr>
          <w:sz w:val="20"/>
          <w:szCs w:val="20"/>
          <w:color w:val="auto"/>
        </w:rPr>
      </w:pPr>
      <w:r>
        <w:rPr>
          <w:rFonts w:ascii="Arial" w:cs="Arial" w:eastAsia="Arial" w:hAnsi="Arial"/>
          <w:sz w:val="20"/>
          <w:szCs w:val="20"/>
          <w:b w:val="1"/>
          <w:bCs w:val="1"/>
          <w:color w:val="auto"/>
        </w:rPr>
        <w:t xml:space="preserve">Fund Retail Properties - Detail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68491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49110" cy="6985"/>
                    </a:xfrm>
                    <a:prstGeom prst="rect">
                      <a:avLst/>
                    </a:prstGeom>
                    <a:noFill/>
                  </pic:spPr>
                </pic:pic>
              </a:graphicData>
            </a:graphic>
          </wp:anchor>
        </w:drawing>
      </w:r>
    </w:p>
    <w:p>
      <w:pPr>
        <w:spacing w:after="0" w:line="99" w:lineRule="exact"/>
        <w:rPr>
          <w:sz w:val="20"/>
          <w:szCs w:val="20"/>
          <w:color w:val="auto"/>
        </w:rPr>
      </w:pPr>
    </w:p>
    <w:tbl>
      <w:tblPr>
        <w:tblLayout w:type="fixed"/>
        <w:tblInd w:w="36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Fund</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6"/>
              </w:rPr>
              <w:t>Leased</w:t>
            </w:r>
          </w:p>
        </w:tc>
        <w:tc>
          <w:tcPr>
            <w:tcW w:w="7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5"/>
              </w:rPr>
              <w:t>Annualized</w:t>
            </w:r>
          </w:p>
        </w:tc>
        <w:tc>
          <w:tcPr>
            <w:tcW w:w="100" w:type="dxa"/>
            <w:vAlign w:val="bottom"/>
          </w:tcPr>
          <w:p>
            <w:pPr>
              <w:spacing w:after="0"/>
              <w:rPr>
                <w:sz w:val="10"/>
                <w:szCs w:val="10"/>
                <w:color w:val="auto"/>
              </w:rPr>
            </w:pPr>
          </w:p>
        </w:tc>
        <w:tc>
          <w:tcPr>
            <w:tcW w:w="640" w:type="dxa"/>
            <w:vAlign w:val="bottom"/>
          </w:tcPr>
          <w:p>
            <w:pPr>
              <w:jc w:val="center"/>
              <w:ind w:right="76"/>
              <w:spacing w:after="0"/>
              <w:rPr>
                <w:sz w:val="20"/>
                <w:szCs w:val="20"/>
                <w:color w:val="auto"/>
              </w:rPr>
            </w:pPr>
            <w:r>
              <w:rPr>
                <w:rFonts w:ascii="Arial" w:cs="Arial" w:eastAsia="Arial" w:hAnsi="Arial"/>
                <w:sz w:val="9"/>
                <w:szCs w:val="9"/>
                <w:b w:val="1"/>
                <w:bCs w:val="1"/>
                <w:color w:val="auto"/>
                <w:w w:val="99"/>
              </w:rPr>
              <w:t>Annualized</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rPr>
              <w:t>Year</w:t>
            </w:r>
          </w:p>
        </w:tc>
        <w:tc>
          <w:tcPr>
            <w:tcW w:w="6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8"/>
              </w:rPr>
              <w:t>Ownership</w:t>
            </w:r>
          </w:p>
        </w:tc>
        <w:tc>
          <w:tcPr>
            <w:tcW w:w="6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9"/>
                <w:szCs w:val="9"/>
                <w:b w:val="1"/>
                <w:bCs w:val="1"/>
                <w:color w:val="auto"/>
              </w:rPr>
              <w:t>Gross Leasable Area</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9"/>
                <w:szCs w:val="9"/>
                <w:b w:val="1"/>
                <w:bCs w:val="1"/>
                <w:color w:val="auto"/>
              </w:rPr>
              <w:t>In Place Occupancy</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4"/>
              </w:rPr>
              <w:t>Occupancy</w:t>
            </w:r>
          </w:p>
        </w:tc>
        <w:tc>
          <w:tcPr>
            <w:tcW w:w="7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5"/>
              </w:rPr>
              <w:t>Base Rent</w:t>
            </w:r>
          </w:p>
        </w:tc>
        <w:tc>
          <w:tcPr>
            <w:tcW w:w="100" w:type="dxa"/>
            <w:vAlign w:val="bottom"/>
          </w:tcPr>
          <w:p>
            <w:pPr>
              <w:spacing w:after="0"/>
              <w:rPr>
                <w:sz w:val="19"/>
                <w:szCs w:val="19"/>
                <w:color w:val="auto"/>
              </w:rPr>
            </w:pPr>
          </w:p>
        </w:tc>
        <w:tc>
          <w:tcPr>
            <w:tcW w:w="640" w:type="dxa"/>
            <w:vAlign w:val="bottom"/>
          </w:tcPr>
          <w:p>
            <w:pPr>
              <w:jc w:val="center"/>
              <w:ind w:right="76"/>
              <w:spacing w:after="0"/>
              <w:rPr>
                <w:sz w:val="20"/>
                <w:szCs w:val="20"/>
                <w:color w:val="auto"/>
              </w:rPr>
            </w:pPr>
            <w:r>
              <w:rPr>
                <w:rFonts w:ascii="Arial" w:cs="Arial" w:eastAsia="Arial" w:hAnsi="Arial"/>
                <w:sz w:val="9"/>
                <w:szCs w:val="9"/>
                <w:b w:val="1"/>
                <w:bCs w:val="1"/>
                <w:color w:val="auto"/>
                <w:w w:val="99"/>
              </w:rPr>
              <w:t>Base Rent</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w w:val="98"/>
              </w:rPr>
              <w:t>Anchors</w:t>
            </w: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97"/>
              </w:rPr>
              <w:t>Acquired</w:t>
            </w: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74"/>
              </w:rPr>
              <w:t>%</w:t>
            </w:r>
          </w:p>
        </w:tc>
        <w:tc>
          <w:tcPr>
            <w:tcW w:w="100" w:type="dxa"/>
            <w:vAlign w:val="bottom"/>
          </w:tcPr>
          <w:p>
            <w:pPr>
              <w:spacing w:after="0"/>
              <w:rPr>
                <w:sz w:val="17"/>
                <w:szCs w:val="17"/>
                <w:color w:val="auto"/>
              </w:rPr>
            </w:pPr>
          </w:p>
        </w:tc>
        <w:tc>
          <w:tcPr>
            <w:tcW w:w="680" w:type="dxa"/>
            <w:vAlign w:val="bottom"/>
          </w:tcPr>
          <w:p>
            <w:pPr>
              <w:jc w:val="right"/>
              <w:ind w:right="196"/>
              <w:spacing w:after="0"/>
              <w:rPr>
                <w:sz w:val="20"/>
                <w:szCs w:val="20"/>
                <w:color w:val="auto"/>
              </w:rPr>
            </w:pPr>
            <w:r>
              <w:rPr>
                <w:rFonts w:ascii="Arial" w:cs="Arial" w:eastAsia="Arial" w:hAnsi="Arial"/>
                <w:sz w:val="9"/>
                <w:szCs w:val="9"/>
                <w:b w:val="1"/>
                <w:bCs w:val="1"/>
                <w:color w:val="auto"/>
              </w:rPr>
              <w:t>Street</w:t>
            </w:r>
          </w:p>
        </w:tc>
        <w:tc>
          <w:tcPr>
            <w:tcW w:w="660" w:type="dxa"/>
            <w:vAlign w:val="bottom"/>
          </w:tcPr>
          <w:p>
            <w:pPr>
              <w:jc w:val="right"/>
              <w:ind w:right="136"/>
              <w:spacing w:after="0"/>
              <w:rPr>
                <w:sz w:val="20"/>
                <w:szCs w:val="20"/>
                <w:color w:val="auto"/>
              </w:rPr>
            </w:pPr>
            <w:r>
              <w:rPr>
                <w:rFonts w:ascii="Arial" w:cs="Arial" w:eastAsia="Arial" w:hAnsi="Arial"/>
                <w:sz w:val="9"/>
                <w:szCs w:val="9"/>
                <w:b w:val="1"/>
                <w:bCs w:val="1"/>
                <w:color w:val="auto"/>
              </w:rPr>
              <w:t>Anchors</w:t>
            </w:r>
          </w:p>
        </w:tc>
        <w:tc>
          <w:tcPr>
            <w:tcW w:w="600" w:type="dxa"/>
            <w:vAlign w:val="bottom"/>
          </w:tcPr>
          <w:p>
            <w:pPr>
              <w:jc w:val="right"/>
              <w:ind w:right="116"/>
              <w:spacing w:after="0"/>
              <w:rPr>
                <w:sz w:val="20"/>
                <w:szCs w:val="20"/>
                <w:color w:val="auto"/>
              </w:rPr>
            </w:pPr>
            <w:r>
              <w:rPr>
                <w:rFonts w:ascii="Arial" w:cs="Arial" w:eastAsia="Arial" w:hAnsi="Arial"/>
                <w:sz w:val="9"/>
                <w:szCs w:val="9"/>
                <w:b w:val="1"/>
                <w:bCs w:val="1"/>
                <w:color w:val="auto"/>
              </w:rPr>
              <w:t>Shops</w:t>
            </w:r>
          </w:p>
        </w:tc>
        <w:tc>
          <w:tcPr>
            <w:tcW w:w="680" w:type="dxa"/>
            <w:vAlign w:val="bottom"/>
            <w:gridSpan w:val="2"/>
          </w:tcPr>
          <w:p>
            <w:pPr>
              <w:ind w:left="200"/>
              <w:spacing w:after="0"/>
              <w:rPr>
                <w:sz w:val="20"/>
                <w:szCs w:val="20"/>
                <w:color w:val="auto"/>
              </w:rPr>
            </w:pPr>
            <w:r>
              <w:rPr>
                <w:rFonts w:ascii="Arial" w:cs="Arial" w:eastAsia="Arial" w:hAnsi="Arial"/>
                <w:sz w:val="9"/>
                <w:szCs w:val="9"/>
                <w:b w:val="1"/>
                <w:bCs w:val="1"/>
                <w:color w:val="auto"/>
              </w:rPr>
              <w:t>Total</w:t>
            </w:r>
          </w:p>
        </w:tc>
        <w:tc>
          <w:tcPr>
            <w:tcW w:w="700" w:type="dxa"/>
            <w:vAlign w:val="bottom"/>
          </w:tcPr>
          <w:p>
            <w:pPr>
              <w:jc w:val="right"/>
              <w:ind w:right="216"/>
              <w:spacing w:after="0"/>
              <w:rPr>
                <w:sz w:val="20"/>
                <w:szCs w:val="20"/>
                <w:color w:val="auto"/>
              </w:rPr>
            </w:pPr>
            <w:r>
              <w:rPr>
                <w:rFonts w:ascii="Arial" w:cs="Arial" w:eastAsia="Arial" w:hAnsi="Arial"/>
                <w:sz w:val="9"/>
                <w:szCs w:val="9"/>
                <w:b w:val="1"/>
                <w:bCs w:val="1"/>
                <w:color w:val="auto"/>
              </w:rPr>
              <w:t>Street</w:t>
            </w:r>
          </w:p>
        </w:tc>
        <w:tc>
          <w:tcPr>
            <w:tcW w:w="660" w:type="dxa"/>
            <w:vAlign w:val="bottom"/>
          </w:tcPr>
          <w:p>
            <w:pPr>
              <w:jc w:val="right"/>
              <w:ind w:right="176"/>
              <w:spacing w:after="0"/>
              <w:rPr>
                <w:sz w:val="20"/>
                <w:szCs w:val="20"/>
                <w:color w:val="auto"/>
              </w:rPr>
            </w:pPr>
            <w:r>
              <w:rPr>
                <w:rFonts w:ascii="Arial" w:cs="Arial" w:eastAsia="Arial" w:hAnsi="Arial"/>
                <w:sz w:val="9"/>
                <w:szCs w:val="9"/>
                <w:b w:val="1"/>
                <w:bCs w:val="1"/>
                <w:color w:val="auto"/>
              </w:rPr>
              <w:t>Anchors</w:t>
            </w:r>
          </w:p>
        </w:tc>
        <w:tc>
          <w:tcPr>
            <w:tcW w:w="640" w:type="dxa"/>
            <w:vAlign w:val="bottom"/>
          </w:tcPr>
          <w:p>
            <w:pPr>
              <w:jc w:val="right"/>
              <w:ind w:right="216"/>
              <w:spacing w:after="0"/>
              <w:rPr>
                <w:sz w:val="20"/>
                <w:szCs w:val="20"/>
                <w:color w:val="auto"/>
              </w:rPr>
            </w:pPr>
            <w:r>
              <w:rPr>
                <w:rFonts w:ascii="Arial" w:cs="Arial" w:eastAsia="Arial" w:hAnsi="Arial"/>
                <w:sz w:val="9"/>
                <w:szCs w:val="9"/>
                <w:b w:val="1"/>
                <w:bCs w:val="1"/>
                <w:color w:val="auto"/>
              </w:rPr>
              <w:t>Shops</w:t>
            </w:r>
          </w:p>
        </w:tc>
        <w:tc>
          <w:tcPr>
            <w:tcW w:w="580" w:type="dxa"/>
            <w:vAlign w:val="bottom"/>
            <w:gridSpan w:val="2"/>
          </w:tcPr>
          <w:p>
            <w:pPr>
              <w:ind w:left="100"/>
              <w:spacing w:after="0"/>
              <w:rPr>
                <w:sz w:val="20"/>
                <w:szCs w:val="20"/>
                <w:color w:val="auto"/>
              </w:rPr>
            </w:pPr>
            <w:r>
              <w:rPr>
                <w:rFonts w:ascii="Arial" w:cs="Arial" w:eastAsia="Arial" w:hAnsi="Arial"/>
                <w:sz w:val="9"/>
                <w:szCs w:val="9"/>
                <w:b w:val="1"/>
                <w:bCs w:val="1"/>
                <w:color w:val="auto"/>
              </w:rPr>
              <w:t>Total</w:t>
            </w:r>
          </w:p>
        </w:tc>
        <w:tc>
          <w:tcPr>
            <w:tcW w:w="7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rPr>
              <w:t>Total</w:t>
            </w:r>
          </w:p>
        </w:tc>
        <w:tc>
          <w:tcPr>
            <w:tcW w:w="7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17"/>
                <w:szCs w:val="17"/>
                <w:color w:val="auto"/>
              </w:rPr>
            </w:pPr>
          </w:p>
        </w:tc>
        <w:tc>
          <w:tcPr>
            <w:tcW w:w="640" w:type="dxa"/>
            <w:vAlign w:val="bottom"/>
          </w:tcPr>
          <w:p>
            <w:pPr>
              <w:jc w:val="center"/>
              <w:ind w:right="76"/>
              <w:spacing w:after="0"/>
              <w:rPr>
                <w:sz w:val="20"/>
                <w:szCs w:val="20"/>
                <w:color w:val="auto"/>
              </w:rPr>
            </w:pPr>
            <w:r>
              <w:rPr>
                <w:rFonts w:ascii="Arial" w:cs="Arial" w:eastAsia="Arial" w:hAnsi="Arial"/>
                <w:sz w:val="9"/>
                <w:szCs w:val="9"/>
                <w:b w:val="1"/>
                <w:bCs w:val="1"/>
                <w:color w:val="auto"/>
                <w:w w:val="91"/>
              </w:rPr>
              <w:t>PSF</w:t>
            </w:r>
          </w:p>
        </w:tc>
        <w:tc>
          <w:tcPr>
            <w:tcW w:w="0" w:type="dxa"/>
            <w:vAlign w:val="bottom"/>
          </w:tcPr>
          <w:p>
            <w:pPr>
              <w:spacing w:after="0"/>
              <w:rPr>
                <w:sz w:val="1"/>
                <w:szCs w:val="1"/>
                <w:color w:val="auto"/>
              </w:rPr>
            </w:pPr>
          </w:p>
        </w:tc>
      </w:tr>
      <w:tr>
        <w:trPr>
          <w:trHeight w:val="201"/>
        </w:trPr>
        <w:tc>
          <w:tcPr>
            <w:tcW w:w="1060" w:type="dxa"/>
            <w:vAlign w:val="bottom"/>
            <w:gridSpan w:val="8"/>
          </w:tcPr>
          <w:p>
            <w:pPr>
              <w:spacing w:after="0"/>
              <w:rPr>
                <w:sz w:val="20"/>
                <w:szCs w:val="20"/>
                <w:color w:val="auto"/>
              </w:rPr>
            </w:pPr>
            <w:r>
              <w:rPr>
                <w:rFonts w:ascii="Arial" w:cs="Arial" w:eastAsia="Arial" w:hAnsi="Arial"/>
                <w:sz w:val="9"/>
                <w:szCs w:val="9"/>
                <w:b w:val="1"/>
                <w:bCs w:val="1"/>
                <w:color w:val="auto"/>
              </w:rPr>
              <w:t>MIDWEST</w:t>
            </w:r>
          </w:p>
        </w:tc>
        <w:tc>
          <w:tcPr>
            <w:tcW w:w="1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gridSpan w:val="8"/>
          </w:tcPr>
          <w:p>
            <w:pPr>
              <w:spacing w:after="0"/>
              <w:rPr>
                <w:sz w:val="20"/>
                <w:szCs w:val="20"/>
                <w:color w:val="auto"/>
              </w:rPr>
            </w:pPr>
            <w:r>
              <w:rPr>
                <w:rFonts w:ascii="Arial" w:cs="Arial" w:eastAsia="Arial" w:hAnsi="Arial"/>
                <w:sz w:val="9"/>
                <w:szCs w:val="9"/>
                <w:color w:val="auto"/>
              </w:rPr>
              <w:t>Illinois</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gridSpan w:val="8"/>
          </w:tcPr>
          <w:p>
            <w:pPr>
              <w:spacing w:after="0"/>
              <w:rPr>
                <w:sz w:val="20"/>
                <w:szCs w:val="20"/>
                <w:color w:val="auto"/>
              </w:rPr>
            </w:pPr>
            <w:r>
              <w:rPr>
                <w:rFonts w:ascii="Arial" w:cs="Arial" w:eastAsia="Arial" w:hAnsi="Arial"/>
                <w:sz w:val="9"/>
                <w:szCs w:val="9"/>
                <w:color w:val="auto"/>
              </w:rPr>
              <w:t>938 W. North Avenue</w:t>
            </w:r>
          </w:p>
        </w:tc>
        <w:tc>
          <w:tcPr>
            <w:tcW w:w="1100" w:type="dxa"/>
            <w:vAlign w:val="bottom"/>
          </w:tcPr>
          <w:p>
            <w:pPr>
              <w:jc w:val="center"/>
              <w:spacing w:after="0"/>
              <w:rPr>
                <w:sz w:val="20"/>
                <w:szCs w:val="20"/>
                <w:color w:val="auto"/>
              </w:rPr>
            </w:pPr>
            <w:r>
              <w:rPr>
                <w:rFonts w:ascii="Arial" w:cs="Arial" w:eastAsia="Arial" w:hAnsi="Arial"/>
                <w:sz w:val="9"/>
                <w:szCs w:val="9"/>
                <w:color w:val="auto"/>
                <w:w w:val="93"/>
              </w:rPr>
              <w:t>Sephora</w:t>
            </w:r>
          </w:p>
        </w:tc>
        <w:tc>
          <w:tcPr>
            <w:tcW w:w="520" w:type="dxa"/>
            <w:vAlign w:val="bottom"/>
          </w:tcPr>
          <w:p>
            <w:pPr>
              <w:jc w:val="center"/>
              <w:spacing w:after="0"/>
              <w:rPr>
                <w:sz w:val="20"/>
                <w:szCs w:val="20"/>
                <w:color w:val="auto"/>
              </w:rPr>
            </w:pPr>
            <w:r>
              <w:rPr>
                <w:rFonts w:ascii="Arial" w:cs="Arial" w:eastAsia="Arial" w:hAnsi="Arial"/>
                <w:sz w:val="9"/>
                <w:szCs w:val="9"/>
                <w:color w:val="auto"/>
                <w:w w:val="99"/>
              </w:rPr>
              <w:t>2013</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33,228</w:t>
            </w:r>
          </w:p>
        </w:tc>
        <w:tc>
          <w:tcPr>
            <w:tcW w:w="66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33,228</w:t>
            </w:r>
          </w:p>
        </w:tc>
        <w:tc>
          <w:tcPr>
            <w:tcW w:w="10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Arial" w:cs="Arial" w:eastAsia="Arial" w:hAnsi="Arial"/>
                <w:sz w:val="9"/>
                <w:szCs w:val="9"/>
                <w:color w:val="auto"/>
              </w:rPr>
              <w:t>16.1%</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16.1%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16.1%</w:t>
            </w:r>
          </w:p>
        </w:tc>
        <w:tc>
          <w:tcPr>
            <w:tcW w:w="100" w:type="dxa"/>
            <w:vAlign w:val="bottom"/>
          </w:tcPr>
          <w:p>
            <w:pPr>
              <w:spacing w:after="0"/>
              <w:rPr>
                <w:sz w:val="18"/>
                <w:szCs w:val="18"/>
                <w:color w:val="auto"/>
              </w:rPr>
            </w:pP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326,350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61.00</w:t>
            </w:r>
          </w:p>
        </w:tc>
        <w:tc>
          <w:tcPr>
            <w:tcW w:w="0" w:type="dxa"/>
            <w:vAlign w:val="bottom"/>
          </w:tcPr>
          <w:p>
            <w:pPr>
              <w:spacing w:after="0"/>
              <w:rPr>
                <w:sz w:val="1"/>
                <w:szCs w:val="1"/>
                <w:color w:val="auto"/>
              </w:rPr>
            </w:pPr>
          </w:p>
        </w:tc>
      </w:tr>
      <w:tr>
        <w:trPr>
          <w:trHeight w:val="219"/>
        </w:trPr>
        <w:tc>
          <w:tcPr>
            <w:tcW w:w="1060" w:type="dxa"/>
            <w:vAlign w:val="bottom"/>
            <w:gridSpan w:val="8"/>
          </w:tcPr>
          <w:p>
            <w:pPr>
              <w:spacing w:after="0"/>
              <w:rPr>
                <w:sz w:val="20"/>
                <w:szCs w:val="20"/>
                <w:color w:val="auto"/>
              </w:rPr>
            </w:pPr>
            <w:r>
              <w:rPr>
                <w:rFonts w:ascii="Arial" w:cs="Arial" w:eastAsia="Arial" w:hAnsi="Arial"/>
                <w:sz w:val="9"/>
                <w:szCs w:val="9"/>
                <w:color w:val="auto"/>
              </w:rPr>
              <w:t>Lincoln Place</w:t>
            </w:r>
          </w:p>
        </w:tc>
        <w:tc>
          <w:tcPr>
            <w:tcW w:w="1100" w:type="dxa"/>
            <w:vAlign w:val="bottom"/>
          </w:tcPr>
          <w:p>
            <w:pPr>
              <w:jc w:val="center"/>
              <w:spacing w:after="0"/>
              <w:rPr>
                <w:sz w:val="20"/>
                <w:szCs w:val="20"/>
                <w:color w:val="auto"/>
              </w:rPr>
            </w:pPr>
            <w:r>
              <w:rPr>
                <w:rFonts w:ascii="Arial" w:cs="Arial" w:eastAsia="Arial" w:hAnsi="Arial"/>
                <w:sz w:val="9"/>
                <w:szCs w:val="9"/>
                <w:color w:val="auto"/>
                <w:w w:val="97"/>
              </w:rPr>
              <w:t>Kohl's, Marshall's</w:t>
            </w:r>
          </w:p>
        </w:tc>
        <w:tc>
          <w:tcPr>
            <w:tcW w:w="520" w:type="dxa"/>
            <w:vAlign w:val="bottom"/>
          </w:tcPr>
          <w:p>
            <w:pPr>
              <w:jc w:val="center"/>
              <w:spacing w:after="0"/>
              <w:rPr>
                <w:sz w:val="20"/>
                <w:szCs w:val="20"/>
                <w:color w:val="auto"/>
              </w:rPr>
            </w:pPr>
            <w:r>
              <w:rPr>
                <w:rFonts w:ascii="Arial" w:cs="Arial" w:eastAsia="Arial" w:hAnsi="Arial"/>
                <w:sz w:val="9"/>
                <w:szCs w:val="9"/>
                <w:color w:val="auto"/>
                <w:w w:val="99"/>
              </w:rPr>
              <w:t>2017</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271,866</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271,866</w:t>
            </w:r>
          </w:p>
        </w:tc>
        <w:tc>
          <w:tcPr>
            <w:tcW w:w="10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91.2%</w:t>
            </w:r>
          </w:p>
        </w:tc>
        <w:tc>
          <w:tcPr>
            <w:tcW w:w="480" w:type="dxa"/>
            <w:vAlign w:val="bottom"/>
          </w:tcPr>
          <w:p>
            <w:pPr>
              <w:jc w:val="right"/>
              <w:spacing w:after="0"/>
              <w:rPr>
                <w:sz w:val="20"/>
                <w:szCs w:val="20"/>
                <w:color w:val="auto"/>
              </w:rPr>
            </w:pPr>
            <w:r>
              <w:rPr>
                <w:rFonts w:ascii="Arial" w:cs="Arial" w:eastAsia="Arial" w:hAnsi="Arial"/>
                <w:sz w:val="9"/>
                <w:szCs w:val="9"/>
                <w:color w:val="auto"/>
              </w:rPr>
              <w:t>91.2%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91.2%</w:t>
            </w:r>
          </w:p>
        </w:tc>
        <w:tc>
          <w:tcPr>
            <w:tcW w:w="100" w:type="dxa"/>
            <w:vAlign w:val="bottom"/>
          </w:tcPr>
          <w:p>
            <w:pPr>
              <w:spacing w:after="0"/>
              <w:rPr>
                <w:sz w:val="19"/>
                <w:szCs w:val="19"/>
                <w:color w:val="auto"/>
              </w:rPr>
            </w:pP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2,916,476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11.76</w:t>
            </w:r>
          </w:p>
        </w:tc>
        <w:tc>
          <w:tcPr>
            <w:tcW w:w="0" w:type="dxa"/>
            <w:vAlign w:val="bottom"/>
          </w:tcPr>
          <w:p>
            <w:pPr>
              <w:spacing w:after="0"/>
              <w:rPr>
                <w:sz w:val="1"/>
                <w:szCs w:val="1"/>
                <w:color w:val="auto"/>
              </w:rPr>
            </w:pPr>
          </w:p>
        </w:tc>
      </w:tr>
      <w:tr>
        <w:trPr>
          <w:trHeight w:val="328"/>
        </w:trPr>
        <w:tc>
          <w:tcPr>
            <w:tcW w:w="1060" w:type="dxa"/>
            <w:vAlign w:val="bottom"/>
            <w:gridSpan w:val="8"/>
          </w:tcPr>
          <w:p>
            <w:pPr>
              <w:spacing w:after="0"/>
              <w:rPr>
                <w:sz w:val="20"/>
                <w:szCs w:val="20"/>
                <w:color w:val="auto"/>
              </w:rPr>
            </w:pPr>
            <w:r>
              <w:rPr>
                <w:rFonts w:ascii="Arial" w:cs="Arial" w:eastAsia="Arial" w:hAnsi="Arial"/>
                <w:sz w:val="9"/>
                <w:szCs w:val="9"/>
                <w:b w:val="1"/>
                <w:bCs w:val="1"/>
                <w:color w:val="auto"/>
              </w:rPr>
              <w:t>SOUTHEAST</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w w:val="93"/>
              </w:rPr>
              <w:t>Georgia</w:t>
            </w:r>
          </w:p>
        </w:tc>
        <w:tc>
          <w:tcPr>
            <w:tcW w:w="740" w:type="dxa"/>
            <w:vAlign w:val="bottom"/>
            <w:gridSpan w:val="6"/>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060" w:type="dxa"/>
            <w:vAlign w:val="bottom"/>
            <w:gridSpan w:val="8"/>
          </w:tcPr>
          <w:p>
            <w:pPr>
              <w:spacing w:after="0"/>
              <w:rPr>
                <w:sz w:val="20"/>
                <w:szCs w:val="20"/>
                <w:color w:val="auto"/>
              </w:rPr>
            </w:pPr>
            <w:r>
              <w:rPr>
                <w:rFonts w:ascii="Arial" w:cs="Arial" w:eastAsia="Arial" w:hAnsi="Arial"/>
                <w:sz w:val="9"/>
                <w:szCs w:val="9"/>
                <w:color w:val="auto"/>
              </w:rPr>
              <w:t>Broughton Street Portfolio</w:t>
            </w:r>
          </w:p>
        </w:tc>
        <w:tc>
          <w:tcPr>
            <w:tcW w:w="1100" w:type="dxa"/>
            <w:vAlign w:val="bottom"/>
          </w:tcPr>
          <w:p>
            <w:pPr>
              <w:jc w:val="center"/>
              <w:spacing w:after="0"/>
              <w:rPr>
                <w:sz w:val="20"/>
                <w:szCs w:val="20"/>
                <w:color w:val="auto"/>
              </w:rPr>
            </w:pPr>
            <w:r>
              <w:rPr>
                <w:rFonts w:ascii="Arial" w:cs="Arial" w:eastAsia="Arial" w:hAnsi="Arial"/>
                <w:sz w:val="9"/>
                <w:szCs w:val="9"/>
                <w:color w:val="auto"/>
                <w:w w:val="97"/>
              </w:rPr>
              <w:t>J. Crew, L'Occitane,</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60" w:type="dxa"/>
            <w:vAlign w:val="bottom"/>
            <w:gridSpan w:val="8"/>
          </w:tcPr>
          <w:p>
            <w:pPr>
              <w:spacing w:after="0"/>
              <w:rPr>
                <w:sz w:val="20"/>
                <w:szCs w:val="20"/>
                <w:color w:val="auto"/>
              </w:rPr>
            </w:pPr>
            <w:r>
              <w:rPr>
                <w:rFonts w:ascii="Arial" w:cs="Arial" w:eastAsia="Arial" w:hAnsi="Arial"/>
                <w:sz w:val="9"/>
                <w:szCs w:val="9"/>
                <w:color w:val="auto"/>
              </w:rPr>
              <w:t>- 16 properties</w:t>
            </w:r>
          </w:p>
        </w:tc>
        <w:tc>
          <w:tcPr>
            <w:tcW w:w="1100" w:type="dxa"/>
            <w:vAlign w:val="bottom"/>
          </w:tcPr>
          <w:p>
            <w:pPr>
              <w:jc w:val="center"/>
              <w:spacing w:after="0"/>
              <w:rPr>
                <w:sz w:val="20"/>
                <w:szCs w:val="20"/>
                <w:color w:val="auto"/>
              </w:rPr>
            </w:pPr>
            <w:r>
              <w:rPr>
                <w:rFonts w:ascii="Arial" w:cs="Arial" w:eastAsia="Arial" w:hAnsi="Arial"/>
                <w:sz w:val="9"/>
                <w:szCs w:val="9"/>
                <w:color w:val="auto"/>
                <w:w w:val="97"/>
              </w:rPr>
              <w:t>Lululemon, Michael Kors</w:t>
            </w:r>
          </w:p>
        </w:tc>
        <w:tc>
          <w:tcPr>
            <w:tcW w:w="520" w:type="dxa"/>
            <w:vAlign w:val="bottom"/>
          </w:tcPr>
          <w:p>
            <w:pPr>
              <w:jc w:val="center"/>
              <w:spacing w:after="0"/>
              <w:rPr>
                <w:sz w:val="20"/>
                <w:szCs w:val="20"/>
                <w:color w:val="auto"/>
              </w:rPr>
            </w:pPr>
            <w:r>
              <w:rPr>
                <w:rFonts w:ascii="Arial" w:cs="Arial" w:eastAsia="Arial" w:hAnsi="Arial"/>
                <w:sz w:val="9"/>
                <w:szCs w:val="9"/>
                <w:color w:val="auto"/>
                <w:w w:val="99"/>
              </w:rPr>
              <w:t>2014</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50.0%</w:t>
            </w:r>
          </w:p>
        </w:tc>
        <w:tc>
          <w:tcPr>
            <w:tcW w:w="100" w:type="dxa"/>
            <w:vAlign w:val="bottom"/>
          </w:tcPr>
          <w:p>
            <w:pPr>
              <w:spacing w:after="0"/>
              <w:rPr>
                <w:sz w:val="9"/>
                <w:szCs w:val="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112,130</w:t>
            </w:r>
          </w:p>
        </w:tc>
        <w:tc>
          <w:tcPr>
            <w:tcW w:w="66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112,130</w:t>
            </w:r>
          </w:p>
        </w:tc>
        <w:tc>
          <w:tcPr>
            <w:tcW w:w="100" w:type="dxa"/>
            <w:vAlign w:val="bottom"/>
          </w:tcPr>
          <w:p>
            <w:pPr>
              <w:spacing w:after="0"/>
              <w:rPr>
                <w:sz w:val="9"/>
                <w:szCs w:val="9"/>
                <w:color w:val="auto"/>
              </w:rPr>
            </w:pPr>
          </w:p>
        </w:tc>
        <w:tc>
          <w:tcPr>
            <w:tcW w:w="700" w:type="dxa"/>
            <w:vAlign w:val="bottom"/>
          </w:tcPr>
          <w:p>
            <w:pPr>
              <w:jc w:val="right"/>
              <w:ind w:right="36"/>
              <w:spacing w:after="0"/>
              <w:rPr>
                <w:sz w:val="20"/>
                <w:szCs w:val="20"/>
                <w:color w:val="auto"/>
              </w:rPr>
            </w:pPr>
            <w:r>
              <w:rPr>
                <w:rFonts w:ascii="Arial" w:cs="Arial" w:eastAsia="Arial" w:hAnsi="Arial"/>
                <w:sz w:val="9"/>
                <w:szCs w:val="9"/>
                <w:color w:val="auto"/>
              </w:rPr>
              <w:t>75.6%</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75.6%</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75.6%</w:t>
            </w:r>
          </w:p>
        </w:tc>
        <w:tc>
          <w:tcPr>
            <w:tcW w:w="100" w:type="dxa"/>
            <w:vAlign w:val="bottom"/>
          </w:tcPr>
          <w:p>
            <w:pPr>
              <w:spacing w:after="0"/>
              <w:rPr>
                <w:sz w:val="9"/>
                <w:szCs w:val="9"/>
                <w:color w:val="auto"/>
              </w:rPr>
            </w:pP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3,326,773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39.24</w:t>
            </w:r>
          </w:p>
        </w:tc>
        <w:tc>
          <w:tcPr>
            <w:tcW w:w="0" w:type="dxa"/>
            <w:vAlign w:val="bottom"/>
          </w:tcPr>
          <w:p>
            <w:pPr>
              <w:spacing w:after="0"/>
              <w:rPr>
                <w:sz w:val="1"/>
                <w:szCs w:val="1"/>
                <w:color w:val="auto"/>
              </w:rPr>
            </w:pPr>
          </w:p>
        </w:tc>
      </w:tr>
      <w:tr>
        <w:trPr>
          <w:trHeight w:val="313"/>
        </w:trPr>
        <w:tc>
          <w:tcPr>
            <w:tcW w:w="1060" w:type="dxa"/>
            <w:vAlign w:val="bottom"/>
            <w:gridSpan w:val="8"/>
          </w:tcPr>
          <w:p>
            <w:pPr>
              <w:spacing w:after="0"/>
              <w:rPr>
                <w:sz w:val="20"/>
                <w:szCs w:val="20"/>
                <w:color w:val="auto"/>
              </w:rPr>
            </w:pPr>
            <w:r>
              <w:rPr>
                <w:rFonts w:ascii="Arial" w:cs="Arial" w:eastAsia="Arial" w:hAnsi="Arial"/>
                <w:sz w:val="9"/>
                <w:szCs w:val="9"/>
                <w:color w:val="auto"/>
              </w:rPr>
              <w:t>North Carolina</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gridSpan w:val="8"/>
          </w:tcPr>
          <w:p>
            <w:pPr>
              <w:spacing w:after="0"/>
              <w:rPr>
                <w:sz w:val="20"/>
                <w:szCs w:val="20"/>
                <w:color w:val="auto"/>
              </w:rPr>
            </w:pPr>
            <w:r>
              <w:rPr>
                <w:rFonts w:ascii="Arial" w:cs="Arial" w:eastAsia="Arial" w:hAnsi="Arial"/>
                <w:sz w:val="9"/>
                <w:szCs w:val="9"/>
                <w:color w:val="auto"/>
              </w:rPr>
              <w:t>Wake Forest Crossing</w:t>
            </w:r>
          </w:p>
        </w:tc>
        <w:tc>
          <w:tcPr>
            <w:tcW w:w="110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20" w:type="dxa"/>
            <w:vAlign w:val="bottom"/>
          </w:tcPr>
          <w:p>
            <w:pPr>
              <w:jc w:val="center"/>
              <w:spacing w:after="0"/>
              <w:rPr>
                <w:sz w:val="20"/>
                <w:szCs w:val="20"/>
                <w:color w:val="auto"/>
              </w:rPr>
            </w:pPr>
            <w:r>
              <w:rPr>
                <w:rFonts w:ascii="Arial" w:cs="Arial" w:eastAsia="Arial" w:hAnsi="Arial"/>
                <w:sz w:val="9"/>
                <w:szCs w:val="9"/>
                <w:color w:val="auto"/>
                <w:w w:val="99"/>
              </w:rPr>
              <w:t>2016</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96"/>
              <w:spacing w:after="0"/>
              <w:rPr>
                <w:sz w:val="20"/>
                <w:szCs w:val="20"/>
                <w:color w:val="auto"/>
              </w:rPr>
            </w:pPr>
            <w:r>
              <w:rPr>
                <w:rFonts w:ascii="Arial" w:cs="Arial" w:eastAsia="Arial" w:hAnsi="Arial"/>
                <w:sz w:val="9"/>
                <w:szCs w:val="9"/>
                <w:color w:val="auto"/>
              </w:rPr>
              <w:t>113,353</w:t>
            </w: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89,778</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203,131</w:t>
            </w:r>
          </w:p>
        </w:tc>
        <w:tc>
          <w:tcPr>
            <w:tcW w:w="10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96.9%</w:t>
            </w:r>
          </w:p>
        </w:tc>
        <w:tc>
          <w:tcPr>
            <w:tcW w:w="480" w:type="dxa"/>
            <w:vAlign w:val="bottom"/>
          </w:tcPr>
          <w:p>
            <w:pPr>
              <w:jc w:val="right"/>
              <w:spacing w:after="0"/>
              <w:rPr>
                <w:sz w:val="20"/>
                <w:szCs w:val="20"/>
                <w:color w:val="auto"/>
              </w:rPr>
            </w:pPr>
            <w:r>
              <w:rPr>
                <w:rFonts w:ascii="Arial" w:cs="Arial" w:eastAsia="Arial" w:hAnsi="Arial"/>
                <w:sz w:val="9"/>
                <w:szCs w:val="9"/>
                <w:color w:val="auto"/>
              </w:rPr>
              <w:t>98.6%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98.6%</w:t>
            </w:r>
          </w:p>
        </w:tc>
        <w:tc>
          <w:tcPr>
            <w:tcW w:w="100" w:type="dxa"/>
            <w:vAlign w:val="bottom"/>
          </w:tcPr>
          <w:p>
            <w:pPr>
              <w:spacing w:after="0"/>
              <w:rPr>
                <w:sz w:val="18"/>
                <w:szCs w:val="18"/>
                <w:color w:val="auto"/>
              </w:rPr>
            </w:pP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2,960,738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14.78</w:t>
            </w:r>
          </w:p>
        </w:tc>
        <w:tc>
          <w:tcPr>
            <w:tcW w:w="0" w:type="dxa"/>
            <w:vAlign w:val="bottom"/>
          </w:tcPr>
          <w:p>
            <w:pPr>
              <w:spacing w:after="0"/>
              <w:rPr>
                <w:sz w:val="1"/>
                <w:szCs w:val="1"/>
                <w:color w:val="auto"/>
              </w:rPr>
            </w:pPr>
          </w:p>
        </w:tc>
      </w:tr>
      <w:tr>
        <w:trPr>
          <w:trHeight w:val="328"/>
        </w:trPr>
        <w:tc>
          <w:tcPr>
            <w:tcW w:w="1060" w:type="dxa"/>
            <w:vAlign w:val="bottom"/>
            <w:gridSpan w:val="8"/>
          </w:tcPr>
          <w:p>
            <w:pPr>
              <w:spacing w:after="0"/>
              <w:rPr>
                <w:sz w:val="20"/>
                <w:szCs w:val="20"/>
                <w:color w:val="auto"/>
              </w:rPr>
            </w:pPr>
            <w:r>
              <w:rPr>
                <w:rFonts w:ascii="Arial" w:cs="Arial" w:eastAsia="Arial" w:hAnsi="Arial"/>
                <w:sz w:val="9"/>
                <w:szCs w:val="9"/>
                <w:b w:val="1"/>
                <w:bCs w:val="1"/>
                <w:color w:val="auto"/>
              </w:rPr>
              <w:t>WEST</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gridSpan w:val="5"/>
          </w:tcPr>
          <w:p>
            <w:pPr>
              <w:spacing w:after="0"/>
              <w:rPr>
                <w:sz w:val="20"/>
                <w:szCs w:val="20"/>
                <w:color w:val="auto"/>
              </w:rPr>
            </w:pPr>
            <w:r>
              <w:rPr>
                <w:rFonts w:ascii="Arial" w:cs="Arial" w:eastAsia="Arial" w:hAnsi="Arial"/>
                <w:sz w:val="9"/>
                <w:szCs w:val="9"/>
                <w:color w:val="auto"/>
                <w:w w:val="94"/>
              </w:rPr>
              <w:t>California</w:t>
            </w:r>
          </w:p>
        </w:tc>
        <w:tc>
          <w:tcPr>
            <w:tcW w:w="68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8"/>
          </w:tcPr>
          <w:p>
            <w:pPr>
              <w:spacing w:after="0"/>
              <w:rPr>
                <w:sz w:val="20"/>
                <w:szCs w:val="20"/>
                <w:color w:val="auto"/>
              </w:rPr>
            </w:pPr>
            <w:r>
              <w:rPr>
                <w:rFonts w:ascii="Arial" w:cs="Arial" w:eastAsia="Arial" w:hAnsi="Arial"/>
                <w:sz w:val="9"/>
                <w:szCs w:val="9"/>
                <w:color w:val="auto"/>
              </w:rPr>
              <w:t>146 Geary Street</w:t>
            </w:r>
          </w:p>
        </w:tc>
        <w:tc>
          <w:tcPr>
            <w:tcW w:w="110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20" w:type="dxa"/>
            <w:vAlign w:val="bottom"/>
          </w:tcPr>
          <w:p>
            <w:pPr>
              <w:jc w:val="center"/>
              <w:spacing w:after="0"/>
              <w:rPr>
                <w:sz w:val="20"/>
                <w:szCs w:val="20"/>
                <w:color w:val="auto"/>
              </w:rPr>
            </w:pPr>
            <w:r>
              <w:rPr>
                <w:rFonts w:ascii="Arial" w:cs="Arial" w:eastAsia="Arial" w:hAnsi="Arial"/>
                <w:sz w:val="9"/>
                <w:szCs w:val="9"/>
                <w:color w:val="auto"/>
                <w:w w:val="99"/>
              </w:rPr>
              <w:t>2015</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11,436</w:t>
            </w:r>
          </w:p>
        </w:tc>
        <w:tc>
          <w:tcPr>
            <w:tcW w:w="66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11,436</w:t>
            </w:r>
          </w:p>
        </w:tc>
        <w:tc>
          <w:tcPr>
            <w:tcW w:w="10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8"/>
                <w:szCs w:val="18"/>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5"/>
        </w:trPr>
        <w:tc>
          <w:tcPr>
            <w:tcW w:w="1060" w:type="dxa"/>
            <w:vAlign w:val="bottom"/>
            <w:gridSpan w:val="8"/>
          </w:tcPr>
          <w:p>
            <w:pPr>
              <w:spacing w:after="0"/>
              <w:rPr>
                <w:sz w:val="20"/>
                <w:szCs w:val="20"/>
                <w:color w:val="auto"/>
              </w:rPr>
            </w:pPr>
            <w:r>
              <w:rPr>
                <w:rFonts w:ascii="Arial" w:cs="Arial" w:eastAsia="Arial" w:hAnsi="Arial"/>
                <w:sz w:val="9"/>
                <w:szCs w:val="9"/>
                <w:color w:val="auto"/>
              </w:rPr>
              <w:t>Union and Fillmore</w:t>
            </w: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60" w:type="dxa"/>
            <w:vAlign w:val="bottom"/>
            <w:gridSpan w:val="8"/>
          </w:tcPr>
          <w:p>
            <w:pPr>
              <w:spacing w:after="0"/>
              <w:rPr>
                <w:sz w:val="20"/>
                <w:szCs w:val="20"/>
                <w:color w:val="auto"/>
              </w:rPr>
            </w:pPr>
            <w:r>
              <w:rPr>
                <w:rFonts w:ascii="Arial" w:cs="Arial" w:eastAsia="Arial" w:hAnsi="Arial"/>
                <w:sz w:val="9"/>
                <w:szCs w:val="9"/>
                <w:color w:val="auto"/>
              </w:rPr>
              <w:t>Collection - 4 properties</w:t>
            </w:r>
          </w:p>
        </w:tc>
        <w:tc>
          <w:tcPr>
            <w:tcW w:w="110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20" w:type="dxa"/>
            <w:vAlign w:val="bottom"/>
          </w:tcPr>
          <w:p>
            <w:pPr>
              <w:jc w:val="center"/>
              <w:spacing w:after="0"/>
              <w:rPr>
                <w:sz w:val="20"/>
                <w:szCs w:val="20"/>
                <w:color w:val="auto"/>
              </w:rPr>
            </w:pPr>
            <w:r>
              <w:rPr>
                <w:rFonts w:ascii="Arial" w:cs="Arial" w:eastAsia="Arial" w:hAnsi="Arial"/>
                <w:sz w:val="9"/>
                <w:szCs w:val="9"/>
                <w:color w:val="auto"/>
                <w:w w:val="99"/>
              </w:rPr>
              <w:t>2015</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90.0%</w:t>
            </w:r>
          </w:p>
        </w:tc>
        <w:tc>
          <w:tcPr>
            <w:tcW w:w="100" w:type="dxa"/>
            <w:vAlign w:val="bottom"/>
          </w:tcPr>
          <w:p>
            <w:pPr>
              <w:spacing w:after="0"/>
              <w:rPr>
                <w:sz w:val="9"/>
                <w:szCs w:val="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10,048</w:t>
            </w:r>
          </w:p>
        </w:tc>
        <w:tc>
          <w:tcPr>
            <w:tcW w:w="66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10,048</w:t>
            </w:r>
          </w:p>
        </w:tc>
        <w:tc>
          <w:tcPr>
            <w:tcW w:w="100" w:type="dxa"/>
            <w:vAlign w:val="bottom"/>
          </w:tcPr>
          <w:p>
            <w:pPr>
              <w:spacing w:after="0"/>
              <w:rPr>
                <w:sz w:val="9"/>
                <w:szCs w:val="9"/>
                <w:color w:val="auto"/>
              </w:rPr>
            </w:pPr>
          </w:p>
        </w:tc>
        <w:tc>
          <w:tcPr>
            <w:tcW w:w="700" w:type="dxa"/>
            <w:vAlign w:val="bottom"/>
          </w:tcPr>
          <w:p>
            <w:pPr>
              <w:jc w:val="right"/>
              <w:ind w:right="36"/>
              <w:spacing w:after="0"/>
              <w:rPr>
                <w:sz w:val="20"/>
                <w:szCs w:val="20"/>
                <w:color w:val="auto"/>
              </w:rPr>
            </w:pPr>
            <w:r>
              <w:rPr>
                <w:rFonts w:ascii="Arial" w:cs="Arial" w:eastAsia="Arial" w:hAnsi="Arial"/>
                <w:sz w:val="9"/>
                <w:szCs w:val="9"/>
                <w:color w:val="auto"/>
              </w:rPr>
              <w:t>71.1%</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71.1%</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71.1%</w:t>
            </w:r>
          </w:p>
        </w:tc>
        <w:tc>
          <w:tcPr>
            <w:tcW w:w="100" w:type="dxa"/>
            <w:vAlign w:val="bottom"/>
          </w:tcPr>
          <w:p>
            <w:pPr>
              <w:spacing w:after="0"/>
              <w:rPr>
                <w:sz w:val="9"/>
                <w:szCs w:val="9"/>
                <w:color w:val="auto"/>
              </w:rPr>
            </w:pP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689,790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96.55</w:t>
            </w:r>
          </w:p>
        </w:tc>
        <w:tc>
          <w:tcPr>
            <w:tcW w:w="0" w:type="dxa"/>
            <w:vAlign w:val="bottom"/>
          </w:tcPr>
          <w:p>
            <w:pPr>
              <w:spacing w:after="0"/>
              <w:rPr>
                <w:sz w:val="1"/>
                <w:szCs w:val="1"/>
                <w:color w:val="auto"/>
              </w:rPr>
            </w:pPr>
          </w:p>
        </w:tc>
      </w:tr>
      <w:tr>
        <w:trPr>
          <w:trHeight w:val="127"/>
        </w:trPr>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060" w:type="dxa"/>
            <w:vAlign w:val="bottom"/>
            <w:gridSpan w:val="8"/>
          </w:tcPr>
          <w:p>
            <w:pPr>
              <w:spacing w:after="0"/>
              <w:rPr>
                <w:sz w:val="20"/>
                <w:szCs w:val="20"/>
                <w:color w:val="auto"/>
              </w:rPr>
            </w:pPr>
            <w:r>
              <w:rPr>
                <w:rFonts w:ascii="Arial" w:cs="Arial" w:eastAsia="Arial" w:hAnsi="Arial"/>
                <w:sz w:val="9"/>
                <w:szCs w:val="9"/>
                <w:b w:val="1"/>
                <w:bCs w:val="1"/>
                <w:color w:val="auto"/>
              </w:rPr>
              <w:t>Total - Fund IV</w:t>
            </w: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207,704</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1,217,022</w:t>
            </w: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1,192,420</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2,617,146</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60.6%</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92.4%</w:t>
            </w: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78.0%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83.3%</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85.4%</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w w:val="98"/>
              </w:rPr>
              <w:t>$ 32,109,374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14.73</w:t>
            </w:r>
          </w:p>
        </w:tc>
        <w:tc>
          <w:tcPr>
            <w:tcW w:w="0" w:type="dxa"/>
            <w:vAlign w:val="bottom"/>
          </w:tcPr>
          <w:p>
            <w:pPr>
              <w:spacing w:after="0"/>
              <w:rPr>
                <w:sz w:val="1"/>
                <w:szCs w:val="1"/>
                <w:color w:val="auto"/>
              </w:rPr>
            </w:pPr>
          </w:p>
        </w:tc>
      </w:tr>
      <w:tr>
        <w:trPr>
          <w:trHeight w:val="20"/>
        </w:trPr>
        <w:tc>
          <w:tcPr>
            <w:tcW w:w="1060" w:type="dxa"/>
            <w:vAlign w:val="bottom"/>
            <w:gridSpan w:val="8"/>
            <w:vMerge w:val="restart"/>
          </w:tcPr>
          <w:p>
            <w:pPr>
              <w:spacing w:after="0"/>
              <w:rPr>
                <w:sz w:val="20"/>
                <w:szCs w:val="20"/>
                <w:color w:val="auto"/>
              </w:rPr>
            </w:pPr>
            <w:r>
              <w:rPr>
                <w:rFonts w:ascii="Arial" w:cs="Arial" w:eastAsia="Arial" w:hAnsi="Arial"/>
                <w:sz w:val="9"/>
                <w:szCs w:val="9"/>
                <w:b w:val="1"/>
                <w:bCs w:val="1"/>
                <w:color w:val="auto"/>
              </w:rPr>
              <w:t>Fund V Portfolio Detail</w:t>
            </w: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gridSpan w:val="8"/>
            <w:vMerge w:val="continue"/>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060" w:type="dxa"/>
            <w:vAlign w:val="bottom"/>
            <w:gridSpan w:val="8"/>
          </w:tcPr>
          <w:p>
            <w:pPr>
              <w:spacing w:after="0"/>
              <w:rPr>
                <w:sz w:val="20"/>
                <w:szCs w:val="20"/>
                <w:color w:val="auto"/>
              </w:rPr>
            </w:pPr>
            <w:r>
              <w:rPr>
                <w:rFonts w:ascii="Arial" w:cs="Arial" w:eastAsia="Arial" w:hAnsi="Arial"/>
                <w:sz w:val="9"/>
                <w:szCs w:val="9"/>
                <w:b w:val="1"/>
                <w:bCs w:val="1"/>
                <w:color w:val="auto"/>
              </w:rPr>
              <w:t>SOUTHWEST</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60" w:type="dxa"/>
            <w:vAlign w:val="bottom"/>
            <w:gridSpan w:val="8"/>
          </w:tcPr>
          <w:p>
            <w:pPr>
              <w:spacing w:after="0"/>
              <w:rPr>
                <w:sz w:val="20"/>
                <w:szCs w:val="20"/>
                <w:color w:val="auto"/>
              </w:rPr>
            </w:pPr>
            <w:r>
              <w:rPr>
                <w:rFonts w:ascii="Arial" w:cs="Arial" w:eastAsia="Arial" w:hAnsi="Arial"/>
                <w:sz w:val="9"/>
                <w:szCs w:val="9"/>
                <w:color w:val="auto"/>
              </w:rPr>
              <w:t>New Mexico</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9"/>
                <w:szCs w:val="9"/>
                <w:color w:val="auto"/>
                <w:w w:val="95"/>
              </w:rPr>
              <w:t>TJ Maxx, Best Buy, Ross</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60" w:type="dxa"/>
            <w:vAlign w:val="bottom"/>
            <w:gridSpan w:val="8"/>
          </w:tcPr>
          <w:p>
            <w:pPr>
              <w:spacing w:after="0"/>
              <w:rPr>
                <w:sz w:val="20"/>
                <w:szCs w:val="20"/>
                <w:color w:val="auto"/>
              </w:rPr>
            </w:pPr>
            <w:r>
              <w:rPr>
                <w:rFonts w:ascii="Arial" w:cs="Arial" w:eastAsia="Arial" w:hAnsi="Arial"/>
                <w:sz w:val="9"/>
                <w:szCs w:val="9"/>
                <w:color w:val="auto"/>
              </w:rPr>
              <w:t>Plaza Santa Fe</w:t>
            </w:r>
          </w:p>
        </w:tc>
        <w:tc>
          <w:tcPr>
            <w:tcW w:w="1100" w:type="dxa"/>
            <w:vAlign w:val="bottom"/>
          </w:tcPr>
          <w:p>
            <w:pPr>
              <w:jc w:val="center"/>
              <w:spacing w:after="0"/>
              <w:rPr>
                <w:sz w:val="20"/>
                <w:szCs w:val="20"/>
                <w:color w:val="auto"/>
              </w:rPr>
            </w:pPr>
            <w:r>
              <w:rPr>
                <w:rFonts w:ascii="Arial" w:cs="Arial" w:eastAsia="Arial" w:hAnsi="Arial"/>
                <w:sz w:val="9"/>
                <w:szCs w:val="9"/>
                <w:color w:val="auto"/>
                <w:w w:val="96"/>
              </w:rPr>
              <w:t>Dress for Less</w:t>
            </w:r>
          </w:p>
        </w:tc>
        <w:tc>
          <w:tcPr>
            <w:tcW w:w="520" w:type="dxa"/>
            <w:vAlign w:val="bottom"/>
          </w:tcPr>
          <w:p>
            <w:pPr>
              <w:jc w:val="center"/>
              <w:spacing w:after="0"/>
              <w:rPr>
                <w:sz w:val="20"/>
                <w:szCs w:val="20"/>
                <w:color w:val="auto"/>
              </w:rPr>
            </w:pPr>
            <w:r>
              <w:rPr>
                <w:rFonts w:ascii="Arial" w:cs="Arial" w:eastAsia="Arial" w:hAnsi="Arial"/>
                <w:sz w:val="9"/>
                <w:szCs w:val="9"/>
                <w:color w:val="auto"/>
                <w:w w:val="99"/>
              </w:rPr>
              <w:t>2017</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9"/>
                <w:szCs w:val="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96"/>
              <w:spacing w:after="0"/>
              <w:rPr>
                <w:sz w:val="20"/>
                <w:szCs w:val="20"/>
                <w:color w:val="auto"/>
              </w:rPr>
            </w:pPr>
            <w:r>
              <w:rPr>
                <w:rFonts w:ascii="Arial" w:cs="Arial" w:eastAsia="Arial" w:hAnsi="Arial"/>
                <w:sz w:val="9"/>
                <w:szCs w:val="9"/>
                <w:color w:val="auto"/>
              </w:rPr>
              <w:t>93,578</w:t>
            </w: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130,645</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224,223</w:t>
            </w:r>
          </w:p>
        </w:tc>
        <w:tc>
          <w:tcPr>
            <w:tcW w:w="100" w:type="dxa"/>
            <w:vAlign w:val="bottom"/>
          </w:tcPr>
          <w:p>
            <w:pPr>
              <w:spacing w:after="0"/>
              <w:rPr>
                <w:sz w:val="9"/>
                <w:szCs w:val="9"/>
                <w:color w:val="auto"/>
              </w:rPr>
            </w:pPr>
          </w:p>
        </w:tc>
        <w:tc>
          <w:tcPr>
            <w:tcW w:w="7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95.4%</w:t>
            </w:r>
          </w:p>
        </w:tc>
        <w:tc>
          <w:tcPr>
            <w:tcW w:w="480" w:type="dxa"/>
            <w:vAlign w:val="bottom"/>
          </w:tcPr>
          <w:p>
            <w:pPr>
              <w:jc w:val="right"/>
              <w:spacing w:after="0"/>
              <w:rPr>
                <w:sz w:val="20"/>
                <w:szCs w:val="20"/>
                <w:color w:val="auto"/>
              </w:rPr>
            </w:pPr>
            <w:r>
              <w:rPr>
                <w:rFonts w:ascii="Arial" w:cs="Arial" w:eastAsia="Arial" w:hAnsi="Arial"/>
                <w:sz w:val="9"/>
                <w:szCs w:val="9"/>
                <w:color w:val="auto"/>
              </w:rPr>
              <w:t>97.3%</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97.3%</w:t>
            </w:r>
          </w:p>
        </w:tc>
        <w:tc>
          <w:tcPr>
            <w:tcW w:w="100" w:type="dxa"/>
            <w:vAlign w:val="bottom"/>
          </w:tcPr>
          <w:p>
            <w:pPr>
              <w:spacing w:after="0"/>
              <w:rPr>
                <w:sz w:val="9"/>
                <w:szCs w:val="9"/>
                <w:color w:val="auto"/>
              </w:rPr>
            </w:pP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3,754,606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17.21</w:t>
            </w:r>
          </w:p>
        </w:tc>
        <w:tc>
          <w:tcPr>
            <w:tcW w:w="0" w:type="dxa"/>
            <w:vAlign w:val="bottom"/>
          </w:tcPr>
          <w:p>
            <w:pPr>
              <w:spacing w:after="0"/>
              <w:rPr>
                <w:sz w:val="1"/>
                <w:szCs w:val="1"/>
                <w:color w:val="auto"/>
              </w:rPr>
            </w:pPr>
          </w:p>
        </w:tc>
      </w:tr>
      <w:tr>
        <w:trPr>
          <w:trHeight w:val="404"/>
        </w:trPr>
        <w:tc>
          <w:tcPr>
            <w:tcW w:w="1060" w:type="dxa"/>
            <w:vAlign w:val="bottom"/>
            <w:gridSpan w:val="8"/>
          </w:tcPr>
          <w:p>
            <w:pPr>
              <w:spacing w:after="0"/>
              <w:rPr>
                <w:sz w:val="20"/>
                <w:szCs w:val="20"/>
                <w:color w:val="auto"/>
              </w:rPr>
            </w:pPr>
            <w:r>
              <w:rPr>
                <w:rFonts w:ascii="Arial" w:cs="Arial" w:eastAsia="Arial" w:hAnsi="Arial"/>
                <w:sz w:val="9"/>
                <w:szCs w:val="9"/>
                <w:b w:val="1"/>
                <w:bCs w:val="1"/>
                <w:color w:val="auto"/>
              </w:rPr>
              <w:t>MIDWEST</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60" w:type="dxa"/>
            <w:vAlign w:val="bottom"/>
            <w:tcBorders>
              <w:bottom w:val="single" w:sz="8" w:color="auto"/>
            </w:tcBorders>
            <w:gridSpan w:val="4"/>
          </w:tcPr>
          <w:p>
            <w:pPr>
              <w:spacing w:after="0"/>
              <w:rPr>
                <w:sz w:val="20"/>
                <w:szCs w:val="20"/>
                <w:color w:val="auto"/>
              </w:rPr>
            </w:pPr>
            <w:r>
              <w:rPr>
                <w:rFonts w:ascii="Arial" w:cs="Arial" w:eastAsia="Arial" w:hAnsi="Arial"/>
                <w:sz w:val="9"/>
                <w:szCs w:val="9"/>
                <w:color w:val="auto"/>
                <w:w w:val="94"/>
              </w:rPr>
              <w:t>Michigan</w:t>
            </w:r>
          </w:p>
        </w:tc>
        <w:tc>
          <w:tcPr>
            <w:tcW w:w="700" w:type="dxa"/>
            <w:vAlign w:val="bottom"/>
            <w:gridSpan w:val="4"/>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60" w:type="dxa"/>
            <w:vAlign w:val="bottom"/>
            <w:gridSpan w:val="8"/>
          </w:tcPr>
          <w:p>
            <w:pPr>
              <w:spacing w:after="0"/>
              <w:rPr>
                <w:sz w:val="20"/>
                <w:szCs w:val="20"/>
                <w:color w:val="auto"/>
              </w:rPr>
            </w:pPr>
            <w:r>
              <w:rPr>
                <w:rFonts w:ascii="Arial" w:cs="Arial" w:eastAsia="Arial" w:hAnsi="Arial"/>
                <w:sz w:val="9"/>
                <w:szCs w:val="9"/>
                <w:color w:val="auto"/>
              </w:rPr>
              <w:t>New Towne Plaza</w:t>
            </w:r>
          </w:p>
        </w:tc>
        <w:tc>
          <w:tcPr>
            <w:tcW w:w="1100" w:type="dxa"/>
            <w:vAlign w:val="bottom"/>
          </w:tcPr>
          <w:p>
            <w:pPr>
              <w:jc w:val="center"/>
              <w:spacing w:after="0"/>
              <w:rPr>
                <w:sz w:val="20"/>
                <w:szCs w:val="20"/>
                <w:color w:val="auto"/>
              </w:rPr>
            </w:pPr>
            <w:r>
              <w:rPr>
                <w:rFonts w:ascii="Arial" w:cs="Arial" w:eastAsia="Arial" w:hAnsi="Arial"/>
                <w:sz w:val="9"/>
                <w:szCs w:val="9"/>
                <w:color w:val="auto"/>
                <w:w w:val="97"/>
              </w:rPr>
              <w:t>Kohl's, Jo-Ann's, DSW</w:t>
            </w:r>
          </w:p>
        </w:tc>
        <w:tc>
          <w:tcPr>
            <w:tcW w:w="520" w:type="dxa"/>
            <w:vAlign w:val="bottom"/>
          </w:tcPr>
          <w:p>
            <w:pPr>
              <w:jc w:val="center"/>
              <w:spacing w:after="0"/>
              <w:rPr>
                <w:sz w:val="20"/>
                <w:szCs w:val="20"/>
                <w:color w:val="auto"/>
              </w:rPr>
            </w:pPr>
            <w:r>
              <w:rPr>
                <w:rFonts w:ascii="Arial" w:cs="Arial" w:eastAsia="Arial" w:hAnsi="Arial"/>
                <w:sz w:val="9"/>
                <w:szCs w:val="9"/>
                <w:color w:val="auto"/>
                <w:w w:val="99"/>
              </w:rPr>
              <w:t>2017</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96"/>
              <w:spacing w:after="0"/>
              <w:rPr>
                <w:sz w:val="20"/>
                <w:szCs w:val="20"/>
                <w:color w:val="auto"/>
              </w:rPr>
            </w:pPr>
            <w:r>
              <w:rPr>
                <w:rFonts w:ascii="Arial" w:cs="Arial" w:eastAsia="Arial" w:hAnsi="Arial"/>
                <w:sz w:val="9"/>
                <w:szCs w:val="9"/>
                <w:color w:val="auto"/>
              </w:rPr>
              <w:t>91,122</w:t>
            </w: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99,408</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190,530</w:t>
            </w:r>
          </w:p>
        </w:tc>
        <w:tc>
          <w:tcPr>
            <w:tcW w:w="10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93.0%</w:t>
            </w:r>
          </w:p>
        </w:tc>
        <w:tc>
          <w:tcPr>
            <w:tcW w:w="480" w:type="dxa"/>
            <w:vAlign w:val="bottom"/>
          </w:tcPr>
          <w:p>
            <w:pPr>
              <w:jc w:val="right"/>
              <w:spacing w:after="0"/>
              <w:rPr>
                <w:sz w:val="20"/>
                <w:szCs w:val="20"/>
                <w:color w:val="auto"/>
              </w:rPr>
            </w:pPr>
            <w:r>
              <w:rPr>
                <w:rFonts w:ascii="Arial" w:cs="Arial" w:eastAsia="Arial" w:hAnsi="Arial"/>
                <w:sz w:val="9"/>
                <w:szCs w:val="9"/>
                <w:color w:val="auto"/>
              </w:rPr>
              <w:t>96.3%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96.3%</w:t>
            </w:r>
          </w:p>
        </w:tc>
        <w:tc>
          <w:tcPr>
            <w:tcW w:w="100" w:type="dxa"/>
            <w:vAlign w:val="bottom"/>
          </w:tcPr>
          <w:p>
            <w:pPr>
              <w:spacing w:after="0"/>
              <w:rPr>
                <w:sz w:val="18"/>
                <w:szCs w:val="18"/>
                <w:color w:val="auto"/>
              </w:rPr>
            </w:pP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2,171,338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11.83</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9"/>
                <w:szCs w:val="9"/>
                <w:color w:val="auto"/>
                <w:w w:val="96"/>
              </w:rPr>
              <w:t>TJ Maxx, Bed Bath &amp;</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60" w:type="dxa"/>
            <w:vAlign w:val="bottom"/>
            <w:gridSpan w:val="8"/>
          </w:tcPr>
          <w:p>
            <w:pPr>
              <w:spacing w:after="0"/>
              <w:rPr>
                <w:sz w:val="20"/>
                <w:szCs w:val="20"/>
                <w:color w:val="auto"/>
              </w:rPr>
            </w:pPr>
            <w:r>
              <w:rPr>
                <w:rFonts w:ascii="Arial" w:cs="Arial" w:eastAsia="Arial" w:hAnsi="Arial"/>
                <w:sz w:val="9"/>
                <w:szCs w:val="9"/>
                <w:color w:val="auto"/>
              </w:rPr>
              <w:t>Fairlane Green</w:t>
            </w:r>
          </w:p>
        </w:tc>
        <w:tc>
          <w:tcPr>
            <w:tcW w:w="1100" w:type="dxa"/>
            <w:vAlign w:val="bottom"/>
          </w:tcPr>
          <w:p>
            <w:pPr>
              <w:jc w:val="center"/>
              <w:spacing w:after="0"/>
              <w:rPr>
                <w:sz w:val="20"/>
                <w:szCs w:val="20"/>
                <w:color w:val="auto"/>
              </w:rPr>
            </w:pPr>
            <w:r>
              <w:rPr>
                <w:rFonts w:ascii="Arial" w:cs="Arial" w:eastAsia="Arial" w:hAnsi="Arial"/>
                <w:sz w:val="9"/>
                <w:szCs w:val="9"/>
                <w:color w:val="auto"/>
                <w:w w:val="95"/>
              </w:rPr>
              <w:t>Beyond, Michaels</w:t>
            </w:r>
          </w:p>
        </w:tc>
        <w:tc>
          <w:tcPr>
            <w:tcW w:w="520" w:type="dxa"/>
            <w:vAlign w:val="bottom"/>
          </w:tcPr>
          <w:p>
            <w:pPr>
              <w:jc w:val="center"/>
              <w:spacing w:after="0"/>
              <w:rPr>
                <w:sz w:val="20"/>
                <w:szCs w:val="20"/>
                <w:color w:val="auto"/>
              </w:rPr>
            </w:pPr>
            <w:r>
              <w:rPr>
                <w:rFonts w:ascii="Arial" w:cs="Arial" w:eastAsia="Arial" w:hAnsi="Arial"/>
                <w:sz w:val="9"/>
                <w:szCs w:val="9"/>
                <w:color w:val="auto"/>
                <w:w w:val="99"/>
              </w:rPr>
              <w:t>2017</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9"/>
                <w:szCs w:val="9"/>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96"/>
              <w:spacing w:after="0"/>
              <w:rPr>
                <w:sz w:val="20"/>
                <w:szCs w:val="20"/>
                <w:color w:val="auto"/>
              </w:rPr>
            </w:pPr>
            <w:r>
              <w:rPr>
                <w:rFonts w:ascii="Arial" w:cs="Arial" w:eastAsia="Arial" w:hAnsi="Arial"/>
                <w:sz w:val="9"/>
                <w:szCs w:val="9"/>
                <w:color w:val="auto"/>
              </w:rPr>
              <w:t>109,916</w:t>
            </w: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142,988</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252,904</w:t>
            </w:r>
          </w:p>
        </w:tc>
        <w:tc>
          <w:tcPr>
            <w:tcW w:w="100" w:type="dxa"/>
            <w:vAlign w:val="bottom"/>
          </w:tcPr>
          <w:p>
            <w:pPr>
              <w:spacing w:after="0"/>
              <w:rPr>
                <w:sz w:val="9"/>
                <w:szCs w:val="9"/>
                <w:color w:val="auto"/>
              </w:rPr>
            </w:pPr>
          </w:p>
        </w:tc>
        <w:tc>
          <w:tcPr>
            <w:tcW w:w="7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9"/>
                <w:szCs w:val="9"/>
                <w:color w:val="auto"/>
              </w:rPr>
            </w:pP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5,238,779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20.71</w:t>
            </w:r>
          </w:p>
        </w:tc>
        <w:tc>
          <w:tcPr>
            <w:tcW w:w="0" w:type="dxa"/>
            <w:vAlign w:val="bottom"/>
          </w:tcPr>
          <w:p>
            <w:pPr>
              <w:spacing w:after="0"/>
              <w:rPr>
                <w:sz w:val="1"/>
                <w:szCs w:val="1"/>
                <w:color w:val="auto"/>
              </w:rPr>
            </w:pPr>
          </w:p>
        </w:tc>
      </w:tr>
      <w:tr>
        <w:trPr>
          <w:trHeight w:val="404"/>
        </w:trPr>
        <w:tc>
          <w:tcPr>
            <w:tcW w:w="1060" w:type="dxa"/>
            <w:vAlign w:val="bottom"/>
            <w:gridSpan w:val="8"/>
          </w:tcPr>
          <w:p>
            <w:pPr>
              <w:spacing w:after="0"/>
              <w:rPr>
                <w:sz w:val="20"/>
                <w:szCs w:val="20"/>
                <w:color w:val="auto"/>
              </w:rPr>
            </w:pPr>
            <w:r>
              <w:rPr>
                <w:rFonts w:ascii="Arial" w:cs="Arial" w:eastAsia="Arial" w:hAnsi="Arial"/>
                <w:sz w:val="9"/>
                <w:szCs w:val="9"/>
                <w:b w:val="1"/>
                <w:bCs w:val="1"/>
                <w:color w:val="auto"/>
              </w:rPr>
              <w:t>SOUTHEAST</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60" w:type="dxa"/>
            <w:vAlign w:val="bottom"/>
            <w:gridSpan w:val="8"/>
          </w:tcPr>
          <w:p>
            <w:pPr>
              <w:spacing w:after="0"/>
              <w:rPr>
                <w:sz w:val="20"/>
                <w:szCs w:val="20"/>
                <w:color w:val="auto"/>
              </w:rPr>
            </w:pPr>
            <w:r>
              <w:rPr>
                <w:rFonts w:ascii="Arial" w:cs="Arial" w:eastAsia="Arial" w:hAnsi="Arial"/>
                <w:sz w:val="9"/>
                <w:szCs w:val="9"/>
                <w:color w:val="auto"/>
              </w:rPr>
              <w:t>North Carolina</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0" w:type="dxa"/>
            <w:vAlign w:val="bottom"/>
            <w:tcBorders>
              <w:top w:val="single" w:sz="8" w:color="auto"/>
            </w:tcBorders>
            <w:gridSpan w:val="7"/>
          </w:tcPr>
          <w:p>
            <w:pPr>
              <w:spacing w:after="0"/>
              <w:rPr>
                <w:sz w:val="20"/>
                <w:szCs w:val="20"/>
                <w:color w:val="auto"/>
              </w:rPr>
            </w:pPr>
            <w:r>
              <w:rPr>
                <w:rFonts w:ascii="Arial" w:cs="Arial" w:eastAsia="Arial" w:hAnsi="Arial"/>
                <w:sz w:val="9"/>
                <w:szCs w:val="9"/>
                <w:color w:val="auto"/>
                <w:w w:val="96"/>
              </w:rPr>
              <w:t>Hickory Ridge</w:t>
            </w:r>
          </w:p>
        </w:tc>
        <w:tc>
          <w:tcPr>
            <w:tcW w:w="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9"/>
                <w:szCs w:val="9"/>
                <w:color w:val="auto"/>
                <w:w w:val="95"/>
              </w:rPr>
              <w:t>Kohl's, Best Buy, Dick's</w:t>
            </w:r>
          </w:p>
        </w:tc>
        <w:tc>
          <w:tcPr>
            <w:tcW w:w="520" w:type="dxa"/>
            <w:vAlign w:val="bottom"/>
          </w:tcPr>
          <w:p>
            <w:pPr>
              <w:jc w:val="center"/>
              <w:spacing w:after="0"/>
              <w:rPr>
                <w:sz w:val="20"/>
                <w:szCs w:val="20"/>
                <w:color w:val="auto"/>
              </w:rPr>
            </w:pPr>
            <w:r>
              <w:rPr>
                <w:rFonts w:ascii="Arial" w:cs="Arial" w:eastAsia="Arial" w:hAnsi="Arial"/>
                <w:sz w:val="9"/>
                <w:szCs w:val="9"/>
                <w:color w:val="auto"/>
                <w:w w:val="99"/>
              </w:rPr>
              <w:t>2017</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96"/>
              <w:spacing w:after="0"/>
              <w:rPr>
                <w:sz w:val="20"/>
                <w:szCs w:val="20"/>
                <w:color w:val="auto"/>
              </w:rPr>
            </w:pPr>
            <w:r>
              <w:rPr>
                <w:rFonts w:ascii="Arial" w:cs="Arial" w:eastAsia="Arial" w:hAnsi="Arial"/>
                <w:sz w:val="9"/>
                <w:szCs w:val="9"/>
                <w:color w:val="auto"/>
              </w:rPr>
              <w:t>176,584</w:t>
            </w: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203,981</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380,565</w:t>
            </w:r>
          </w:p>
        </w:tc>
        <w:tc>
          <w:tcPr>
            <w:tcW w:w="10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85.2%</w:t>
            </w:r>
          </w:p>
        </w:tc>
        <w:tc>
          <w:tcPr>
            <w:tcW w:w="480" w:type="dxa"/>
            <w:vAlign w:val="bottom"/>
          </w:tcPr>
          <w:p>
            <w:pPr>
              <w:jc w:val="right"/>
              <w:spacing w:after="0"/>
              <w:rPr>
                <w:sz w:val="20"/>
                <w:szCs w:val="20"/>
                <w:color w:val="auto"/>
              </w:rPr>
            </w:pPr>
            <w:r>
              <w:rPr>
                <w:rFonts w:ascii="Arial" w:cs="Arial" w:eastAsia="Arial" w:hAnsi="Arial"/>
                <w:sz w:val="9"/>
                <w:szCs w:val="9"/>
                <w:color w:val="auto"/>
              </w:rPr>
              <w:t>92.1%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92.1%</w:t>
            </w:r>
          </w:p>
        </w:tc>
        <w:tc>
          <w:tcPr>
            <w:tcW w:w="100" w:type="dxa"/>
            <w:vAlign w:val="bottom"/>
          </w:tcPr>
          <w:p>
            <w:pPr>
              <w:spacing w:after="0"/>
              <w:rPr>
                <w:sz w:val="18"/>
                <w:szCs w:val="18"/>
                <w:color w:val="auto"/>
              </w:rPr>
            </w:pP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3,999,701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11.41</w:t>
            </w:r>
          </w:p>
        </w:tc>
        <w:tc>
          <w:tcPr>
            <w:tcW w:w="0" w:type="dxa"/>
            <w:vAlign w:val="bottom"/>
          </w:tcPr>
          <w:p>
            <w:pPr>
              <w:spacing w:after="0"/>
              <w:rPr>
                <w:sz w:val="1"/>
                <w:szCs w:val="1"/>
                <w:color w:val="auto"/>
              </w:rPr>
            </w:pPr>
          </w:p>
        </w:tc>
      </w:tr>
      <w:tr>
        <w:trPr>
          <w:trHeight w:val="204"/>
        </w:trPr>
        <w:tc>
          <w:tcPr>
            <w:tcW w:w="1060" w:type="dxa"/>
            <w:vAlign w:val="bottom"/>
            <w:gridSpan w:val="8"/>
          </w:tcPr>
          <w:p>
            <w:pPr>
              <w:spacing w:after="0"/>
              <w:rPr>
                <w:sz w:val="20"/>
                <w:szCs w:val="20"/>
                <w:color w:val="auto"/>
              </w:rPr>
            </w:pPr>
            <w:r>
              <w:rPr>
                <w:rFonts w:ascii="Arial" w:cs="Arial" w:eastAsia="Arial" w:hAnsi="Arial"/>
                <w:sz w:val="9"/>
                <w:szCs w:val="9"/>
                <w:color w:val="auto"/>
              </w:rPr>
              <w:t>Alabama</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3"/>
            <w:shd w:val="clear" w:color="auto" w:fill="000000"/>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gridSpan w:val="8"/>
          </w:tcPr>
          <w:p>
            <w:pPr>
              <w:spacing w:after="0"/>
              <w:rPr>
                <w:sz w:val="20"/>
                <w:szCs w:val="20"/>
                <w:color w:val="auto"/>
              </w:rPr>
            </w:pPr>
            <w:r>
              <w:rPr>
                <w:rFonts w:ascii="Arial" w:cs="Arial" w:eastAsia="Arial" w:hAnsi="Arial"/>
                <w:sz w:val="9"/>
                <w:szCs w:val="9"/>
                <w:color w:val="auto"/>
              </w:rPr>
              <w:t>Trussville</w:t>
            </w:r>
          </w:p>
        </w:tc>
        <w:tc>
          <w:tcPr>
            <w:tcW w:w="1100" w:type="dxa"/>
            <w:vAlign w:val="bottom"/>
          </w:tcPr>
          <w:p>
            <w:pPr>
              <w:jc w:val="center"/>
              <w:spacing w:after="0"/>
              <w:rPr>
                <w:sz w:val="20"/>
                <w:szCs w:val="20"/>
                <w:color w:val="auto"/>
              </w:rPr>
            </w:pPr>
            <w:r>
              <w:rPr>
                <w:rFonts w:ascii="Arial" w:cs="Arial" w:eastAsia="Arial" w:hAnsi="Arial"/>
                <w:sz w:val="9"/>
                <w:szCs w:val="9"/>
                <w:color w:val="auto"/>
                <w:w w:val="97"/>
              </w:rPr>
              <w:t>Wal-Mart, Regal Cinemas</w:t>
            </w:r>
          </w:p>
        </w:tc>
        <w:tc>
          <w:tcPr>
            <w:tcW w:w="520" w:type="dxa"/>
            <w:vAlign w:val="bottom"/>
          </w:tcPr>
          <w:p>
            <w:pPr>
              <w:jc w:val="center"/>
              <w:spacing w:after="0"/>
              <w:rPr>
                <w:sz w:val="20"/>
                <w:szCs w:val="20"/>
                <w:color w:val="auto"/>
              </w:rPr>
            </w:pPr>
            <w:r>
              <w:rPr>
                <w:rFonts w:ascii="Arial" w:cs="Arial" w:eastAsia="Arial" w:hAnsi="Arial"/>
                <w:sz w:val="9"/>
                <w:szCs w:val="9"/>
                <w:color w:val="auto"/>
                <w:w w:val="99"/>
              </w:rPr>
              <w:t>2018</w:t>
            </w:r>
          </w:p>
        </w:tc>
        <w:tc>
          <w:tcPr>
            <w:tcW w:w="580" w:type="dxa"/>
            <w:vAlign w:val="bottom"/>
          </w:tcPr>
          <w:p>
            <w:pPr>
              <w:jc w:val="right"/>
              <w:ind w:right="16"/>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96"/>
              <w:spacing w:after="0"/>
              <w:rPr>
                <w:sz w:val="20"/>
                <w:szCs w:val="20"/>
                <w:color w:val="auto"/>
              </w:rPr>
            </w:pPr>
            <w:r>
              <w:rPr>
                <w:rFonts w:ascii="Arial" w:cs="Arial" w:eastAsia="Arial" w:hAnsi="Arial"/>
                <w:sz w:val="9"/>
                <w:szCs w:val="9"/>
                <w:color w:val="auto"/>
              </w:rPr>
              <w:t>267,002</w:t>
            </w:r>
          </w:p>
        </w:tc>
        <w:tc>
          <w:tcPr>
            <w:tcW w:w="600" w:type="dxa"/>
            <w:vAlign w:val="bottom"/>
          </w:tcPr>
          <w:p>
            <w:pPr>
              <w:jc w:val="right"/>
              <w:ind w:right="36"/>
              <w:spacing w:after="0"/>
              <w:rPr>
                <w:sz w:val="20"/>
                <w:szCs w:val="20"/>
                <w:color w:val="auto"/>
              </w:rPr>
            </w:pPr>
            <w:r>
              <w:rPr>
                <w:rFonts w:ascii="Arial" w:cs="Arial" w:eastAsia="Arial" w:hAnsi="Arial"/>
                <w:sz w:val="9"/>
                <w:szCs w:val="9"/>
                <w:color w:val="auto"/>
              </w:rPr>
              <w:t>196,718</w:t>
            </w:r>
          </w:p>
        </w:tc>
        <w:tc>
          <w:tcPr>
            <w:tcW w:w="580" w:type="dxa"/>
            <w:vAlign w:val="bottom"/>
          </w:tcPr>
          <w:p>
            <w:pPr>
              <w:jc w:val="right"/>
              <w:ind w:right="76"/>
              <w:spacing w:after="0"/>
              <w:rPr>
                <w:sz w:val="20"/>
                <w:szCs w:val="20"/>
                <w:color w:val="auto"/>
              </w:rPr>
            </w:pPr>
            <w:r>
              <w:rPr>
                <w:rFonts w:ascii="Arial" w:cs="Arial" w:eastAsia="Arial" w:hAnsi="Arial"/>
                <w:sz w:val="9"/>
                <w:szCs w:val="9"/>
                <w:color w:val="auto"/>
              </w:rPr>
              <w:t>463,720</w:t>
            </w:r>
          </w:p>
        </w:tc>
        <w:tc>
          <w:tcPr>
            <w:tcW w:w="10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56"/>
              <w:spacing w:after="0"/>
              <w:rPr>
                <w:sz w:val="20"/>
                <w:szCs w:val="20"/>
                <w:color w:val="auto"/>
              </w:rPr>
            </w:pPr>
            <w:r>
              <w:rPr>
                <w:rFonts w:ascii="Arial" w:cs="Arial" w:eastAsia="Arial" w:hAnsi="Arial"/>
                <w:sz w:val="9"/>
                <w:szCs w:val="9"/>
                <w:color w:val="auto"/>
              </w:rPr>
              <w:t>100.0%</w:t>
            </w: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88.6%</w:t>
            </w:r>
          </w:p>
        </w:tc>
        <w:tc>
          <w:tcPr>
            <w:tcW w:w="480" w:type="dxa"/>
            <w:vAlign w:val="bottom"/>
          </w:tcPr>
          <w:p>
            <w:pPr>
              <w:jc w:val="right"/>
              <w:spacing w:after="0"/>
              <w:rPr>
                <w:sz w:val="20"/>
                <w:szCs w:val="20"/>
                <w:color w:val="auto"/>
              </w:rPr>
            </w:pPr>
            <w:r>
              <w:rPr>
                <w:rFonts w:ascii="Arial" w:cs="Arial" w:eastAsia="Arial" w:hAnsi="Arial"/>
                <w:sz w:val="9"/>
                <w:szCs w:val="9"/>
                <w:color w:val="auto"/>
              </w:rPr>
              <w:t>95.2%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95.2%</w:t>
            </w:r>
          </w:p>
        </w:tc>
        <w:tc>
          <w:tcPr>
            <w:tcW w:w="100" w:type="dxa"/>
            <w:vAlign w:val="bottom"/>
          </w:tcPr>
          <w:p>
            <w:pPr>
              <w:spacing w:after="0"/>
              <w:rPr>
                <w:sz w:val="18"/>
                <w:szCs w:val="18"/>
                <w:color w:val="auto"/>
              </w:rPr>
            </w:pPr>
          </w:p>
        </w:tc>
        <w:tc>
          <w:tcPr>
            <w:tcW w:w="640" w:type="dxa"/>
            <w:vAlign w:val="bottom"/>
          </w:tcPr>
          <w:p>
            <w:pPr>
              <w:jc w:val="right"/>
              <w:ind w:right="56"/>
              <w:spacing w:after="0"/>
              <w:rPr>
                <w:sz w:val="20"/>
                <w:szCs w:val="20"/>
                <w:color w:val="auto"/>
              </w:rPr>
            </w:pPr>
            <w:r>
              <w:rPr>
                <w:rFonts w:ascii="Arial" w:cs="Arial" w:eastAsia="Arial" w:hAnsi="Arial"/>
                <w:sz w:val="9"/>
                <w:szCs w:val="9"/>
                <w:color w:val="auto"/>
              </w:rPr>
              <w:t>4,375,341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76"/>
              <w:spacing w:after="0"/>
              <w:rPr>
                <w:sz w:val="20"/>
                <w:szCs w:val="20"/>
                <w:color w:val="auto"/>
              </w:rPr>
            </w:pPr>
            <w:r>
              <w:rPr>
                <w:rFonts w:ascii="Arial" w:cs="Arial" w:eastAsia="Arial" w:hAnsi="Arial"/>
                <w:sz w:val="9"/>
                <w:szCs w:val="9"/>
                <w:color w:val="auto"/>
              </w:rPr>
              <w:t>9.91</w:t>
            </w: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gridSpan w:val="8"/>
          </w:tcPr>
          <w:p>
            <w:pPr>
              <w:spacing w:after="0"/>
              <w:rPr>
                <w:sz w:val="20"/>
                <w:szCs w:val="20"/>
                <w:color w:val="auto"/>
              </w:rPr>
            </w:pPr>
            <w:r>
              <w:rPr>
                <w:rFonts w:ascii="Arial" w:cs="Arial" w:eastAsia="Arial" w:hAnsi="Arial"/>
                <w:sz w:val="9"/>
                <w:szCs w:val="9"/>
                <w:b w:val="1"/>
                <w:bCs w:val="1"/>
                <w:color w:val="auto"/>
              </w:rPr>
              <w:t>Total - Fund V</w:t>
            </w: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738,202</w:t>
            </w: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773,740</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1,511,942</w:t>
            </w: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100.0%</w:t>
            </w: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91.5%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95.7%</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95.7%</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w w:val="98"/>
              </w:rPr>
              <w:t>$ 19,539,765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13.50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160" w:type="dxa"/>
            <w:vAlign w:val="bottom"/>
            <w:gridSpan w:val="9"/>
          </w:tcPr>
          <w:p>
            <w:pPr>
              <w:spacing w:after="0"/>
              <w:rPr>
                <w:sz w:val="20"/>
                <w:szCs w:val="20"/>
                <w:color w:val="auto"/>
              </w:rPr>
            </w:pPr>
            <w:r>
              <w:rPr>
                <w:rFonts w:ascii="Arial" w:cs="Arial" w:eastAsia="Arial" w:hAnsi="Arial"/>
                <w:sz w:val="9"/>
                <w:szCs w:val="9"/>
                <w:b w:val="1"/>
                <w:bCs w:val="1"/>
                <w:color w:val="auto"/>
              </w:rPr>
              <w:t>TOTAL FUND PROPERTIES</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214,847</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2,262,273</w:t>
            </w: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2,180,347</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4,657,467</w:t>
            </w:r>
          </w:p>
        </w:tc>
        <w:tc>
          <w:tcPr>
            <w:tcW w:w="100" w:type="dxa"/>
            <w:vAlign w:val="bottom"/>
          </w:tcPr>
          <w:p>
            <w:pPr>
              <w:spacing w:after="0"/>
              <w:rPr>
                <w:sz w:val="24"/>
                <w:szCs w:val="2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60.0%</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95.9%</w:t>
            </w: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78.6%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86.1%</w:t>
            </w:r>
          </w:p>
        </w:tc>
        <w:tc>
          <w:tcPr>
            <w:tcW w:w="10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88.1%</w:t>
            </w:r>
          </w:p>
        </w:tc>
        <w:tc>
          <w:tcPr>
            <w:tcW w:w="100" w:type="dxa"/>
            <w:vAlign w:val="bottom"/>
          </w:tcPr>
          <w:p>
            <w:pPr>
              <w:spacing w:after="0"/>
              <w:rPr>
                <w:sz w:val="24"/>
                <w:szCs w:val="24"/>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w w:val="98"/>
              </w:rPr>
              <w:t>$ 63,857,899</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15.92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160" w:type="dxa"/>
            <w:vAlign w:val="bottom"/>
            <w:gridSpan w:val="9"/>
          </w:tcPr>
          <w:p>
            <w:pPr>
              <w:spacing w:after="0"/>
              <w:rPr>
                <w:sz w:val="20"/>
                <w:szCs w:val="20"/>
                <w:color w:val="auto"/>
              </w:rPr>
            </w:pPr>
            <w:r>
              <w:rPr>
                <w:rFonts w:ascii="Arial" w:cs="Arial" w:eastAsia="Arial" w:hAnsi="Arial"/>
                <w:sz w:val="9"/>
                <w:szCs w:val="9"/>
                <w:b w:val="1"/>
                <w:bCs w:val="1"/>
                <w:color w:val="auto"/>
              </w:rPr>
              <w:t>Acadia Share of Total Fund Properties</w:t>
            </w: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36,221</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503,176</w:t>
            </w: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476,451</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1,015,849</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60.0%</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96.7%</w:t>
            </w: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77.3%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86.3%</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88.2%</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w w:val="98"/>
              </w:rPr>
              <w:t>$ 13,856,587</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15.81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5"/>
          <w:szCs w:val="15"/>
          <w:color w:val="auto"/>
        </w:rPr>
        <w:t>__________</w:t>
      </w:r>
    </w:p>
    <w:p>
      <w:pPr>
        <w:spacing w:after="0" w:line="181" w:lineRule="exact"/>
        <w:rPr>
          <w:sz w:val="20"/>
          <w:szCs w:val="20"/>
          <w:color w:val="auto"/>
        </w:rPr>
      </w:pPr>
    </w:p>
    <w:p>
      <w:pPr>
        <w:ind w:left="540" w:hanging="270"/>
        <w:spacing w:after="0" w:line="228" w:lineRule="auto"/>
        <w:tabs>
          <w:tab w:leader="none" w:pos="5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Excludes properties under development, see </w:t>
      </w:r>
      <w:hyperlink w:anchor="page48">
        <w:r>
          <w:rPr>
            <w:rFonts w:ascii="Arial" w:cs="Arial" w:eastAsia="Arial" w:hAnsi="Arial"/>
            <w:sz w:val="12"/>
            <w:szCs w:val="12"/>
            <w:u w:val="single" w:color="auto"/>
            <w:color w:val="0000EE"/>
          </w:rPr>
          <w:t>“Development Activity”</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page of this Supplemental Report. The above occupancy and rent amounts do not include space which is currently leased, other than "leased occupancy," but for which rent payment has not yet commenced. Residential and office GLA is excluded.</w:t>
      </w:r>
    </w:p>
    <w:p>
      <w:pPr>
        <w:ind w:left="540" w:hanging="270"/>
        <w:spacing w:after="0"/>
        <w:tabs>
          <w:tab w:leader="none" w:pos="5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Property also includes 12,371 sf of 2nd floor office space and 29,760 sf parking garage (131 spaces).</w:t>
      </w:r>
    </w:p>
    <w:p>
      <w:pPr>
        <w:spacing w:after="0" w:line="200" w:lineRule="exact"/>
        <w:rPr>
          <w:sz w:val="20"/>
          <w:szCs w:val="20"/>
          <w:color w:val="auto"/>
        </w:rPr>
      </w:pP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34</w:t>
            </w:r>
          </w:p>
        </w:tc>
      </w:tr>
    </w:tbl>
    <w:p>
      <w:pPr>
        <w:sectPr>
          <w:pgSz w:w="11900" w:h="16838" w:orient="portrait"/>
          <w:cols w:equalWidth="0" w:num="1">
            <w:col w:w="11340"/>
          </w:cols>
          <w:pgMar w:left="220" w:top="617" w:right="339" w:bottom="1440" w:gutter="0" w:footer="0" w:header="0"/>
        </w:sectPr>
      </w:pPr>
    </w:p>
    <w:bookmarkStart w:id="46" w:name="page47"/>
    <w:bookmarkEnd w:id="46"/>
    <w:p>
      <w:pPr>
        <w:ind w:left="780"/>
        <w:spacing w:after="0"/>
        <w:rPr>
          <w:sz w:val="20"/>
          <w:szCs w:val="20"/>
          <w:color w:val="auto"/>
        </w:rPr>
      </w:pPr>
      <w:r>
        <w:rPr>
          <w:rFonts w:ascii="Arial" w:cs="Arial" w:eastAsia="Arial" w:hAnsi="Arial"/>
          <w:sz w:val="20"/>
          <w:szCs w:val="20"/>
          <w:b w:val="1"/>
          <w:bCs w:val="1"/>
          <w:color w:val="auto"/>
        </w:rPr>
        <w:t>Funds Lease Expirations - Pro Rata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36195</wp:posOffset>
            </wp:positionV>
            <wp:extent cx="631507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15075" cy="6985"/>
                    </a:xfrm>
                    <a:prstGeom prst="rect">
                      <a:avLst/>
                    </a:prstGeom>
                    <a:noFill/>
                  </pic:spPr>
                </pic:pic>
              </a:graphicData>
            </a:graphic>
          </wp:anchor>
        </w:drawing>
      </w:r>
    </w:p>
    <w:p>
      <w:pPr>
        <w:spacing w:after="0" w:line="246" w:lineRule="exact"/>
        <w:rPr>
          <w:sz w:val="20"/>
          <w:szCs w:val="20"/>
          <w:color w:val="auto"/>
        </w:rPr>
      </w:pPr>
    </w:p>
    <w:tbl>
      <w:tblPr>
        <w:tblLayout w:type="fixed"/>
        <w:tblInd w:w="780" w:type="dxa"/>
        <w:tblCellMar>
          <w:top w:w="0" w:type="dxa"/>
          <w:left w:w="0" w:type="dxa"/>
          <w:bottom w:w="0" w:type="dxa"/>
          <w:right w:w="0" w:type="dxa"/>
        </w:tblCellMar>
      </w:tblPr>
      <w:tr>
        <w:trPr>
          <w:trHeight w:val="158"/>
        </w:trPr>
        <w:tc>
          <w:tcPr>
            <w:tcW w:w="14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2"/>
                <w:szCs w:val="12"/>
                <w:b w:val="1"/>
                <w:bCs w:val="1"/>
                <w:color w:val="auto"/>
              </w:rPr>
              <w:t>FUND II</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2"/>
                <w:szCs w:val="12"/>
                <w:b w:val="1"/>
                <w:bCs w:val="1"/>
                <w:color w:val="auto"/>
              </w:rPr>
              <w:t>FUND III</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09"/>
        </w:trPr>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2"/>
                <w:szCs w:val="12"/>
                <w:b w:val="1"/>
                <w:bCs w:val="1"/>
                <w:color w:val="auto"/>
              </w:rPr>
              <w:t>Gross Leased Area</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2"/>
                <w:szCs w:val="12"/>
                <w:b w:val="1"/>
                <w:bCs w:val="1"/>
                <w:color w:val="auto"/>
              </w:rPr>
              <w:t>Base Rent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2"/>
                <w:szCs w:val="12"/>
                <w:b w:val="1"/>
                <w:bCs w:val="1"/>
                <w:color w:val="auto"/>
              </w:rPr>
              <w:t>Gross Leased Area</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2"/>
                <w:szCs w:val="12"/>
                <w:b w:val="1"/>
                <w:bCs w:val="1"/>
                <w:color w:val="auto"/>
              </w:rPr>
              <w:t>Base Rent</w:t>
            </w:r>
          </w:p>
        </w:tc>
      </w:tr>
      <w:tr>
        <w:trPr>
          <w:trHeight w:val="205"/>
        </w:trPr>
        <w:tc>
          <w:tcPr>
            <w:tcW w:w="14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b w:val="1"/>
                <w:bCs w:val="1"/>
                <w:color w:val="auto"/>
              </w:rPr>
              <w:t>Leases</w:t>
            </w:r>
          </w:p>
        </w:tc>
        <w:tc>
          <w:tcPr>
            <w:tcW w:w="800" w:type="dxa"/>
            <w:vAlign w:val="bottom"/>
          </w:tcPr>
          <w:p>
            <w:pPr>
              <w:jc w:val="right"/>
              <w:ind w:right="102"/>
              <w:spacing w:after="0"/>
              <w:rPr>
                <w:sz w:val="20"/>
                <w:szCs w:val="20"/>
                <w:color w:val="auto"/>
              </w:rPr>
            </w:pPr>
            <w:r>
              <w:rPr>
                <w:rFonts w:ascii="Arial" w:cs="Arial" w:eastAsia="Arial" w:hAnsi="Arial"/>
                <w:sz w:val="12"/>
                <w:szCs w:val="12"/>
                <w:b w:val="1"/>
                <w:bCs w:val="1"/>
                <w:color w:val="auto"/>
              </w:rPr>
              <w:t>Expiring</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Percent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Percent</w:t>
            </w:r>
          </w:p>
        </w:tc>
        <w:tc>
          <w:tcPr>
            <w:tcW w:w="600" w:type="dxa"/>
            <w:vAlign w:val="bottom"/>
          </w:tcPr>
          <w:p>
            <w:pPr>
              <w:jc w:val="right"/>
              <w:ind w:right="42"/>
              <w:spacing w:after="0"/>
              <w:rPr>
                <w:sz w:val="20"/>
                <w:szCs w:val="20"/>
                <w:color w:val="auto"/>
              </w:rPr>
            </w:pPr>
            <w:r>
              <w:rPr>
                <w:rFonts w:ascii="Arial" w:cs="Arial" w:eastAsia="Arial" w:hAnsi="Arial"/>
                <w:sz w:val="12"/>
                <w:szCs w:val="12"/>
                <w:b w:val="1"/>
                <w:bCs w:val="1"/>
                <w:color w:val="auto"/>
              </w:rPr>
              <w:t>Leases</w:t>
            </w:r>
          </w:p>
        </w:tc>
        <w:tc>
          <w:tcPr>
            <w:tcW w:w="780" w:type="dxa"/>
            <w:vAlign w:val="bottom"/>
          </w:tcPr>
          <w:p>
            <w:pPr>
              <w:jc w:val="right"/>
              <w:ind w:right="102"/>
              <w:spacing w:after="0"/>
              <w:rPr>
                <w:sz w:val="20"/>
                <w:szCs w:val="20"/>
                <w:color w:val="auto"/>
              </w:rPr>
            </w:pPr>
            <w:r>
              <w:rPr>
                <w:rFonts w:ascii="Arial" w:cs="Arial" w:eastAsia="Arial" w:hAnsi="Arial"/>
                <w:sz w:val="12"/>
                <w:szCs w:val="12"/>
                <w:b w:val="1"/>
                <w:bCs w:val="1"/>
                <w:color w:val="auto"/>
              </w:rPr>
              <w:t>Expiring</w:t>
            </w:r>
          </w:p>
        </w:tc>
        <w:tc>
          <w:tcPr>
            <w:tcW w:w="620" w:type="dxa"/>
            <w:vAlign w:val="bottom"/>
          </w:tcPr>
          <w:p>
            <w:pPr>
              <w:jc w:val="right"/>
              <w:ind w:right="22"/>
              <w:spacing w:after="0"/>
              <w:rPr>
                <w:sz w:val="20"/>
                <w:szCs w:val="20"/>
                <w:color w:val="auto"/>
              </w:rPr>
            </w:pPr>
            <w:r>
              <w:rPr>
                <w:rFonts w:ascii="Arial" w:cs="Arial" w:eastAsia="Arial" w:hAnsi="Arial"/>
                <w:sz w:val="12"/>
                <w:szCs w:val="12"/>
                <w:b w:val="1"/>
                <w:bCs w:val="1"/>
                <w:color w:val="auto"/>
              </w:rPr>
              <w:t>Percent</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b w:val="1"/>
                <w:bCs w:val="1"/>
                <w:color w:val="auto"/>
              </w:rPr>
              <w:t>Percent</w:t>
            </w:r>
          </w:p>
        </w:tc>
      </w:tr>
      <w:tr>
        <w:trPr>
          <w:trHeight w:val="219"/>
        </w:trPr>
        <w:tc>
          <w:tcPr>
            <w:tcW w:w="1440" w:type="dxa"/>
            <w:vAlign w:val="bottom"/>
          </w:tcPr>
          <w:p>
            <w:pPr>
              <w:spacing w:after="0"/>
              <w:rPr>
                <w:sz w:val="20"/>
                <w:szCs w:val="20"/>
                <w:color w:val="auto"/>
              </w:rPr>
            </w:pPr>
            <w:r>
              <w:rPr>
                <w:rFonts w:ascii="Arial" w:cs="Arial" w:eastAsia="Arial" w:hAnsi="Arial"/>
                <w:sz w:val="12"/>
                <w:szCs w:val="12"/>
                <w:b w:val="1"/>
                <w:bCs w:val="1"/>
                <w:color w:val="auto"/>
              </w:rPr>
              <w:t>Year</w:t>
            </w: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Expiring</w:t>
            </w: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SF</w:t>
            </w: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rPr>
              <w:t>of Total</w:t>
            </w: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PSF</w:t>
            </w: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of Total</w:t>
            </w:r>
          </w:p>
        </w:tc>
        <w:tc>
          <w:tcPr>
            <w:tcW w:w="180" w:type="dxa"/>
            <w:vAlign w:val="bottom"/>
          </w:tcPr>
          <w:p>
            <w:pPr>
              <w:spacing w:after="0"/>
              <w:rPr>
                <w:sz w:val="19"/>
                <w:szCs w:val="19"/>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Expiring</w:t>
            </w: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SF</w:t>
            </w:r>
          </w:p>
        </w:tc>
        <w:tc>
          <w:tcPr>
            <w:tcW w:w="6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of Total</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PSF</w:t>
            </w:r>
          </w:p>
        </w:tc>
        <w:tc>
          <w:tcPr>
            <w:tcW w:w="6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of Total</w:t>
            </w:r>
          </w:p>
        </w:tc>
      </w:tr>
      <w:tr>
        <w:trPr>
          <w:trHeight w:val="239"/>
        </w:trPr>
        <w:tc>
          <w:tcPr>
            <w:tcW w:w="1440" w:type="dxa"/>
            <w:vAlign w:val="bottom"/>
          </w:tcPr>
          <w:p>
            <w:pPr>
              <w:spacing w:after="0"/>
              <w:rPr>
                <w:sz w:val="20"/>
                <w:szCs w:val="20"/>
                <w:color w:val="auto"/>
              </w:rPr>
            </w:pPr>
            <w:r>
              <w:rPr>
                <w:rFonts w:ascii="Arial" w:cs="Arial" w:eastAsia="Arial" w:hAnsi="Arial"/>
                <w:sz w:val="12"/>
                <w:szCs w:val="12"/>
                <w:color w:val="auto"/>
              </w:rPr>
              <w:t xml:space="preserve">M to M </w:t>
            </w:r>
            <w:r>
              <w:rPr>
                <w:rFonts w:ascii="Arial" w:cs="Arial" w:eastAsia="Arial" w:hAnsi="Arial"/>
                <w:sz w:val="14"/>
                <w:szCs w:val="14"/>
                <w:color w:val="auto"/>
                <w:vertAlign w:val="superscript"/>
              </w:rPr>
              <w:t>1</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 $</w:t>
            </w:r>
          </w:p>
        </w:tc>
        <w:tc>
          <w:tcPr>
            <w:tcW w:w="900" w:type="dxa"/>
            <w:vAlign w:val="bottom"/>
            <w:gridSpan w:val="3"/>
          </w:tcPr>
          <w:p>
            <w:pPr>
              <w:jc w:val="right"/>
              <w:ind w:right="2"/>
              <w:spacing w:after="0"/>
              <w:rPr>
                <w:sz w:val="20"/>
                <w:szCs w:val="20"/>
                <w:color w:val="auto"/>
              </w:rPr>
            </w:pPr>
            <w:r>
              <w:rPr>
                <w:rFonts w:ascii="Arial" w:cs="Arial" w:eastAsia="Arial" w:hAnsi="Arial"/>
                <w:sz w:val="12"/>
                <w:szCs w:val="12"/>
                <w:color w:val="auto"/>
              </w:rPr>
              <w:t>—    $</w:t>
            </w: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
              <w:spacing w:after="0"/>
              <w:rPr>
                <w:sz w:val="20"/>
                <w:szCs w:val="20"/>
                <w:color w:val="auto"/>
              </w:rPr>
            </w:pPr>
            <w:r>
              <w:rPr>
                <w:rFonts w:ascii="Arial" w:cs="Arial" w:eastAsia="Arial" w:hAnsi="Arial"/>
                <w:sz w:val="12"/>
                <w:szCs w:val="12"/>
                <w:color w:val="auto"/>
              </w:rPr>
              <w:t>—% $</w:t>
            </w:r>
          </w:p>
        </w:tc>
        <w:tc>
          <w:tcPr>
            <w:tcW w:w="94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4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7"/>
        </w:trPr>
        <w:tc>
          <w:tcPr>
            <w:tcW w:w="1440" w:type="dxa"/>
            <w:vAlign w:val="bottom"/>
          </w:tcPr>
          <w:p>
            <w:pPr>
              <w:spacing w:after="0"/>
              <w:rPr>
                <w:sz w:val="20"/>
                <w:szCs w:val="20"/>
                <w:color w:val="auto"/>
              </w:rPr>
            </w:pPr>
            <w:r>
              <w:rPr>
                <w:rFonts w:ascii="Arial" w:cs="Arial" w:eastAsia="Arial" w:hAnsi="Arial"/>
                <w:sz w:val="12"/>
                <w:szCs w:val="12"/>
                <w:color w:val="auto"/>
              </w:rPr>
              <w:t>2018</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3</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1,286</w:t>
            </w:r>
          </w:p>
        </w:tc>
        <w:tc>
          <w:tcPr>
            <w:tcW w:w="620" w:type="dxa"/>
            <w:vAlign w:val="bottom"/>
          </w:tcPr>
          <w:p>
            <w:pPr>
              <w:jc w:val="right"/>
              <w:spacing w:after="0"/>
              <w:rPr>
                <w:sz w:val="20"/>
                <w:szCs w:val="20"/>
                <w:color w:val="auto"/>
              </w:rPr>
            </w:pPr>
            <w:r>
              <w:rPr>
                <w:rFonts w:ascii="Arial" w:cs="Arial" w:eastAsia="Arial" w:hAnsi="Arial"/>
                <w:sz w:val="12"/>
                <w:szCs w:val="12"/>
                <w:color w:val="auto"/>
              </w:rPr>
              <w:t>13.6%</w:t>
            </w:r>
          </w:p>
        </w:tc>
        <w:tc>
          <w:tcPr>
            <w:tcW w:w="160" w:type="dxa"/>
            <w:vAlign w:val="bottom"/>
          </w:tcPr>
          <w:p>
            <w:pPr>
              <w:spacing w:after="0"/>
              <w:rPr>
                <w:sz w:val="15"/>
                <w:szCs w:val="15"/>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64,716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42"/>
              <w:spacing w:after="0"/>
              <w:rPr>
                <w:sz w:val="20"/>
                <w:szCs w:val="20"/>
                <w:color w:val="auto"/>
              </w:rPr>
            </w:pPr>
            <w:r>
              <w:rPr>
                <w:rFonts w:ascii="Arial" w:cs="Arial" w:eastAsia="Arial" w:hAnsi="Arial"/>
                <w:sz w:val="12"/>
                <w:szCs w:val="12"/>
                <w:color w:val="auto"/>
              </w:rPr>
              <w:t>50.32</w:t>
            </w:r>
          </w:p>
        </w:tc>
        <w:tc>
          <w:tcPr>
            <w:tcW w:w="620" w:type="dxa"/>
            <w:vAlign w:val="bottom"/>
          </w:tcPr>
          <w:p>
            <w:pPr>
              <w:jc w:val="right"/>
              <w:spacing w:after="0"/>
              <w:rPr>
                <w:sz w:val="20"/>
                <w:szCs w:val="20"/>
                <w:color w:val="auto"/>
              </w:rPr>
            </w:pPr>
            <w:r>
              <w:rPr>
                <w:rFonts w:ascii="Arial" w:cs="Arial" w:eastAsia="Arial" w:hAnsi="Arial"/>
                <w:sz w:val="12"/>
                <w:szCs w:val="12"/>
                <w:color w:val="auto"/>
              </w:rPr>
              <w:t>11.3%</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2019</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2020</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2</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729</w:t>
            </w:r>
          </w:p>
        </w:tc>
        <w:tc>
          <w:tcPr>
            <w:tcW w:w="620" w:type="dxa"/>
            <w:vAlign w:val="bottom"/>
          </w:tcPr>
          <w:p>
            <w:pPr>
              <w:jc w:val="right"/>
              <w:spacing w:after="0"/>
              <w:rPr>
                <w:sz w:val="20"/>
                <w:szCs w:val="20"/>
                <w:color w:val="auto"/>
              </w:rPr>
            </w:pPr>
            <w:r>
              <w:rPr>
                <w:rFonts w:ascii="Arial" w:cs="Arial" w:eastAsia="Arial" w:hAnsi="Arial"/>
                <w:sz w:val="12"/>
                <w:szCs w:val="12"/>
                <w:color w:val="auto"/>
              </w:rPr>
              <w:t>7.7%</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32,319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2"/>
                <w:szCs w:val="12"/>
                <w:color w:val="auto"/>
              </w:rPr>
              <w:t>44.33</w:t>
            </w:r>
          </w:p>
        </w:tc>
        <w:tc>
          <w:tcPr>
            <w:tcW w:w="62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2021</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2</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1,038</w:t>
            </w:r>
          </w:p>
        </w:tc>
        <w:tc>
          <w:tcPr>
            <w:tcW w:w="620" w:type="dxa"/>
            <w:vAlign w:val="bottom"/>
          </w:tcPr>
          <w:p>
            <w:pPr>
              <w:jc w:val="right"/>
              <w:spacing w:after="0"/>
              <w:rPr>
                <w:sz w:val="20"/>
                <w:szCs w:val="20"/>
                <w:color w:val="auto"/>
              </w:rPr>
            </w:pPr>
            <w:r>
              <w:rPr>
                <w:rFonts w:ascii="Arial" w:cs="Arial" w:eastAsia="Arial" w:hAnsi="Arial"/>
                <w:sz w:val="12"/>
                <w:szCs w:val="12"/>
                <w:color w:val="auto"/>
              </w:rPr>
              <w:t>11.0%</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42,159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2"/>
                <w:szCs w:val="12"/>
                <w:color w:val="auto"/>
              </w:rPr>
              <w:t>40.62</w:t>
            </w:r>
          </w:p>
        </w:tc>
        <w:tc>
          <w:tcPr>
            <w:tcW w:w="62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2022</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3</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1,330</w:t>
            </w:r>
          </w:p>
        </w:tc>
        <w:tc>
          <w:tcPr>
            <w:tcW w:w="620" w:type="dxa"/>
            <w:vAlign w:val="bottom"/>
          </w:tcPr>
          <w:p>
            <w:pPr>
              <w:jc w:val="right"/>
              <w:spacing w:after="0"/>
              <w:rPr>
                <w:sz w:val="20"/>
                <w:szCs w:val="20"/>
                <w:color w:val="auto"/>
              </w:rPr>
            </w:pPr>
            <w:r>
              <w:rPr>
                <w:rFonts w:ascii="Arial" w:cs="Arial" w:eastAsia="Arial" w:hAnsi="Arial"/>
                <w:sz w:val="12"/>
                <w:szCs w:val="12"/>
                <w:color w:val="auto"/>
              </w:rPr>
              <w:t>14.1%</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104,531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2"/>
                <w:szCs w:val="12"/>
                <w:color w:val="auto"/>
              </w:rPr>
              <w:t>78.59</w:t>
            </w:r>
          </w:p>
        </w:tc>
        <w:tc>
          <w:tcPr>
            <w:tcW w:w="620" w:type="dxa"/>
            <w:vAlign w:val="bottom"/>
          </w:tcPr>
          <w:p>
            <w:pPr>
              <w:jc w:val="right"/>
              <w:spacing w:after="0"/>
              <w:rPr>
                <w:sz w:val="20"/>
                <w:szCs w:val="20"/>
                <w:color w:val="auto"/>
              </w:rPr>
            </w:pPr>
            <w:r>
              <w:rPr>
                <w:rFonts w:ascii="Arial" w:cs="Arial" w:eastAsia="Arial" w:hAnsi="Arial"/>
                <w:sz w:val="12"/>
                <w:szCs w:val="12"/>
                <w:color w:val="auto"/>
              </w:rPr>
              <w:t>18.3%</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2023</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2</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101</w:t>
            </w:r>
          </w:p>
        </w:tc>
        <w:tc>
          <w:tcPr>
            <w:tcW w:w="620" w:type="dxa"/>
            <w:vAlign w:val="bottom"/>
          </w:tcPr>
          <w:p>
            <w:pPr>
              <w:jc w:val="right"/>
              <w:spacing w:after="0"/>
              <w:rPr>
                <w:sz w:val="20"/>
                <w:szCs w:val="20"/>
                <w:color w:val="auto"/>
              </w:rPr>
            </w:pPr>
            <w:r>
              <w:rPr>
                <w:rFonts w:ascii="Arial" w:cs="Arial" w:eastAsia="Arial" w:hAnsi="Arial"/>
                <w:sz w:val="12"/>
                <w:szCs w:val="12"/>
                <w:color w:val="auto"/>
              </w:rPr>
              <w:t>1.1%</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38,913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2"/>
                <w:szCs w:val="12"/>
                <w:color w:val="auto"/>
                <w:w w:val="97"/>
              </w:rPr>
              <w:t>385.28</w:t>
            </w:r>
          </w:p>
        </w:tc>
        <w:tc>
          <w:tcPr>
            <w:tcW w:w="62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2024</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755</w:t>
            </w:r>
          </w:p>
        </w:tc>
        <w:tc>
          <w:tcPr>
            <w:tcW w:w="620" w:type="dxa"/>
            <w:vAlign w:val="bottom"/>
          </w:tcPr>
          <w:p>
            <w:pPr>
              <w:jc w:val="right"/>
              <w:spacing w:after="0"/>
              <w:rPr>
                <w:sz w:val="20"/>
                <w:szCs w:val="20"/>
                <w:color w:val="auto"/>
              </w:rPr>
            </w:pPr>
            <w:r>
              <w:rPr>
                <w:rFonts w:ascii="Arial" w:cs="Arial" w:eastAsia="Arial" w:hAnsi="Arial"/>
                <w:sz w:val="12"/>
                <w:szCs w:val="12"/>
                <w:color w:val="auto"/>
              </w:rPr>
              <w:t>8.0%</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42,557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2"/>
                <w:szCs w:val="12"/>
                <w:color w:val="auto"/>
              </w:rPr>
              <w:t>56.37</w:t>
            </w:r>
          </w:p>
        </w:tc>
        <w:tc>
          <w:tcPr>
            <w:tcW w:w="62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2025</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2</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624</w:t>
            </w:r>
          </w:p>
        </w:tc>
        <w:tc>
          <w:tcPr>
            <w:tcW w:w="620" w:type="dxa"/>
            <w:vAlign w:val="bottom"/>
          </w:tcPr>
          <w:p>
            <w:pPr>
              <w:jc w:val="right"/>
              <w:spacing w:after="0"/>
              <w:rPr>
                <w:sz w:val="20"/>
                <w:szCs w:val="20"/>
                <w:color w:val="auto"/>
              </w:rPr>
            </w:pPr>
            <w:r>
              <w:rPr>
                <w:rFonts w:ascii="Arial" w:cs="Arial" w:eastAsia="Arial" w:hAnsi="Arial"/>
                <w:sz w:val="12"/>
                <w:szCs w:val="12"/>
                <w:color w:val="auto"/>
              </w:rPr>
              <w:t>6.6%</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53,674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2"/>
                <w:szCs w:val="12"/>
                <w:color w:val="auto"/>
              </w:rPr>
              <w:t>86.02</w:t>
            </w:r>
          </w:p>
        </w:tc>
        <w:tc>
          <w:tcPr>
            <w:tcW w:w="62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2026</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2</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252</w:t>
            </w:r>
          </w:p>
        </w:tc>
        <w:tc>
          <w:tcPr>
            <w:tcW w:w="620" w:type="dxa"/>
            <w:vAlign w:val="bottom"/>
          </w:tcPr>
          <w:p>
            <w:pPr>
              <w:jc w:val="right"/>
              <w:spacing w:after="0"/>
              <w:rPr>
                <w:sz w:val="20"/>
                <w:szCs w:val="20"/>
                <w:color w:val="auto"/>
              </w:rPr>
            </w:pPr>
            <w:r>
              <w:rPr>
                <w:rFonts w:ascii="Arial" w:cs="Arial" w:eastAsia="Arial" w:hAnsi="Arial"/>
                <w:sz w:val="12"/>
                <w:szCs w:val="12"/>
                <w:color w:val="auto"/>
              </w:rPr>
              <w:t>2.7%</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77,285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2"/>
                <w:szCs w:val="12"/>
                <w:color w:val="auto"/>
                <w:w w:val="97"/>
              </w:rPr>
              <w:t>306.69</w:t>
            </w:r>
          </w:p>
        </w:tc>
        <w:tc>
          <w:tcPr>
            <w:tcW w:w="620" w:type="dxa"/>
            <w:vAlign w:val="bottom"/>
          </w:tcPr>
          <w:p>
            <w:pPr>
              <w:jc w:val="right"/>
              <w:spacing w:after="0"/>
              <w:rPr>
                <w:sz w:val="20"/>
                <w:szCs w:val="20"/>
                <w:color w:val="auto"/>
              </w:rPr>
            </w:pPr>
            <w:r>
              <w:rPr>
                <w:rFonts w:ascii="Arial" w:cs="Arial" w:eastAsia="Arial" w:hAnsi="Arial"/>
                <w:sz w:val="12"/>
                <w:szCs w:val="12"/>
                <w:color w:val="auto"/>
              </w:rPr>
              <w:t>13.5%</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2027</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2</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5,854</w:t>
            </w:r>
          </w:p>
        </w:tc>
        <w:tc>
          <w:tcPr>
            <w:tcW w:w="620" w:type="dxa"/>
            <w:vAlign w:val="bottom"/>
          </w:tcPr>
          <w:p>
            <w:pPr>
              <w:jc w:val="right"/>
              <w:spacing w:after="0"/>
              <w:rPr>
                <w:sz w:val="20"/>
                <w:szCs w:val="20"/>
                <w:color w:val="auto"/>
              </w:rPr>
            </w:pPr>
            <w:r>
              <w:rPr>
                <w:rFonts w:ascii="Arial" w:cs="Arial" w:eastAsia="Arial" w:hAnsi="Arial"/>
                <w:sz w:val="12"/>
                <w:szCs w:val="12"/>
                <w:color w:val="auto"/>
              </w:rPr>
              <w:t>6.3%</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385,192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65.80</w:t>
            </w:r>
          </w:p>
        </w:tc>
        <w:tc>
          <w:tcPr>
            <w:tcW w:w="620" w:type="dxa"/>
            <w:vAlign w:val="bottom"/>
          </w:tcPr>
          <w:p>
            <w:pPr>
              <w:jc w:val="right"/>
              <w:spacing w:after="0"/>
              <w:rPr>
                <w:sz w:val="20"/>
                <w:szCs w:val="20"/>
                <w:color w:val="auto"/>
              </w:rPr>
            </w:pPr>
            <w:r>
              <w:rPr>
                <w:rFonts w:ascii="Arial" w:cs="Arial" w:eastAsia="Arial" w:hAnsi="Arial"/>
                <w:sz w:val="12"/>
                <w:szCs w:val="12"/>
                <w:color w:val="auto"/>
              </w:rPr>
              <w:t>15.2%</w:t>
            </w:r>
          </w:p>
        </w:tc>
        <w:tc>
          <w:tcPr>
            <w:tcW w:w="18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2</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368</w:t>
            </w:r>
          </w:p>
        </w:tc>
        <w:tc>
          <w:tcPr>
            <w:tcW w:w="620" w:type="dxa"/>
            <w:vAlign w:val="bottom"/>
          </w:tcPr>
          <w:p>
            <w:pPr>
              <w:jc w:val="right"/>
              <w:spacing w:after="0"/>
              <w:rPr>
                <w:sz w:val="20"/>
                <w:szCs w:val="20"/>
                <w:color w:val="auto"/>
              </w:rPr>
            </w:pPr>
            <w:r>
              <w:rPr>
                <w:rFonts w:ascii="Arial" w:cs="Arial" w:eastAsia="Arial" w:hAnsi="Arial"/>
                <w:sz w:val="12"/>
                <w:szCs w:val="12"/>
                <w:color w:val="auto"/>
              </w:rPr>
              <w:t>3.9%</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17,627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2"/>
                <w:szCs w:val="12"/>
                <w:color w:val="auto"/>
              </w:rPr>
              <w:t>47.90</w:t>
            </w:r>
          </w:p>
        </w:tc>
        <w:tc>
          <w:tcPr>
            <w:tcW w:w="62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23"/>
        </w:trPr>
        <w:tc>
          <w:tcPr>
            <w:tcW w:w="1440" w:type="dxa"/>
            <w:vAlign w:val="bottom"/>
          </w:tcPr>
          <w:p>
            <w:pPr>
              <w:spacing w:after="0"/>
              <w:rPr>
                <w:sz w:val="20"/>
                <w:szCs w:val="20"/>
                <w:color w:val="auto"/>
              </w:rPr>
            </w:pPr>
            <w:r>
              <w:rPr>
                <w:rFonts w:ascii="Arial" w:cs="Arial" w:eastAsia="Arial" w:hAnsi="Arial"/>
                <w:sz w:val="12"/>
                <w:szCs w:val="12"/>
                <w:color w:val="auto"/>
              </w:rPr>
              <w:t>Thereafter</w:t>
            </w: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86,475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93.7%</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2,156,538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24.94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84.8%</w:t>
            </w:r>
          </w:p>
        </w:tc>
        <w:tc>
          <w:tcPr>
            <w:tcW w:w="180" w:type="dxa"/>
            <w:vAlign w:val="bottom"/>
          </w:tcPr>
          <w:p>
            <w:pPr>
              <w:spacing w:after="0"/>
              <w:rPr>
                <w:sz w:val="19"/>
                <w:szCs w:val="19"/>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2,942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97,288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33.07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w:t>
            </w:r>
          </w:p>
        </w:tc>
      </w:tr>
      <w:tr>
        <w:trPr>
          <w:trHeight w:val="193"/>
        </w:trPr>
        <w:tc>
          <w:tcPr>
            <w:tcW w:w="1440" w:type="dxa"/>
            <w:vAlign w:val="bottom"/>
          </w:tcPr>
          <w:p>
            <w:pPr>
              <w:spacing w:after="0"/>
              <w:rPr>
                <w:sz w:val="20"/>
                <w:szCs w:val="20"/>
                <w:color w:val="auto"/>
              </w:rPr>
            </w:pPr>
            <w:r>
              <w:rPr>
                <w:rFonts w:ascii="Arial" w:cs="Arial" w:eastAsia="Arial" w:hAnsi="Arial"/>
                <w:sz w:val="12"/>
                <w:szCs w:val="12"/>
                <w:color w:val="auto"/>
              </w:rPr>
              <w:t>Total</w:t>
            </w: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8</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92,329</w:t>
            </w: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100.0% $</w:t>
            </w: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2,541,730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27.53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c>
          <w:tcPr>
            <w:tcW w:w="180" w:type="dxa"/>
            <w:vAlign w:val="bottom"/>
          </w:tcPr>
          <w:p>
            <w:pPr>
              <w:spacing w:after="0"/>
              <w:rPr>
                <w:sz w:val="16"/>
                <w:szCs w:val="16"/>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22</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9,425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571,069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60.58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r>
      <w:tr>
        <w:trPr>
          <w:trHeight w:val="20"/>
        </w:trPr>
        <w:tc>
          <w:tcPr>
            <w:tcW w:w="1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00"/>
          </w:cols>
          <w:pgMar w:left="220" w:top="617" w:right="979" w:bottom="1440" w:gutter="0" w:footer="0" w:header="0"/>
        </w:sectPr>
      </w:pPr>
    </w:p>
    <w:p>
      <w:pPr>
        <w:spacing w:after="0" w:line="66" w:lineRule="exact"/>
        <w:rPr>
          <w:sz w:val="20"/>
          <w:szCs w:val="20"/>
          <w:color w:val="auto"/>
        </w:rPr>
      </w:pPr>
    </w:p>
    <w:p>
      <w:pPr>
        <w:ind w:left="3140"/>
        <w:spacing w:after="0"/>
        <w:tabs>
          <w:tab w:leader="none" w:pos="3600" w:val="left"/>
        </w:tabs>
        <w:rPr>
          <w:sz w:val="20"/>
          <w:szCs w:val="20"/>
          <w:color w:val="auto"/>
        </w:rPr>
      </w:pPr>
      <w:r>
        <w:rPr>
          <w:rFonts w:ascii="Arial" w:cs="Arial" w:eastAsia="Arial" w:hAnsi="Arial"/>
          <w:sz w:val="12"/>
          <w:szCs w:val="12"/>
          <w:color w:val="auto"/>
        </w:rPr>
        <w:t>34,496</w:t>
      </w:r>
      <w:r>
        <w:rPr>
          <w:sz w:val="20"/>
          <w:szCs w:val="20"/>
          <w:color w:val="auto"/>
        </w:rPr>
        <w:tab/>
      </w:r>
      <w:r>
        <w:rPr>
          <w:rFonts w:ascii="Arial" w:cs="Arial" w:eastAsia="Arial" w:hAnsi="Arial"/>
          <w:sz w:val="10"/>
          <w:szCs w:val="10"/>
          <w:color w:val="auto"/>
        </w:rPr>
        <w:t>Total Vacant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1781175</wp:posOffset>
            </wp:positionH>
            <wp:positionV relativeFrom="paragraph">
              <wp:posOffset>6985</wp:posOffset>
            </wp:positionV>
            <wp:extent cx="4997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745" cy="6985"/>
                    </a:xfrm>
                    <a:prstGeom prst="rect">
                      <a:avLst/>
                    </a:prstGeom>
                    <a:noFill/>
                  </pic:spPr>
                </pic:pic>
              </a:graphicData>
            </a:graphic>
          </wp:anchor>
        </w:drawing>
      </w:r>
    </w:p>
    <w:p>
      <w:pPr>
        <w:spacing w:after="0" w:line="36" w:lineRule="exact"/>
        <w:rPr>
          <w:sz w:val="20"/>
          <w:szCs w:val="20"/>
          <w:color w:val="auto"/>
        </w:rPr>
      </w:pPr>
    </w:p>
    <w:p>
      <w:pPr>
        <w:ind w:left="3080"/>
        <w:spacing w:after="0"/>
        <w:tabs>
          <w:tab w:leader="none" w:pos="3600" w:val="left"/>
        </w:tabs>
        <w:rPr>
          <w:sz w:val="20"/>
          <w:szCs w:val="20"/>
          <w:color w:val="auto"/>
        </w:rPr>
      </w:pPr>
      <w:r>
        <w:rPr>
          <w:rFonts w:ascii="Arial" w:cs="Arial" w:eastAsia="Arial" w:hAnsi="Arial"/>
          <w:sz w:val="12"/>
          <w:szCs w:val="12"/>
          <w:b w:val="1"/>
          <w:bCs w:val="1"/>
          <w:color w:val="auto"/>
        </w:rPr>
        <w:t>126,825</w:t>
      </w:r>
      <w:r>
        <w:rPr>
          <w:sz w:val="20"/>
          <w:szCs w:val="20"/>
          <w:color w:val="auto"/>
        </w:rPr>
        <w:tab/>
      </w:r>
      <w:r>
        <w:rPr>
          <w:rFonts w:ascii="Arial" w:cs="Arial" w:eastAsia="Arial" w:hAnsi="Arial"/>
          <w:sz w:val="10"/>
          <w:szCs w:val="10"/>
          <w:b w:val="1"/>
          <w:bCs w:val="1"/>
          <w:color w:val="auto"/>
        </w:rPr>
        <w:t>Total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1781175</wp:posOffset>
            </wp:positionH>
            <wp:positionV relativeFrom="paragraph">
              <wp:posOffset>15875</wp:posOffset>
            </wp:positionV>
            <wp:extent cx="4997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745" cy="698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29845</wp:posOffset>
            </wp:positionV>
            <wp:extent cx="49974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7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2"/>
          <w:szCs w:val="12"/>
          <w:color w:val="auto"/>
        </w:rPr>
        <w:t>3,094</w:t>
      </w:r>
      <w:r>
        <w:rPr>
          <w:sz w:val="20"/>
          <w:szCs w:val="20"/>
          <w:color w:val="auto"/>
        </w:rPr>
        <w:tab/>
      </w:r>
      <w:r>
        <w:rPr>
          <w:rFonts w:ascii="Arial" w:cs="Arial" w:eastAsia="Arial" w:hAnsi="Arial"/>
          <w:sz w:val="10"/>
          <w:szCs w:val="10"/>
          <w:color w:val="auto"/>
        </w:rPr>
        <w:t>Total Vacant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6985</wp:posOffset>
            </wp:positionV>
            <wp:extent cx="49974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745" cy="6985"/>
                    </a:xfrm>
                    <a:prstGeom prst="rect">
                      <a:avLst/>
                    </a:prstGeom>
                    <a:noFill/>
                  </pic:spPr>
                </pic:pic>
              </a:graphicData>
            </a:graphic>
          </wp:anchor>
        </w:drawing>
      </w:r>
    </w:p>
    <w:p>
      <w:pPr>
        <w:spacing w:after="0" w:line="36" w:lineRule="exact"/>
        <w:rPr>
          <w:sz w:val="20"/>
          <w:szCs w:val="20"/>
          <w:color w:val="auto"/>
        </w:rPr>
      </w:pPr>
    </w:p>
    <w:p>
      <w:pPr>
        <w:spacing w:after="0"/>
        <w:tabs>
          <w:tab w:leader="none" w:pos="440" w:val="left"/>
        </w:tabs>
        <w:rPr>
          <w:sz w:val="20"/>
          <w:szCs w:val="20"/>
          <w:color w:val="auto"/>
        </w:rPr>
      </w:pPr>
      <w:r>
        <w:rPr>
          <w:rFonts w:ascii="Arial" w:cs="Arial" w:eastAsia="Arial" w:hAnsi="Arial"/>
          <w:sz w:val="12"/>
          <w:szCs w:val="12"/>
          <w:b w:val="1"/>
          <w:bCs w:val="1"/>
          <w:color w:val="auto"/>
        </w:rPr>
        <w:t>12,519</w:t>
      </w:r>
      <w:r>
        <w:rPr>
          <w:sz w:val="20"/>
          <w:szCs w:val="20"/>
          <w:color w:val="auto"/>
        </w:rPr>
        <w:tab/>
      </w:r>
      <w:r>
        <w:rPr>
          <w:rFonts w:ascii="Arial" w:cs="Arial" w:eastAsia="Arial" w:hAnsi="Arial"/>
          <w:sz w:val="10"/>
          <w:szCs w:val="10"/>
          <w:b w:val="1"/>
          <w:bCs w:val="1"/>
          <w:color w:val="auto"/>
        </w:rPr>
        <w:t>Total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15875</wp:posOffset>
            </wp:positionV>
            <wp:extent cx="49974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745" cy="6985"/>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29845</wp:posOffset>
            </wp:positionV>
            <wp:extent cx="49974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74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260"/>
          </w:cols>
          <w:pgMar w:left="220" w:top="617" w:right="979" w:bottom="1440" w:gutter="0" w:footer="0" w:header="0"/>
          <w:type w:val="continuous"/>
        </w:sectPr>
      </w:pPr>
    </w:p>
    <w:p>
      <w:pPr>
        <w:spacing w:after="0" w:line="307" w:lineRule="exact"/>
        <w:rPr>
          <w:sz w:val="20"/>
          <w:szCs w:val="20"/>
          <w:color w:val="auto"/>
        </w:rPr>
      </w:pPr>
    </w:p>
    <w:tbl>
      <w:tblPr>
        <w:tblLayout w:type="fixed"/>
        <w:tblInd w:w="780" w:type="dxa"/>
        <w:tblCellMar>
          <w:top w:w="0" w:type="dxa"/>
          <w:left w:w="0" w:type="dxa"/>
          <w:bottom w:w="0" w:type="dxa"/>
          <w:right w:w="0" w:type="dxa"/>
        </w:tblCellMar>
      </w:tblPr>
      <w:tr>
        <w:trPr>
          <w:trHeight w:val="158"/>
        </w:trPr>
        <w:tc>
          <w:tcPr>
            <w:tcW w:w="14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2"/>
                <w:szCs w:val="12"/>
                <w:b w:val="1"/>
                <w:bCs w:val="1"/>
                <w:color w:val="auto"/>
              </w:rPr>
              <w:t>FUND IV</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2"/>
                <w:szCs w:val="12"/>
                <w:b w:val="1"/>
                <w:bCs w:val="1"/>
                <w:color w:val="auto"/>
              </w:rPr>
              <w:t>FUND V</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09"/>
        </w:trPr>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2"/>
                <w:szCs w:val="12"/>
                <w:b w:val="1"/>
                <w:bCs w:val="1"/>
                <w:color w:val="auto"/>
              </w:rPr>
              <w:t>Gross Leased Area</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2"/>
                <w:szCs w:val="12"/>
                <w:b w:val="1"/>
                <w:bCs w:val="1"/>
                <w:color w:val="auto"/>
              </w:rPr>
              <w:t>Base Rent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2"/>
                <w:szCs w:val="12"/>
                <w:b w:val="1"/>
                <w:bCs w:val="1"/>
                <w:color w:val="auto"/>
              </w:rPr>
              <w:t>Gross Leased Area</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2"/>
                <w:szCs w:val="12"/>
                <w:b w:val="1"/>
                <w:bCs w:val="1"/>
                <w:color w:val="auto"/>
              </w:rPr>
              <w:t>Base Rent</w:t>
            </w:r>
          </w:p>
        </w:tc>
      </w:tr>
      <w:tr>
        <w:trPr>
          <w:trHeight w:val="205"/>
        </w:trPr>
        <w:tc>
          <w:tcPr>
            <w:tcW w:w="144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b w:val="1"/>
                <w:bCs w:val="1"/>
                <w:color w:val="auto"/>
              </w:rPr>
              <w:t>Leases</w:t>
            </w:r>
          </w:p>
        </w:tc>
        <w:tc>
          <w:tcPr>
            <w:tcW w:w="800" w:type="dxa"/>
            <w:vAlign w:val="bottom"/>
          </w:tcPr>
          <w:p>
            <w:pPr>
              <w:jc w:val="right"/>
              <w:ind w:right="102"/>
              <w:spacing w:after="0"/>
              <w:rPr>
                <w:sz w:val="20"/>
                <w:szCs w:val="20"/>
                <w:color w:val="auto"/>
              </w:rPr>
            </w:pPr>
            <w:r>
              <w:rPr>
                <w:rFonts w:ascii="Arial" w:cs="Arial" w:eastAsia="Arial" w:hAnsi="Arial"/>
                <w:sz w:val="12"/>
                <w:szCs w:val="12"/>
                <w:b w:val="1"/>
                <w:bCs w:val="1"/>
                <w:color w:val="auto"/>
              </w:rPr>
              <w:t>Expiring</w:t>
            </w:r>
          </w:p>
        </w:tc>
        <w:tc>
          <w:tcPr>
            <w:tcW w:w="620" w:type="dxa"/>
            <w:vAlign w:val="bottom"/>
          </w:tcPr>
          <w:p>
            <w:pPr>
              <w:jc w:val="right"/>
              <w:ind w:right="42"/>
              <w:spacing w:after="0"/>
              <w:rPr>
                <w:sz w:val="20"/>
                <w:szCs w:val="20"/>
                <w:color w:val="auto"/>
              </w:rPr>
            </w:pPr>
            <w:r>
              <w:rPr>
                <w:rFonts w:ascii="Arial" w:cs="Arial" w:eastAsia="Arial" w:hAnsi="Arial"/>
                <w:sz w:val="12"/>
                <w:szCs w:val="12"/>
                <w:b w:val="1"/>
                <w:bCs w:val="1"/>
                <w:color w:val="auto"/>
              </w:rPr>
              <w:t>Percent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Percent</w:t>
            </w:r>
          </w:p>
        </w:tc>
        <w:tc>
          <w:tcPr>
            <w:tcW w:w="600" w:type="dxa"/>
            <w:vAlign w:val="bottom"/>
          </w:tcPr>
          <w:p>
            <w:pPr>
              <w:jc w:val="right"/>
              <w:ind w:right="42"/>
              <w:spacing w:after="0"/>
              <w:rPr>
                <w:sz w:val="20"/>
                <w:szCs w:val="20"/>
                <w:color w:val="auto"/>
              </w:rPr>
            </w:pPr>
            <w:r>
              <w:rPr>
                <w:rFonts w:ascii="Arial" w:cs="Arial" w:eastAsia="Arial" w:hAnsi="Arial"/>
                <w:sz w:val="12"/>
                <w:szCs w:val="12"/>
                <w:b w:val="1"/>
                <w:bCs w:val="1"/>
                <w:color w:val="auto"/>
              </w:rPr>
              <w:t>Leases</w:t>
            </w:r>
          </w:p>
        </w:tc>
        <w:tc>
          <w:tcPr>
            <w:tcW w:w="780" w:type="dxa"/>
            <w:vAlign w:val="bottom"/>
          </w:tcPr>
          <w:p>
            <w:pPr>
              <w:jc w:val="right"/>
              <w:ind w:right="102"/>
              <w:spacing w:after="0"/>
              <w:rPr>
                <w:sz w:val="20"/>
                <w:szCs w:val="20"/>
                <w:color w:val="auto"/>
              </w:rPr>
            </w:pPr>
            <w:r>
              <w:rPr>
                <w:rFonts w:ascii="Arial" w:cs="Arial" w:eastAsia="Arial" w:hAnsi="Arial"/>
                <w:sz w:val="12"/>
                <w:szCs w:val="12"/>
                <w:b w:val="1"/>
                <w:bCs w:val="1"/>
                <w:color w:val="auto"/>
              </w:rPr>
              <w:t>Expiring</w:t>
            </w:r>
          </w:p>
        </w:tc>
        <w:tc>
          <w:tcPr>
            <w:tcW w:w="620" w:type="dxa"/>
            <w:vAlign w:val="bottom"/>
          </w:tcPr>
          <w:p>
            <w:pPr>
              <w:jc w:val="right"/>
              <w:ind w:right="22"/>
              <w:spacing w:after="0"/>
              <w:rPr>
                <w:sz w:val="20"/>
                <w:szCs w:val="20"/>
                <w:color w:val="auto"/>
              </w:rPr>
            </w:pPr>
            <w:r>
              <w:rPr>
                <w:rFonts w:ascii="Arial" w:cs="Arial" w:eastAsia="Arial" w:hAnsi="Arial"/>
                <w:sz w:val="12"/>
                <w:szCs w:val="12"/>
                <w:b w:val="1"/>
                <w:bCs w:val="1"/>
                <w:color w:val="auto"/>
              </w:rPr>
              <w:t>Percent</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b w:val="1"/>
                <w:bCs w:val="1"/>
                <w:color w:val="auto"/>
              </w:rPr>
              <w:t>Percent</w:t>
            </w:r>
          </w:p>
        </w:tc>
      </w:tr>
      <w:tr>
        <w:trPr>
          <w:trHeight w:val="219"/>
        </w:trPr>
        <w:tc>
          <w:tcPr>
            <w:tcW w:w="1440" w:type="dxa"/>
            <w:vAlign w:val="bottom"/>
          </w:tcPr>
          <w:p>
            <w:pPr>
              <w:spacing w:after="0"/>
              <w:rPr>
                <w:sz w:val="20"/>
                <w:szCs w:val="20"/>
                <w:color w:val="auto"/>
              </w:rPr>
            </w:pPr>
            <w:r>
              <w:rPr>
                <w:rFonts w:ascii="Arial" w:cs="Arial" w:eastAsia="Arial" w:hAnsi="Arial"/>
                <w:sz w:val="12"/>
                <w:szCs w:val="12"/>
                <w:b w:val="1"/>
                <w:bCs w:val="1"/>
                <w:color w:val="auto"/>
              </w:rPr>
              <w:t>Year</w:t>
            </w:r>
          </w:p>
        </w:tc>
        <w:tc>
          <w:tcPr>
            <w:tcW w:w="580" w:type="dxa"/>
            <w:vAlign w:val="bottom"/>
          </w:tcPr>
          <w:p>
            <w:pPr>
              <w:jc w:val="right"/>
              <w:ind w:right="2"/>
              <w:spacing w:after="0"/>
              <w:rPr>
                <w:sz w:val="20"/>
                <w:szCs w:val="20"/>
                <w:color w:val="auto"/>
              </w:rPr>
            </w:pPr>
            <w:r>
              <w:rPr>
                <w:rFonts w:ascii="Arial" w:cs="Arial" w:eastAsia="Arial" w:hAnsi="Arial"/>
                <w:sz w:val="12"/>
                <w:szCs w:val="12"/>
                <w:b w:val="1"/>
                <w:bCs w:val="1"/>
                <w:color w:val="auto"/>
              </w:rPr>
              <w:t>Expiring</w:t>
            </w:r>
          </w:p>
        </w:tc>
        <w:tc>
          <w:tcPr>
            <w:tcW w:w="800" w:type="dxa"/>
            <w:vAlign w:val="bottom"/>
          </w:tcPr>
          <w:p>
            <w:pPr>
              <w:jc w:val="right"/>
              <w:ind w:right="262"/>
              <w:spacing w:after="0"/>
              <w:rPr>
                <w:sz w:val="20"/>
                <w:szCs w:val="20"/>
                <w:color w:val="auto"/>
              </w:rPr>
            </w:pPr>
            <w:r>
              <w:rPr>
                <w:rFonts w:ascii="Arial" w:cs="Arial" w:eastAsia="Arial" w:hAnsi="Arial"/>
                <w:sz w:val="12"/>
                <w:szCs w:val="12"/>
                <w:b w:val="1"/>
                <w:bCs w:val="1"/>
                <w:color w:val="auto"/>
              </w:rPr>
              <w:t>SF</w:t>
            </w:r>
          </w:p>
        </w:tc>
        <w:tc>
          <w:tcPr>
            <w:tcW w:w="620" w:type="dxa"/>
            <w:vAlign w:val="bottom"/>
          </w:tcPr>
          <w:p>
            <w:pPr>
              <w:jc w:val="right"/>
              <w:ind w:right="62"/>
              <w:spacing w:after="0"/>
              <w:rPr>
                <w:sz w:val="20"/>
                <w:szCs w:val="20"/>
                <w:color w:val="auto"/>
              </w:rPr>
            </w:pPr>
            <w:r>
              <w:rPr>
                <w:rFonts w:ascii="Arial" w:cs="Arial" w:eastAsia="Arial" w:hAnsi="Arial"/>
                <w:sz w:val="12"/>
                <w:szCs w:val="12"/>
                <w:b w:val="1"/>
                <w:bCs w:val="1"/>
                <w:color w:val="auto"/>
              </w:rPr>
              <w:t>of Total</w:t>
            </w:r>
          </w:p>
        </w:tc>
        <w:tc>
          <w:tcPr>
            <w:tcW w:w="12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9"/>
                <w:szCs w:val="19"/>
                <w:color w:val="auto"/>
              </w:rPr>
            </w:pPr>
          </w:p>
        </w:tc>
        <w:tc>
          <w:tcPr>
            <w:tcW w:w="460" w:type="dxa"/>
            <w:vAlign w:val="bottom"/>
          </w:tcPr>
          <w:p>
            <w:pPr>
              <w:jc w:val="right"/>
              <w:ind w:right="142"/>
              <w:spacing w:after="0"/>
              <w:rPr>
                <w:sz w:val="20"/>
                <w:szCs w:val="20"/>
                <w:color w:val="auto"/>
              </w:rPr>
            </w:pPr>
            <w:r>
              <w:rPr>
                <w:rFonts w:ascii="Arial" w:cs="Arial" w:eastAsia="Arial" w:hAnsi="Arial"/>
                <w:sz w:val="12"/>
                <w:szCs w:val="12"/>
                <w:b w:val="1"/>
                <w:bCs w:val="1"/>
                <w:color w:val="auto"/>
              </w:rPr>
              <w:t>PSF</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Total</w:t>
            </w:r>
          </w:p>
        </w:tc>
        <w:tc>
          <w:tcPr>
            <w:tcW w:w="600" w:type="dxa"/>
            <w:vAlign w:val="bottom"/>
          </w:tcPr>
          <w:p>
            <w:pPr>
              <w:jc w:val="right"/>
              <w:ind w:right="2"/>
              <w:spacing w:after="0"/>
              <w:rPr>
                <w:sz w:val="20"/>
                <w:szCs w:val="20"/>
                <w:color w:val="auto"/>
              </w:rPr>
            </w:pPr>
            <w:r>
              <w:rPr>
                <w:rFonts w:ascii="Arial" w:cs="Arial" w:eastAsia="Arial" w:hAnsi="Arial"/>
                <w:sz w:val="12"/>
                <w:szCs w:val="12"/>
                <w:b w:val="1"/>
                <w:bCs w:val="1"/>
                <w:color w:val="auto"/>
              </w:rPr>
              <w:t>Expiring</w:t>
            </w:r>
          </w:p>
        </w:tc>
        <w:tc>
          <w:tcPr>
            <w:tcW w:w="780" w:type="dxa"/>
            <w:vAlign w:val="bottom"/>
          </w:tcPr>
          <w:p>
            <w:pPr>
              <w:jc w:val="right"/>
              <w:ind w:right="262"/>
              <w:spacing w:after="0"/>
              <w:rPr>
                <w:sz w:val="20"/>
                <w:szCs w:val="20"/>
                <w:color w:val="auto"/>
              </w:rPr>
            </w:pPr>
            <w:r>
              <w:rPr>
                <w:rFonts w:ascii="Arial" w:cs="Arial" w:eastAsia="Arial" w:hAnsi="Arial"/>
                <w:sz w:val="12"/>
                <w:szCs w:val="12"/>
                <w:b w:val="1"/>
                <w:bCs w:val="1"/>
                <w:color w:val="auto"/>
              </w:rPr>
              <w:t>SF</w:t>
            </w:r>
          </w:p>
        </w:tc>
        <w:tc>
          <w:tcPr>
            <w:tcW w:w="620" w:type="dxa"/>
            <w:vAlign w:val="bottom"/>
          </w:tcPr>
          <w:p>
            <w:pPr>
              <w:jc w:val="right"/>
              <w:ind w:right="42"/>
              <w:spacing w:after="0"/>
              <w:rPr>
                <w:sz w:val="20"/>
                <w:szCs w:val="20"/>
                <w:color w:val="auto"/>
              </w:rPr>
            </w:pPr>
            <w:r>
              <w:rPr>
                <w:rFonts w:ascii="Arial" w:cs="Arial" w:eastAsia="Arial" w:hAnsi="Arial"/>
                <w:sz w:val="12"/>
                <w:szCs w:val="12"/>
                <w:b w:val="1"/>
                <w:bCs w:val="1"/>
                <w:color w:val="auto"/>
              </w:rPr>
              <w:t>of Total</w:t>
            </w:r>
          </w:p>
        </w:tc>
        <w:tc>
          <w:tcPr>
            <w:tcW w:w="16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9"/>
                <w:szCs w:val="19"/>
                <w:color w:val="auto"/>
              </w:rPr>
            </w:pPr>
          </w:p>
        </w:tc>
        <w:tc>
          <w:tcPr>
            <w:tcW w:w="460" w:type="dxa"/>
            <w:vAlign w:val="bottom"/>
          </w:tcPr>
          <w:p>
            <w:pPr>
              <w:jc w:val="right"/>
              <w:ind w:right="122"/>
              <w:spacing w:after="0"/>
              <w:rPr>
                <w:sz w:val="20"/>
                <w:szCs w:val="20"/>
                <w:color w:val="auto"/>
              </w:rPr>
            </w:pPr>
            <w:r>
              <w:rPr>
                <w:rFonts w:ascii="Arial" w:cs="Arial" w:eastAsia="Arial" w:hAnsi="Arial"/>
                <w:sz w:val="12"/>
                <w:szCs w:val="12"/>
                <w:b w:val="1"/>
                <w:bCs w:val="1"/>
                <w:color w:val="auto"/>
              </w:rPr>
              <w:t>PSF</w:t>
            </w:r>
          </w:p>
        </w:tc>
        <w:tc>
          <w:tcPr>
            <w:tcW w:w="620" w:type="dxa"/>
            <w:vAlign w:val="bottom"/>
          </w:tcPr>
          <w:p>
            <w:pPr>
              <w:jc w:val="right"/>
              <w:ind w:right="42"/>
              <w:spacing w:after="0"/>
              <w:rPr>
                <w:sz w:val="20"/>
                <w:szCs w:val="20"/>
                <w:color w:val="auto"/>
              </w:rPr>
            </w:pPr>
            <w:r>
              <w:rPr>
                <w:rFonts w:ascii="Arial" w:cs="Arial" w:eastAsia="Arial" w:hAnsi="Arial"/>
                <w:sz w:val="12"/>
                <w:szCs w:val="12"/>
                <w:b w:val="1"/>
                <w:bCs w:val="1"/>
                <w:color w:val="auto"/>
              </w:rPr>
              <w:t>of Total</w:t>
            </w:r>
          </w:p>
        </w:tc>
      </w:tr>
      <w:tr>
        <w:trPr>
          <w:trHeight w:val="239"/>
        </w:trPr>
        <w:tc>
          <w:tcPr>
            <w:tcW w:w="1440" w:type="dxa"/>
            <w:vAlign w:val="bottom"/>
          </w:tcPr>
          <w:p>
            <w:pPr>
              <w:spacing w:after="0"/>
              <w:rPr>
                <w:sz w:val="20"/>
                <w:szCs w:val="20"/>
                <w:color w:val="auto"/>
              </w:rPr>
            </w:pPr>
            <w:r>
              <w:rPr>
                <w:rFonts w:ascii="Arial" w:cs="Arial" w:eastAsia="Arial" w:hAnsi="Arial"/>
                <w:sz w:val="12"/>
                <w:szCs w:val="12"/>
                <w:color w:val="auto"/>
              </w:rPr>
              <w:t xml:space="preserve">M to M </w:t>
            </w:r>
            <w:r>
              <w:rPr>
                <w:rFonts w:ascii="Arial" w:cs="Arial" w:eastAsia="Arial" w:hAnsi="Arial"/>
                <w:sz w:val="14"/>
                <w:szCs w:val="14"/>
                <w:color w:val="auto"/>
                <w:vertAlign w:val="superscript"/>
              </w:rPr>
              <w:t>1</w:t>
            </w:r>
          </w:p>
        </w:tc>
        <w:tc>
          <w:tcPr>
            <w:tcW w:w="5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w:t>
            </w: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2,146</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0.4%</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22,455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10.46</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180" w:type="dxa"/>
            <w:vAlign w:val="bottom"/>
          </w:tcPr>
          <w:p>
            <w:pPr>
              <w:spacing w:after="0"/>
              <w:rPr>
                <w:sz w:val="20"/>
                <w:szCs w:val="20"/>
                <w:color w:val="auto"/>
              </w:rPr>
            </w:pPr>
          </w:p>
        </w:tc>
        <w:tc>
          <w:tcPr>
            <w:tcW w:w="6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w:t>
            </w: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482</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16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11,771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24.42</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0.3%</w:t>
            </w:r>
          </w:p>
        </w:tc>
      </w:tr>
      <w:tr>
        <w:trPr>
          <w:trHeight w:val="177"/>
        </w:trPr>
        <w:tc>
          <w:tcPr>
            <w:tcW w:w="1440" w:type="dxa"/>
            <w:vAlign w:val="bottom"/>
          </w:tcPr>
          <w:p>
            <w:pPr>
              <w:spacing w:after="0"/>
              <w:rPr>
                <w:sz w:val="20"/>
                <w:szCs w:val="20"/>
                <w:color w:val="auto"/>
              </w:rPr>
            </w:pPr>
            <w:r>
              <w:rPr>
                <w:rFonts w:ascii="Arial" w:cs="Arial" w:eastAsia="Arial" w:hAnsi="Arial"/>
                <w:sz w:val="12"/>
                <w:szCs w:val="12"/>
                <w:color w:val="auto"/>
              </w:rPr>
              <w:t>2018</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33</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27,341</w:t>
            </w:r>
          </w:p>
        </w:tc>
        <w:tc>
          <w:tcPr>
            <w:tcW w:w="620" w:type="dxa"/>
            <w:vAlign w:val="bottom"/>
          </w:tcPr>
          <w:p>
            <w:pPr>
              <w:jc w:val="right"/>
              <w:spacing w:after="0"/>
              <w:rPr>
                <w:sz w:val="20"/>
                <w:szCs w:val="20"/>
                <w:color w:val="auto"/>
              </w:rPr>
            </w:pPr>
            <w:r>
              <w:rPr>
                <w:rFonts w:ascii="Arial" w:cs="Arial" w:eastAsia="Arial" w:hAnsi="Arial"/>
                <w:sz w:val="12"/>
                <w:szCs w:val="12"/>
                <w:color w:val="auto"/>
              </w:rPr>
              <w:t>5.7%</w:t>
            </w:r>
          </w:p>
        </w:tc>
        <w:tc>
          <w:tcPr>
            <w:tcW w:w="120" w:type="dxa"/>
            <w:vAlign w:val="bottom"/>
          </w:tcPr>
          <w:p>
            <w:pPr>
              <w:spacing w:after="0"/>
              <w:rPr>
                <w:sz w:val="15"/>
                <w:szCs w:val="15"/>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387,266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14.16</w:t>
            </w:r>
          </w:p>
        </w:tc>
        <w:tc>
          <w:tcPr>
            <w:tcW w:w="620" w:type="dxa"/>
            <w:vAlign w:val="bottom"/>
          </w:tcPr>
          <w:p>
            <w:pPr>
              <w:jc w:val="right"/>
              <w:spacing w:after="0"/>
              <w:rPr>
                <w:sz w:val="20"/>
                <w:szCs w:val="20"/>
                <w:color w:val="auto"/>
              </w:rPr>
            </w:pPr>
            <w:r>
              <w:rPr>
                <w:rFonts w:ascii="Arial" w:cs="Arial" w:eastAsia="Arial" w:hAnsi="Arial"/>
                <w:sz w:val="12"/>
                <w:szCs w:val="12"/>
                <w:color w:val="auto"/>
              </w:rPr>
              <w:t>5.7%</w:t>
            </w:r>
          </w:p>
        </w:tc>
        <w:tc>
          <w:tcPr>
            <w:tcW w:w="180" w:type="dxa"/>
            <w:vAlign w:val="bottom"/>
          </w:tcPr>
          <w:p>
            <w:pPr>
              <w:spacing w:after="0"/>
              <w:rPr>
                <w:sz w:val="15"/>
                <w:szCs w:val="15"/>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6</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6,671</w:t>
            </w:r>
          </w:p>
        </w:tc>
        <w:tc>
          <w:tcPr>
            <w:tcW w:w="620" w:type="dxa"/>
            <w:vAlign w:val="bottom"/>
          </w:tcPr>
          <w:p>
            <w:pPr>
              <w:jc w:val="right"/>
              <w:spacing w:after="0"/>
              <w:rPr>
                <w:sz w:val="20"/>
                <w:szCs w:val="20"/>
                <w:color w:val="auto"/>
              </w:rPr>
            </w:pPr>
            <w:r>
              <w:rPr>
                <w:rFonts w:ascii="Arial" w:cs="Arial" w:eastAsia="Arial" w:hAnsi="Arial"/>
                <w:sz w:val="12"/>
                <w:szCs w:val="12"/>
                <w:color w:val="auto"/>
              </w:rPr>
              <w:t>2.3%</w:t>
            </w:r>
          </w:p>
        </w:tc>
        <w:tc>
          <w:tcPr>
            <w:tcW w:w="160" w:type="dxa"/>
            <w:vAlign w:val="bottom"/>
          </w:tcPr>
          <w:p>
            <w:pPr>
              <w:spacing w:after="0"/>
              <w:rPr>
                <w:sz w:val="15"/>
                <w:szCs w:val="15"/>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132,878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19.92</w:t>
            </w:r>
          </w:p>
        </w:tc>
        <w:tc>
          <w:tcPr>
            <w:tcW w:w="62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2019</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27</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35,868</w:t>
            </w:r>
          </w:p>
        </w:tc>
        <w:tc>
          <w:tcPr>
            <w:tcW w:w="620" w:type="dxa"/>
            <w:vAlign w:val="bottom"/>
          </w:tcPr>
          <w:p>
            <w:pPr>
              <w:jc w:val="right"/>
              <w:spacing w:after="0"/>
              <w:rPr>
                <w:sz w:val="20"/>
                <w:szCs w:val="20"/>
                <w:color w:val="auto"/>
              </w:rPr>
            </w:pPr>
            <w:r>
              <w:rPr>
                <w:rFonts w:ascii="Arial" w:cs="Arial" w:eastAsia="Arial" w:hAnsi="Arial"/>
                <w:sz w:val="12"/>
                <w:szCs w:val="12"/>
                <w:color w:val="auto"/>
              </w:rPr>
              <w:t>7.4%</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401,140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11.18</w:t>
            </w:r>
          </w:p>
        </w:tc>
        <w:tc>
          <w:tcPr>
            <w:tcW w:w="620" w:type="dxa"/>
            <w:vAlign w:val="bottom"/>
          </w:tcPr>
          <w:p>
            <w:pPr>
              <w:jc w:val="right"/>
              <w:spacing w:after="0"/>
              <w:rPr>
                <w:sz w:val="20"/>
                <w:szCs w:val="20"/>
                <w:color w:val="auto"/>
              </w:rPr>
            </w:pPr>
            <w:r>
              <w:rPr>
                <w:rFonts w:ascii="Arial" w:cs="Arial" w:eastAsia="Arial" w:hAnsi="Arial"/>
                <w:sz w:val="12"/>
                <w:szCs w:val="12"/>
                <w:color w:val="auto"/>
              </w:rPr>
              <w:t>5.9%</w:t>
            </w:r>
          </w:p>
        </w:tc>
        <w:tc>
          <w:tcPr>
            <w:tcW w:w="18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17</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26,500</w:t>
            </w:r>
          </w:p>
        </w:tc>
        <w:tc>
          <w:tcPr>
            <w:tcW w:w="620" w:type="dxa"/>
            <w:vAlign w:val="bottom"/>
          </w:tcPr>
          <w:p>
            <w:pPr>
              <w:jc w:val="right"/>
              <w:spacing w:after="0"/>
              <w:rPr>
                <w:sz w:val="20"/>
                <w:szCs w:val="20"/>
                <w:color w:val="auto"/>
              </w:rPr>
            </w:pPr>
            <w:r>
              <w:rPr>
                <w:rFonts w:ascii="Arial" w:cs="Arial" w:eastAsia="Arial" w:hAnsi="Arial"/>
                <w:sz w:val="12"/>
                <w:szCs w:val="12"/>
                <w:color w:val="auto"/>
              </w:rPr>
              <w:t>9.1%</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286,451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10.81</w:t>
            </w:r>
          </w:p>
        </w:tc>
        <w:tc>
          <w:tcPr>
            <w:tcW w:w="62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2020</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28</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50,159</w:t>
            </w:r>
          </w:p>
        </w:tc>
        <w:tc>
          <w:tcPr>
            <w:tcW w:w="620" w:type="dxa"/>
            <w:vAlign w:val="bottom"/>
          </w:tcPr>
          <w:p>
            <w:pPr>
              <w:jc w:val="right"/>
              <w:spacing w:after="0"/>
              <w:rPr>
                <w:sz w:val="20"/>
                <w:szCs w:val="20"/>
                <w:color w:val="auto"/>
              </w:rPr>
            </w:pPr>
            <w:r>
              <w:rPr>
                <w:rFonts w:ascii="Arial" w:cs="Arial" w:eastAsia="Arial" w:hAnsi="Arial"/>
                <w:sz w:val="12"/>
                <w:szCs w:val="12"/>
                <w:color w:val="auto"/>
              </w:rPr>
              <w:t>10.4%</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519,881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10.36</w:t>
            </w:r>
          </w:p>
        </w:tc>
        <w:tc>
          <w:tcPr>
            <w:tcW w:w="620" w:type="dxa"/>
            <w:vAlign w:val="bottom"/>
          </w:tcPr>
          <w:p>
            <w:pPr>
              <w:jc w:val="right"/>
              <w:spacing w:after="0"/>
              <w:rPr>
                <w:sz w:val="20"/>
                <w:szCs w:val="20"/>
                <w:color w:val="auto"/>
              </w:rPr>
            </w:pPr>
            <w:r>
              <w:rPr>
                <w:rFonts w:ascii="Arial" w:cs="Arial" w:eastAsia="Arial" w:hAnsi="Arial"/>
                <w:sz w:val="12"/>
                <w:szCs w:val="12"/>
                <w:color w:val="auto"/>
              </w:rPr>
              <w:t>7.6%</w:t>
            </w:r>
          </w:p>
        </w:tc>
        <w:tc>
          <w:tcPr>
            <w:tcW w:w="18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23</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103,579</w:t>
            </w:r>
          </w:p>
        </w:tc>
        <w:tc>
          <w:tcPr>
            <w:tcW w:w="620" w:type="dxa"/>
            <w:vAlign w:val="bottom"/>
          </w:tcPr>
          <w:p>
            <w:pPr>
              <w:jc w:val="right"/>
              <w:spacing w:after="0"/>
              <w:rPr>
                <w:sz w:val="20"/>
                <w:szCs w:val="20"/>
                <w:color w:val="auto"/>
              </w:rPr>
            </w:pPr>
            <w:r>
              <w:rPr>
                <w:rFonts w:ascii="Arial" w:cs="Arial" w:eastAsia="Arial" w:hAnsi="Arial"/>
                <w:sz w:val="12"/>
                <w:szCs w:val="12"/>
                <w:color w:val="auto"/>
              </w:rPr>
              <w:t>35.6%</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951,740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9.19</w:t>
            </w:r>
          </w:p>
        </w:tc>
        <w:tc>
          <w:tcPr>
            <w:tcW w:w="620" w:type="dxa"/>
            <w:vAlign w:val="bottom"/>
          </w:tcPr>
          <w:p>
            <w:pPr>
              <w:jc w:val="right"/>
              <w:spacing w:after="0"/>
              <w:rPr>
                <w:sz w:val="20"/>
                <w:szCs w:val="20"/>
                <w:color w:val="auto"/>
              </w:rPr>
            </w:pPr>
            <w:r>
              <w:rPr>
                <w:rFonts w:ascii="Arial" w:cs="Arial" w:eastAsia="Arial" w:hAnsi="Arial"/>
                <w:sz w:val="12"/>
                <w:szCs w:val="12"/>
                <w:color w:val="auto"/>
              </w:rPr>
              <w:t>24.2%</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2021</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36</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78,579</w:t>
            </w:r>
          </w:p>
        </w:tc>
        <w:tc>
          <w:tcPr>
            <w:tcW w:w="620" w:type="dxa"/>
            <w:vAlign w:val="bottom"/>
          </w:tcPr>
          <w:p>
            <w:pPr>
              <w:jc w:val="right"/>
              <w:spacing w:after="0"/>
              <w:rPr>
                <w:sz w:val="20"/>
                <w:szCs w:val="20"/>
                <w:color w:val="auto"/>
              </w:rPr>
            </w:pPr>
            <w:r>
              <w:rPr>
                <w:rFonts w:ascii="Arial" w:cs="Arial" w:eastAsia="Arial" w:hAnsi="Arial"/>
                <w:sz w:val="12"/>
                <w:szCs w:val="12"/>
                <w:color w:val="auto"/>
              </w:rPr>
              <w:t>16.3%</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1,003,962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12.78</w:t>
            </w:r>
          </w:p>
        </w:tc>
        <w:tc>
          <w:tcPr>
            <w:tcW w:w="620" w:type="dxa"/>
            <w:vAlign w:val="bottom"/>
          </w:tcPr>
          <w:p>
            <w:pPr>
              <w:jc w:val="right"/>
              <w:spacing w:after="0"/>
              <w:rPr>
                <w:sz w:val="20"/>
                <w:szCs w:val="20"/>
                <w:color w:val="auto"/>
              </w:rPr>
            </w:pPr>
            <w:r>
              <w:rPr>
                <w:rFonts w:ascii="Arial" w:cs="Arial" w:eastAsia="Arial" w:hAnsi="Arial"/>
                <w:sz w:val="12"/>
                <w:szCs w:val="12"/>
                <w:color w:val="auto"/>
              </w:rPr>
              <w:t>14.7%</w:t>
            </w:r>
          </w:p>
        </w:tc>
        <w:tc>
          <w:tcPr>
            <w:tcW w:w="18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32</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56,897</w:t>
            </w:r>
          </w:p>
        </w:tc>
        <w:tc>
          <w:tcPr>
            <w:tcW w:w="620" w:type="dxa"/>
            <w:vAlign w:val="bottom"/>
          </w:tcPr>
          <w:p>
            <w:pPr>
              <w:jc w:val="right"/>
              <w:spacing w:after="0"/>
              <w:rPr>
                <w:sz w:val="20"/>
                <w:szCs w:val="20"/>
                <w:color w:val="auto"/>
              </w:rPr>
            </w:pPr>
            <w:r>
              <w:rPr>
                <w:rFonts w:ascii="Arial" w:cs="Arial" w:eastAsia="Arial" w:hAnsi="Arial"/>
                <w:sz w:val="12"/>
                <w:szCs w:val="12"/>
                <w:color w:val="auto"/>
              </w:rPr>
              <w:t>19.6%</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1,010,712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17.76</w:t>
            </w:r>
          </w:p>
        </w:tc>
        <w:tc>
          <w:tcPr>
            <w:tcW w:w="620" w:type="dxa"/>
            <w:vAlign w:val="bottom"/>
          </w:tcPr>
          <w:p>
            <w:pPr>
              <w:jc w:val="right"/>
              <w:spacing w:after="0"/>
              <w:rPr>
                <w:sz w:val="20"/>
                <w:szCs w:val="20"/>
                <w:color w:val="auto"/>
              </w:rPr>
            </w:pPr>
            <w:r>
              <w:rPr>
                <w:rFonts w:ascii="Arial" w:cs="Arial" w:eastAsia="Arial" w:hAnsi="Arial"/>
                <w:sz w:val="12"/>
                <w:szCs w:val="12"/>
                <w:color w:val="auto"/>
              </w:rPr>
              <w:t>25.7%</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2022</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26</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57,333</w:t>
            </w:r>
          </w:p>
        </w:tc>
        <w:tc>
          <w:tcPr>
            <w:tcW w:w="620" w:type="dxa"/>
            <w:vAlign w:val="bottom"/>
          </w:tcPr>
          <w:p>
            <w:pPr>
              <w:jc w:val="right"/>
              <w:spacing w:after="0"/>
              <w:rPr>
                <w:sz w:val="20"/>
                <w:szCs w:val="20"/>
                <w:color w:val="auto"/>
              </w:rPr>
            </w:pPr>
            <w:r>
              <w:rPr>
                <w:rFonts w:ascii="Arial" w:cs="Arial" w:eastAsia="Arial" w:hAnsi="Arial"/>
                <w:sz w:val="12"/>
                <w:szCs w:val="12"/>
                <w:color w:val="auto"/>
              </w:rPr>
              <w:t>11.9%</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738,584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12.88</w:t>
            </w:r>
          </w:p>
        </w:tc>
        <w:tc>
          <w:tcPr>
            <w:tcW w:w="620" w:type="dxa"/>
            <w:vAlign w:val="bottom"/>
          </w:tcPr>
          <w:p>
            <w:pPr>
              <w:jc w:val="right"/>
              <w:spacing w:after="0"/>
              <w:rPr>
                <w:sz w:val="20"/>
                <w:szCs w:val="20"/>
                <w:color w:val="auto"/>
              </w:rPr>
            </w:pPr>
            <w:r>
              <w:rPr>
                <w:rFonts w:ascii="Arial" w:cs="Arial" w:eastAsia="Arial" w:hAnsi="Arial"/>
                <w:sz w:val="12"/>
                <w:szCs w:val="12"/>
                <w:color w:val="auto"/>
              </w:rPr>
              <w:t>10.8%</w:t>
            </w:r>
          </w:p>
        </w:tc>
        <w:tc>
          <w:tcPr>
            <w:tcW w:w="18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13</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18,599</w:t>
            </w:r>
          </w:p>
        </w:tc>
        <w:tc>
          <w:tcPr>
            <w:tcW w:w="620" w:type="dxa"/>
            <w:vAlign w:val="bottom"/>
          </w:tcPr>
          <w:p>
            <w:pPr>
              <w:jc w:val="right"/>
              <w:spacing w:after="0"/>
              <w:rPr>
                <w:sz w:val="20"/>
                <w:szCs w:val="20"/>
                <w:color w:val="auto"/>
              </w:rPr>
            </w:pPr>
            <w:r>
              <w:rPr>
                <w:rFonts w:ascii="Arial" w:cs="Arial" w:eastAsia="Arial" w:hAnsi="Arial"/>
                <w:sz w:val="12"/>
                <w:szCs w:val="12"/>
                <w:color w:val="auto"/>
              </w:rPr>
              <w:t>6.4%</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401,052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21.56</w:t>
            </w:r>
          </w:p>
        </w:tc>
        <w:tc>
          <w:tcPr>
            <w:tcW w:w="62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2023</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20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53,326</w:t>
            </w:r>
          </w:p>
        </w:tc>
        <w:tc>
          <w:tcPr>
            <w:tcW w:w="620" w:type="dxa"/>
            <w:vAlign w:val="bottom"/>
          </w:tcPr>
          <w:p>
            <w:pPr>
              <w:jc w:val="right"/>
              <w:spacing w:after="0"/>
              <w:rPr>
                <w:sz w:val="20"/>
                <w:szCs w:val="20"/>
                <w:color w:val="auto"/>
              </w:rPr>
            </w:pPr>
            <w:r>
              <w:rPr>
                <w:rFonts w:ascii="Arial" w:cs="Arial" w:eastAsia="Arial" w:hAnsi="Arial"/>
                <w:sz w:val="12"/>
                <w:szCs w:val="12"/>
                <w:color w:val="auto"/>
              </w:rPr>
              <w:t>11.1%</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579,249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10.86</w:t>
            </w:r>
          </w:p>
        </w:tc>
        <w:tc>
          <w:tcPr>
            <w:tcW w:w="620" w:type="dxa"/>
            <w:vAlign w:val="bottom"/>
          </w:tcPr>
          <w:p>
            <w:pPr>
              <w:jc w:val="right"/>
              <w:spacing w:after="0"/>
              <w:rPr>
                <w:sz w:val="20"/>
                <w:szCs w:val="20"/>
                <w:color w:val="auto"/>
              </w:rPr>
            </w:pPr>
            <w:r>
              <w:rPr>
                <w:rFonts w:ascii="Arial" w:cs="Arial" w:eastAsia="Arial" w:hAnsi="Arial"/>
                <w:sz w:val="12"/>
                <w:szCs w:val="12"/>
                <w:color w:val="auto"/>
              </w:rPr>
              <w:t>8.5%</w:t>
            </w:r>
          </w:p>
        </w:tc>
        <w:tc>
          <w:tcPr>
            <w:tcW w:w="18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10</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10,563</w:t>
            </w:r>
          </w:p>
        </w:tc>
        <w:tc>
          <w:tcPr>
            <w:tcW w:w="620" w:type="dxa"/>
            <w:vAlign w:val="bottom"/>
          </w:tcPr>
          <w:p>
            <w:pPr>
              <w:jc w:val="right"/>
              <w:spacing w:after="0"/>
              <w:rPr>
                <w:sz w:val="20"/>
                <w:szCs w:val="20"/>
                <w:color w:val="auto"/>
              </w:rPr>
            </w:pPr>
            <w:r>
              <w:rPr>
                <w:rFonts w:ascii="Arial" w:cs="Arial" w:eastAsia="Arial" w:hAnsi="Arial"/>
                <w:sz w:val="12"/>
                <w:szCs w:val="12"/>
                <w:color w:val="auto"/>
              </w:rPr>
              <w:t>3.6%</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237,310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22.47</w:t>
            </w:r>
          </w:p>
        </w:tc>
        <w:tc>
          <w:tcPr>
            <w:tcW w:w="62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2024</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13</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33,008</w:t>
            </w:r>
          </w:p>
        </w:tc>
        <w:tc>
          <w:tcPr>
            <w:tcW w:w="620" w:type="dxa"/>
            <w:vAlign w:val="bottom"/>
          </w:tcPr>
          <w:p>
            <w:pPr>
              <w:jc w:val="right"/>
              <w:spacing w:after="0"/>
              <w:rPr>
                <w:sz w:val="20"/>
                <w:szCs w:val="20"/>
                <w:color w:val="auto"/>
              </w:rPr>
            </w:pPr>
            <w:r>
              <w:rPr>
                <w:rFonts w:ascii="Arial" w:cs="Arial" w:eastAsia="Arial" w:hAnsi="Arial"/>
                <w:sz w:val="12"/>
                <w:szCs w:val="12"/>
                <w:color w:val="auto"/>
              </w:rPr>
              <w:t>6.9%</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701,367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21.25</w:t>
            </w:r>
          </w:p>
        </w:tc>
        <w:tc>
          <w:tcPr>
            <w:tcW w:w="620" w:type="dxa"/>
            <w:vAlign w:val="bottom"/>
          </w:tcPr>
          <w:p>
            <w:pPr>
              <w:jc w:val="right"/>
              <w:spacing w:after="0"/>
              <w:rPr>
                <w:sz w:val="20"/>
                <w:szCs w:val="20"/>
                <w:color w:val="auto"/>
              </w:rPr>
            </w:pPr>
            <w:r>
              <w:rPr>
                <w:rFonts w:ascii="Arial" w:cs="Arial" w:eastAsia="Arial" w:hAnsi="Arial"/>
                <w:sz w:val="12"/>
                <w:szCs w:val="12"/>
                <w:color w:val="auto"/>
              </w:rPr>
              <w:t>10.3%</w:t>
            </w:r>
          </w:p>
        </w:tc>
        <w:tc>
          <w:tcPr>
            <w:tcW w:w="18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3</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11,483</w:t>
            </w:r>
          </w:p>
        </w:tc>
        <w:tc>
          <w:tcPr>
            <w:tcW w:w="620" w:type="dxa"/>
            <w:vAlign w:val="bottom"/>
          </w:tcPr>
          <w:p>
            <w:pPr>
              <w:jc w:val="right"/>
              <w:spacing w:after="0"/>
              <w:rPr>
                <w:sz w:val="20"/>
                <w:szCs w:val="20"/>
                <w:color w:val="auto"/>
              </w:rPr>
            </w:pPr>
            <w:r>
              <w:rPr>
                <w:rFonts w:ascii="Arial" w:cs="Arial" w:eastAsia="Arial" w:hAnsi="Arial"/>
                <w:sz w:val="12"/>
                <w:szCs w:val="12"/>
                <w:color w:val="auto"/>
              </w:rPr>
              <w:t>3.9%</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168,804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14.70</w:t>
            </w:r>
          </w:p>
        </w:tc>
        <w:tc>
          <w:tcPr>
            <w:tcW w:w="62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2025</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18</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22,438</w:t>
            </w:r>
          </w:p>
        </w:tc>
        <w:tc>
          <w:tcPr>
            <w:tcW w:w="620" w:type="dxa"/>
            <w:vAlign w:val="bottom"/>
          </w:tcPr>
          <w:p>
            <w:pPr>
              <w:jc w:val="right"/>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713,341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31.79</w:t>
            </w:r>
          </w:p>
        </w:tc>
        <w:tc>
          <w:tcPr>
            <w:tcW w:w="620" w:type="dxa"/>
            <w:vAlign w:val="bottom"/>
          </w:tcPr>
          <w:p>
            <w:pPr>
              <w:jc w:val="right"/>
              <w:spacing w:after="0"/>
              <w:rPr>
                <w:sz w:val="20"/>
                <w:szCs w:val="20"/>
                <w:color w:val="auto"/>
              </w:rPr>
            </w:pPr>
            <w:r>
              <w:rPr>
                <w:rFonts w:ascii="Arial" w:cs="Arial" w:eastAsia="Arial" w:hAnsi="Arial"/>
                <w:sz w:val="12"/>
                <w:szCs w:val="12"/>
                <w:color w:val="auto"/>
              </w:rPr>
              <w:t>10.5%</w:t>
            </w:r>
          </w:p>
        </w:tc>
        <w:tc>
          <w:tcPr>
            <w:tcW w:w="18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3</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13,224</w:t>
            </w:r>
          </w:p>
        </w:tc>
        <w:tc>
          <w:tcPr>
            <w:tcW w:w="620" w:type="dxa"/>
            <w:vAlign w:val="bottom"/>
          </w:tcPr>
          <w:p>
            <w:pPr>
              <w:jc w:val="right"/>
              <w:spacing w:after="0"/>
              <w:rPr>
                <w:sz w:val="20"/>
                <w:szCs w:val="20"/>
                <w:color w:val="auto"/>
              </w:rPr>
            </w:pPr>
            <w:r>
              <w:rPr>
                <w:rFonts w:ascii="Arial" w:cs="Arial" w:eastAsia="Arial" w:hAnsi="Arial"/>
                <w:sz w:val="12"/>
                <w:szCs w:val="12"/>
                <w:color w:val="auto"/>
              </w:rPr>
              <w:t>4.5%</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219,802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16.62</w:t>
            </w:r>
          </w:p>
        </w:tc>
        <w:tc>
          <w:tcPr>
            <w:tcW w:w="62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2026</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20</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28,982</w:t>
            </w:r>
          </w:p>
        </w:tc>
        <w:tc>
          <w:tcPr>
            <w:tcW w:w="620" w:type="dxa"/>
            <w:vAlign w:val="bottom"/>
          </w:tcPr>
          <w:p>
            <w:pPr>
              <w:jc w:val="right"/>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524,842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18.11</w:t>
            </w:r>
          </w:p>
        </w:tc>
        <w:tc>
          <w:tcPr>
            <w:tcW w:w="620" w:type="dxa"/>
            <w:vAlign w:val="bottom"/>
          </w:tcPr>
          <w:p>
            <w:pPr>
              <w:jc w:val="right"/>
              <w:spacing w:after="0"/>
              <w:rPr>
                <w:sz w:val="20"/>
                <w:szCs w:val="20"/>
                <w:color w:val="auto"/>
              </w:rPr>
            </w:pPr>
            <w:r>
              <w:rPr>
                <w:rFonts w:ascii="Arial" w:cs="Arial" w:eastAsia="Arial" w:hAnsi="Arial"/>
                <w:sz w:val="12"/>
                <w:szCs w:val="12"/>
                <w:color w:val="auto"/>
              </w:rPr>
              <w:t>7.7%</w:t>
            </w:r>
          </w:p>
        </w:tc>
        <w:tc>
          <w:tcPr>
            <w:tcW w:w="18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4</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11,194</w:t>
            </w:r>
          </w:p>
        </w:tc>
        <w:tc>
          <w:tcPr>
            <w:tcW w:w="620" w:type="dxa"/>
            <w:vAlign w:val="bottom"/>
          </w:tcPr>
          <w:p>
            <w:pPr>
              <w:jc w:val="right"/>
              <w:spacing w:after="0"/>
              <w:rPr>
                <w:sz w:val="20"/>
                <w:szCs w:val="20"/>
                <w:color w:val="auto"/>
              </w:rPr>
            </w:pPr>
            <w:r>
              <w:rPr>
                <w:rFonts w:ascii="Arial" w:cs="Arial" w:eastAsia="Arial" w:hAnsi="Arial"/>
                <w:sz w:val="12"/>
                <w:szCs w:val="12"/>
                <w:color w:val="auto"/>
              </w:rPr>
              <w:t>3.9%</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172,156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15.38</w:t>
            </w:r>
          </w:p>
        </w:tc>
        <w:tc>
          <w:tcPr>
            <w:tcW w:w="62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219"/>
        </w:trPr>
        <w:tc>
          <w:tcPr>
            <w:tcW w:w="1440" w:type="dxa"/>
            <w:vAlign w:val="bottom"/>
          </w:tcPr>
          <w:p>
            <w:pPr>
              <w:spacing w:after="0"/>
              <w:rPr>
                <w:sz w:val="20"/>
                <w:szCs w:val="20"/>
                <w:color w:val="auto"/>
              </w:rPr>
            </w:pPr>
            <w:r>
              <w:rPr>
                <w:rFonts w:ascii="Arial" w:cs="Arial" w:eastAsia="Arial" w:hAnsi="Arial"/>
                <w:sz w:val="12"/>
                <w:szCs w:val="12"/>
                <w:color w:val="auto"/>
              </w:rPr>
              <w:t>2027</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16</w:t>
            </w: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23,983</w:t>
            </w:r>
          </w:p>
        </w:tc>
        <w:tc>
          <w:tcPr>
            <w:tcW w:w="620" w:type="dxa"/>
            <w:vAlign w:val="bottom"/>
          </w:tcPr>
          <w:p>
            <w:pPr>
              <w:jc w:val="right"/>
              <w:spacing w:after="0"/>
              <w:rPr>
                <w:sz w:val="20"/>
                <w:szCs w:val="20"/>
                <w:color w:val="auto"/>
              </w:rPr>
            </w:pPr>
            <w:r>
              <w:rPr>
                <w:rFonts w:ascii="Arial" w:cs="Arial" w:eastAsia="Arial" w:hAnsi="Arial"/>
                <w:sz w:val="12"/>
                <w:szCs w:val="12"/>
                <w:color w:val="auto"/>
              </w:rPr>
              <w:t>5.0%</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327,141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13.64</w:t>
            </w:r>
          </w:p>
        </w:tc>
        <w:tc>
          <w:tcPr>
            <w:tcW w:w="620" w:type="dxa"/>
            <w:vAlign w:val="bottom"/>
          </w:tcPr>
          <w:p>
            <w:pPr>
              <w:jc w:val="right"/>
              <w:spacing w:after="0"/>
              <w:rPr>
                <w:sz w:val="20"/>
                <w:szCs w:val="20"/>
                <w:color w:val="auto"/>
              </w:rPr>
            </w:pPr>
            <w:r>
              <w:rPr>
                <w:rFonts w:ascii="Arial" w:cs="Arial" w:eastAsia="Arial" w:hAnsi="Arial"/>
                <w:sz w:val="12"/>
                <w:szCs w:val="12"/>
                <w:color w:val="auto"/>
              </w:rPr>
              <w:t>4.8%</w:t>
            </w:r>
          </w:p>
        </w:tc>
        <w:tc>
          <w:tcPr>
            <w:tcW w:w="180" w:type="dxa"/>
            <w:vAlign w:val="bottom"/>
          </w:tcPr>
          <w:p>
            <w:pPr>
              <w:spacing w:after="0"/>
              <w:rPr>
                <w:sz w:val="19"/>
                <w:szCs w:val="19"/>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2</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4,763</w:t>
            </w:r>
          </w:p>
        </w:tc>
        <w:tc>
          <w:tcPr>
            <w:tcW w:w="620" w:type="dxa"/>
            <w:vAlign w:val="bottom"/>
          </w:tcPr>
          <w:p>
            <w:pPr>
              <w:jc w:val="right"/>
              <w:spacing w:after="0"/>
              <w:rPr>
                <w:sz w:val="20"/>
                <w:szCs w:val="20"/>
                <w:color w:val="auto"/>
              </w:rPr>
            </w:pPr>
            <w:r>
              <w:rPr>
                <w:rFonts w:ascii="Arial" w:cs="Arial" w:eastAsia="Arial" w:hAnsi="Arial"/>
                <w:sz w:val="12"/>
                <w:szCs w:val="12"/>
                <w:color w:val="auto"/>
              </w:rPr>
              <w:t>1.6%</w:t>
            </w: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88,063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18.49</w:t>
            </w:r>
          </w:p>
        </w:tc>
        <w:tc>
          <w:tcPr>
            <w:tcW w:w="62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223"/>
        </w:trPr>
        <w:tc>
          <w:tcPr>
            <w:tcW w:w="1440" w:type="dxa"/>
            <w:vAlign w:val="bottom"/>
          </w:tcPr>
          <w:p>
            <w:pPr>
              <w:spacing w:after="0"/>
              <w:rPr>
                <w:sz w:val="20"/>
                <w:szCs w:val="20"/>
                <w:color w:val="auto"/>
              </w:rPr>
            </w:pPr>
            <w:r>
              <w:rPr>
                <w:rFonts w:ascii="Arial" w:cs="Arial" w:eastAsia="Arial" w:hAnsi="Arial"/>
                <w:sz w:val="12"/>
                <w:szCs w:val="12"/>
                <w:color w:val="auto"/>
              </w:rPr>
              <w:t>Thereafter</w:t>
            </w: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15</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68,461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897,068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13.10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w:t>
            </w:r>
          </w:p>
        </w:tc>
        <w:tc>
          <w:tcPr>
            <w:tcW w:w="180" w:type="dxa"/>
            <w:vAlign w:val="bottom"/>
          </w:tcPr>
          <w:p>
            <w:pPr>
              <w:spacing w:after="0"/>
              <w:rPr>
                <w:sz w:val="19"/>
                <w:szCs w:val="19"/>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26,794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246,754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9.21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w:t>
            </w:r>
          </w:p>
        </w:tc>
      </w:tr>
      <w:tr>
        <w:trPr>
          <w:trHeight w:val="193"/>
        </w:trPr>
        <w:tc>
          <w:tcPr>
            <w:tcW w:w="1440" w:type="dxa"/>
            <w:vAlign w:val="bottom"/>
          </w:tcPr>
          <w:p>
            <w:pPr>
              <w:spacing w:after="0"/>
              <w:rPr>
                <w:sz w:val="20"/>
                <w:szCs w:val="20"/>
                <w:color w:val="auto"/>
              </w:rPr>
            </w:pPr>
            <w:r>
              <w:rPr>
                <w:rFonts w:ascii="Arial" w:cs="Arial" w:eastAsia="Arial" w:hAnsi="Arial"/>
                <w:sz w:val="12"/>
                <w:szCs w:val="12"/>
                <w:color w:val="auto"/>
              </w:rPr>
              <w:t>Total</w:t>
            </w: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256</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481,624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6,816,296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14.15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c>
          <w:tcPr>
            <w:tcW w:w="180" w:type="dxa"/>
            <w:vAlign w:val="bottom"/>
          </w:tcPr>
          <w:p>
            <w:pPr>
              <w:spacing w:after="0"/>
              <w:rPr>
                <w:sz w:val="16"/>
                <w:szCs w:val="16"/>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118</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290,749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3,927,493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13.50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r>
      <w:tr>
        <w:trPr>
          <w:trHeight w:val="20"/>
        </w:trPr>
        <w:tc>
          <w:tcPr>
            <w:tcW w:w="1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83"/>
        </w:trPr>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90,980</w:t>
            </w:r>
          </w:p>
        </w:tc>
        <w:tc>
          <w:tcPr>
            <w:tcW w:w="740" w:type="dxa"/>
            <w:vAlign w:val="bottom"/>
            <w:gridSpan w:val="2"/>
          </w:tcPr>
          <w:p>
            <w:pPr>
              <w:ind w:left="20"/>
              <w:spacing w:after="0"/>
              <w:rPr>
                <w:sz w:val="20"/>
                <w:szCs w:val="20"/>
                <w:color w:val="auto"/>
              </w:rPr>
            </w:pPr>
            <w:r>
              <w:rPr>
                <w:rFonts w:ascii="Arial" w:cs="Arial" w:eastAsia="Arial" w:hAnsi="Arial"/>
                <w:sz w:val="12"/>
                <w:szCs w:val="12"/>
                <w:color w:val="auto"/>
              </w:rPr>
              <w:t>Total Vacant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13,151</w:t>
            </w:r>
          </w:p>
        </w:tc>
        <w:tc>
          <w:tcPr>
            <w:tcW w:w="780" w:type="dxa"/>
            <w:vAlign w:val="bottom"/>
            <w:gridSpan w:val="2"/>
          </w:tcPr>
          <w:p>
            <w:pPr>
              <w:ind w:left="20"/>
              <w:spacing w:after="0"/>
              <w:rPr>
                <w:sz w:val="20"/>
                <w:szCs w:val="20"/>
                <w:color w:val="auto"/>
              </w:rPr>
            </w:pPr>
            <w:r>
              <w:rPr>
                <w:rFonts w:ascii="Arial" w:cs="Arial" w:eastAsia="Arial" w:hAnsi="Arial"/>
                <w:sz w:val="12"/>
                <w:szCs w:val="12"/>
                <w:color w:val="auto"/>
              </w:rPr>
              <w:t>Total Vacant</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3"/>
        </w:trPr>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572,604</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Total Square Feet</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303,900</w:t>
            </w:r>
          </w:p>
        </w:tc>
        <w:tc>
          <w:tcPr>
            <w:tcW w:w="1620" w:type="dxa"/>
            <w:vAlign w:val="bottom"/>
            <w:gridSpan w:val="4"/>
          </w:tcPr>
          <w:p>
            <w:pPr>
              <w:ind w:left="20"/>
              <w:spacing w:after="0"/>
              <w:rPr>
                <w:sz w:val="20"/>
                <w:szCs w:val="20"/>
                <w:color w:val="auto"/>
              </w:rPr>
            </w:pPr>
            <w:r>
              <w:rPr>
                <w:rFonts w:ascii="Arial" w:cs="Arial" w:eastAsia="Arial" w:hAnsi="Arial"/>
                <w:sz w:val="12"/>
                <w:szCs w:val="12"/>
                <w:b w:val="1"/>
                <w:bCs w:val="1"/>
                <w:color w:val="auto"/>
              </w:rPr>
              <w:t>Total Square Feet</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
        </w:trPr>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5"/>
          <w:szCs w:val="15"/>
          <w:color w:val="auto"/>
        </w:rPr>
        <w:t>__________</w:t>
      </w:r>
    </w:p>
    <w:p>
      <w:pPr>
        <w:spacing w:after="0" w:line="181" w:lineRule="exact"/>
        <w:rPr>
          <w:sz w:val="20"/>
          <w:szCs w:val="20"/>
          <w:color w:val="auto"/>
        </w:rPr>
      </w:pPr>
    </w:p>
    <w:p>
      <w:pPr>
        <w:ind w:left="540" w:hanging="270"/>
        <w:spacing w:after="0"/>
        <w:tabs>
          <w:tab w:leader="none" w:pos="5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Leases currently under month to month or in process of renewal</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35</w:t>
            </w:r>
          </w:p>
        </w:tc>
      </w:tr>
    </w:tbl>
    <w:p>
      <w:pPr>
        <w:sectPr>
          <w:pgSz w:w="11900" w:h="16838" w:orient="portrait"/>
          <w:cols w:equalWidth="0" w:num="1">
            <w:col w:w="10700"/>
          </w:cols>
          <w:pgMar w:left="220" w:top="617" w:right="979" w:bottom="1440" w:gutter="0" w:footer="0" w:header="0"/>
          <w:type w:val="continuous"/>
        </w:sectPr>
      </w:pPr>
    </w:p>
    <w:bookmarkStart w:id="47" w:name="page48"/>
    <w:bookmarkEnd w:id="47"/>
    <w:p>
      <w:pPr>
        <w:ind w:left="120"/>
        <w:spacing w:after="0"/>
        <w:rPr>
          <w:sz w:val="20"/>
          <w:szCs w:val="20"/>
          <w:color w:val="auto"/>
        </w:rPr>
      </w:pPr>
      <w:r>
        <w:rPr>
          <w:rFonts w:ascii="Arial" w:cs="Arial" w:eastAsia="Arial" w:hAnsi="Arial"/>
          <w:sz w:val="20"/>
          <w:szCs w:val="20"/>
          <w:b w:val="1"/>
          <w:bCs w:val="1"/>
          <w:color w:val="auto"/>
        </w:rPr>
        <w:t>Development and Redevelopment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36195</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 in millions)</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9"/>
          </w:tcPr>
          <w:p>
            <w:pPr>
              <w:jc w:val="center"/>
              <w:spacing w:after="0"/>
              <w:rPr>
                <w:sz w:val="20"/>
                <w:szCs w:val="20"/>
                <w:color w:val="auto"/>
              </w:rPr>
            </w:pPr>
            <w:r>
              <w:rPr>
                <w:rFonts w:ascii="Arial" w:cs="Arial" w:eastAsia="Arial" w:hAnsi="Arial"/>
                <w:sz w:val="10"/>
                <w:szCs w:val="10"/>
                <w:b w:val="1"/>
                <w:bCs w:val="1"/>
                <w:color w:val="auto"/>
              </w:rPr>
              <w:t>Acquisition &amp; Development Costs</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0"/>
                <w:szCs w:val="10"/>
                <w:b w:val="1"/>
                <w:bCs w:val="1"/>
                <w:color w:val="auto"/>
              </w:rPr>
              <w:t>Property</w:t>
            </w:r>
          </w:p>
        </w:tc>
        <w:tc>
          <w:tcPr>
            <w:tcW w:w="720" w:type="dxa"/>
            <w:vAlign w:val="bottom"/>
            <w:vMerge w:val="restart"/>
          </w:tcPr>
          <w:p>
            <w:pPr>
              <w:ind w:left="100"/>
              <w:spacing w:after="0"/>
              <w:rPr>
                <w:sz w:val="20"/>
                <w:szCs w:val="20"/>
                <w:color w:val="auto"/>
              </w:rPr>
            </w:pPr>
            <w:r>
              <w:rPr>
                <w:rFonts w:ascii="Arial" w:cs="Arial" w:eastAsia="Arial" w:hAnsi="Arial"/>
                <w:sz w:val="10"/>
                <w:szCs w:val="10"/>
                <w:b w:val="1"/>
                <w:bCs w:val="1"/>
                <w:color w:val="auto"/>
              </w:rPr>
              <w:t>Ownership</w:t>
            </w:r>
          </w:p>
        </w:tc>
        <w:tc>
          <w:tcPr>
            <w:tcW w:w="11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Location</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Estimated</w:t>
            </w:r>
          </w:p>
        </w:tc>
        <w:tc>
          <w:tcPr>
            <w:tcW w:w="1060" w:type="dxa"/>
            <w:vAlign w:val="bottom"/>
          </w:tcPr>
          <w:p>
            <w:pPr>
              <w:jc w:val="right"/>
              <w:ind w:right="69"/>
              <w:spacing w:after="0"/>
              <w:rPr>
                <w:sz w:val="20"/>
                <w:szCs w:val="20"/>
                <w:color w:val="auto"/>
              </w:rPr>
            </w:pPr>
            <w:r>
              <w:rPr>
                <w:rFonts w:ascii="Arial" w:cs="Arial" w:eastAsia="Arial" w:hAnsi="Arial"/>
                <w:sz w:val="10"/>
                <w:szCs w:val="10"/>
                <w:b w:val="1"/>
                <w:bCs w:val="1"/>
                <w:color w:val="auto"/>
              </w:rPr>
              <w:t>Est. SQFT Upon</w:t>
            </w:r>
          </w:p>
        </w:tc>
        <w:tc>
          <w:tcPr>
            <w:tcW w:w="800" w:type="dxa"/>
            <w:vAlign w:val="bottom"/>
          </w:tcPr>
          <w:p>
            <w:pPr>
              <w:jc w:val="right"/>
              <w:ind w:right="50"/>
              <w:spacing w:after="0"/>
              <w:rPr>
                <w:sz w:val="20"/>
                <w:szCs w:val="20"/>
                <w:color w:val="auto"/>
              </w:rPr>
            </w:pPr>
            <w:r>
              <w:rPr>
                <w:rFonts w:ascii="Arial" w:cs="Arial" w:eastAsia="Arial" w:hAnsi="Arial"/>
                <w:sz w:val="10"/>
                <w:szCs w:val="10"/>
                <w:b w:val="1"/>
                <w:bCs w:val="1"/>
                <w:color w:val="auto"/>
              </w:rPr>
              <w:t>Leased Rate</w:t>
            </w:r>
          </w:p>
        </w:tc>
        <w:tc>
          <w:tcPr>
            <w:tcW w:w="1300" w:type="dxa"/>
            <w:vAlign w:val="bottom"/>
            <w:vMerge w:val="restart"/>
          </w:tcPr>
          <w:p>
            <w:pPr>
              <w:ind w:left="380"/>
              <w:spacing w:after="0"/>
              <w:rPr>
                <w:sz w:val="20"/>
                <w:szCs w:val="20"/>
                <w:color w:val="auto"/>
              </w:rPr>
            </w:pPr>
            <w:r>
              <w:rPr>
                <w:rFonts w:ascii="Arial" w:cs="Arial" w:eastAsia="Arial" w:hAnsi="Arial"/>
                <w:sz w:val="10"/>
                <w:szCs w:val="10"/>
                <w:b w:val="1"/>
                <w:bCs w:val="1"/>
                <w:color w:val="auto"/>
              </w:rPr>
              <w:t>Key Tenants</w:t>
            </w:r>
          </w:p>
        </w:tc>
        <w:tc>
          <w:tcPr>
            <w:tcW w:w="760" w:type="dxa"/>
            <w:vAlign w:val="bottom"/>
            <w:gridSpan w:val="3"/>
            <w:vMerge w:val="restart"/>
          </w:tcPr>
          <w:p>
            <w:pPr>
              <w:jc w:val="center"/>
              <w:ind w:right="240"/>
              <w:spacing w:after="0"/>
              <w:rPr>
                <w:sz w:val="20"/>
                <w:szCs w:val="20"/>
                <w:color w:val="auto"/>
              </w:rPr>
            </w:pPr>
            <w:r>
              <w:rPr>
                <w:rFonts w:ascii="Arial" w:cs="Arial" w:eastAsia="Arial" w:hAnsi="Arial"/>
                <w:sz w:val="10"/>
                <w:szCs w:val="10"/>
                <w:b w:val="1"/>
                <w:bCs w:val="1"/>
                <w:color w:val="auto"/>
                <w:w w:val="99"/>
              </w:rPr>
              <w:t>Incurred</w:t>
            </w:r>
          </w:p>
        </w:tc>
        <w:tc>
          <w:tcPr>
            <w:tcW w:w="100" w:type="dxa"/>
            <w:vAlign w:val="bottom"/>
          </w:tcPr>
          <w:p>
            <w:pPr>
              <w:spacing w:after="0"/>
              <w:rPr>
                <w:sz w:val="10"/>
                <w:szCs w:val="10"/>
                <w:color w:val="auto"/>
              </w:rPr>
            </w:pPr>
          </w:p>
        </w:tc>
        <w:tc>
          <w:tcPr>
            <w:tcW w:w="1200" w:type="dxa"/>
            <w:vAlign w:val="bottom"/>
            <w:gridSpan w:val="6"/>
          </w:tcPr>
          <w:p>
            <w:pPr>
              <w:jc w:val="center"/>
              <w:ind w:right="280"/>
              <w:spacing w:after="0"/>
              <w:rPr>
                <w:sz w:val="20"/>
                <w:szCs w:val="20"/>
                <w:color w:val="auto"/>
              </w:rPr>
            </w:pPr>
            <w:r>
              <w:rPr>
                <w:rFonts w:ascii="Arial" w:cs="Arial" w:eastAsia="Arial" w:hAnsi="Arial"/>
                <w:sz w:val="10"/>
                <w:szCs w:val="10"/>
                <w:b w:val="1"/>
                <w:bCs w:val="1"/>
                <w:color w:val="auto"/>
              </w:rPr>
              <w:t>Estimated Future</w:t>
            </w:r>
          </w:p>
        </w:tc>
        <w:tc>
          <w:tcPr>
            <w:tcW w:w="1400" w:type="dxa"/>
            <w:vAlign w:val="bottom"/>
            <w:gridSpan w:val="6"/>
            <w:vMerge w:val="restart"/>
          </w:tcPr>
          <w:p>
            <w:pPr>
              <w:jc w:val="center"/>
              <w:ind w:right="180"/>
              <w:spacing w:after="0"/>
              <w:rPr>
                <w:sz w:val="20"/>
                <w:szCs w:val="20"/>
                <w:color w:val="auto"/>
              </w:rPr>
            </w:pPr>
            <w:r>
              <w:rPr>
                <w:rFonts w:ascii="Arial" w:cs="Arial" w:eastAsia="Arial" w:hAnsi="Arial"/>
                <w:sz w:val="10"/>
                <w:szCs w:val="10"/>
                <w:b w:val="1"/>
                <w:bCs w:val="1"/>
                <w:color w:val="auto"/>
              </w:rPr>
              <w:t>Estimated Total Range</w:t>
            </w: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Outstanding</w:t>
            </w: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4"/>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Stabilization</w:t>
            </w:r>
          </w:p>
        </w:tc>
        <w:tc>
          <w:tcPr>
            <w:tcW w:w="106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rPr>
              <w:t>Completion</w:t>
            </w: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7"/>
                <w:szCs w:val="7"/>
                <w:b w:val="1"/>
                <w:bCs w:val="1"/>
                <w:color w:val="auto"/>
              </w:rPr>
              <w:t>1</w:t>
            </w:r>
          </w:p>
        </w:tc>
        <w:tc>
          <w:tcPr>
            <w:tcW w:w="130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gridSpan w:val="3"/>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8"/>
              </w:rPr>
              <w:t>Range</w:t>
            </w: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6"/>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rPr>
              <w:t>Debt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tcBorders>
              <w:bottom w:val="single" w:sz="8" w:color="auto"/>
            </w:tcBorders>
            <w:gridSpan w:val="3"/>
          </w:tcPr>
          <w:p>
            <w:pPr>
              <w:spacing w:after="0" w:line="112" w:lineRule="exact"/>
              <w:rPr>
                <w:sz w:val="20"/>
                <w:szCs w:val="20"/>
                <w:color w:val="auto"/>
              </w:rPr>
            </w:pPr>
            <w:r>
              <w:rPr>
                <w:rFonts w:ascii="Arial" w:cs="Arial" w:eastAsia="Arial" w:hAnsi="Arial"/>
                <w:sz w:val="10"/>
                <w:szCs w:val="10"/>
                <w:b w:val="1"/>
                <w:bCs w:val="1"/>
                <w:color w:val="auto"/>
                <w:w w:val="99"/>
              </w:rPr>
              <w:t>Development:</w:t>
            </w:r>
          </w:p>
        </w:tc>
        <w:tc>
          <w:tcPr>
            <w:tcW w:w="52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97"/>
              </w:rPr>
              <w:t>FUND III</w:t>
            </w:r>
          </w:p>
        </w:tc>
        <w:tc>
          <w:tcPr>
            <w:tcW w:w="80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0"/>
                <w:szCs w:val="10"/>
                <w:color w:val="auto"/>
              </w:rPr>
              <w:t xml:space="preserve">Cortlandt Crossing </w:t>
            </w:r>
            <w:r>
              <w:rPr>
                <w:rFonts w:ascii="Arial" w:cs="Arial" w:eastAsia="Arial" w:hAnsi="Arial"/>
                <w:sz w:val="7"/>
                <w:szCs w:val="7"/>
                <w:color w:val="auto"/>
              </w:rPr>
              <w:t>1</w:t>
            </w:r>
          </w:p>
        </w:tc>
        <w:tc>
          <w:tcPr>
            <w:tcW w:w="720" w:type="dxa"/>
            <w:vAlign w:val="bottom"/>
          </w:tcPr>
          <w:p>
            <w:pPr>
              <w:jc w:val="center"/>
              <w:spacing w:after="0"/>
              <w:rPr>
                <w:sz w:val="20"/>
                <w:szCs w:val="20"/>
                <w:color w:val="auto"/>
              </w:rPr>
            </w:pPr>
            <w:r>
              <w:rPr>
                <w:rFonts w:ascii="Arial" w:cs="Arial" w:eastAsia="Arial" w:hAnsi="Arial"/>
                <w:sz w:val="10"/>
                <w:szCs w:val="10"/>
                <w:color w:val="auto"/>
              </w:rPr>
              <w:t>100.0%</w:t>
            </w:r>
          </w:p>
        </w:tc>
        <w:tc>
          <w:tcPr>
            <w:tcW w:w="1120" w:type="dxa"/>
            <w:vAlign w:val="bottom"/>
          </w:tcPr>
          <w:p>
            <w:pPr>
              <w:jc w:val="center"/>
              <w:spacing w:after="0"/>
              <w:rPr>
                <w:sz w:val="20"/>
                <w:szCs w:val="20"/>
                <w:color w:val="auto"/>
              </w:rPr>
            </w:pPr>
            <w:r>
              <w:rPr>
                <w:rFonts w:ascii="Arial" w:cs="Arial" w:eastAsia="Arial" w:hAnsi="Arial"/>
                <w:sz w:val="10"/>
                <w:szCs w:val="10"/>
                <w:color w:val="auto"/>
              </w:rPr>
              <w:t>Mohegan Lake, NY</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2019</w:t>
            </w:r>
          </w:p>
        </w:tc>
        <w:tc>
          <w:tcPr>
            <w:tcW w:w="1060" w:type="dxa"/>
            <w:vAlign w:val="bottom"/>
          </w:tcPr>
          <w:p>
            <w:pPr>
              <w:jc w:val="right"/>
              <w:ind w:right="109"/>
              <w:spacing w:after="0"/>
              <w:rPr>
                <w:sz w:val="20"/>
                <w:szCs w:val="20"/>
                <w:color w:val="auto"/>
              </w:rPr>
            </w:pPr>
            <w:r>
              <w:rPr>
                <w:rFonts w:ascii="Arial" w:cs="Arial" w:eastAsia="Arial" w:hAnsi="Arial"/>
                <w:sz w:val="10"/>
                <w:szCs w:val="10"/>
                <w:color w:val="auto"/>
              </w:rPr>
              <w:t>130,000</w:t>
            </w:r>
          </w:p>
        </w:tc>
        <w:tc>
          <w:tcPr>
            <w:tcW w:w="800" w:type="dxa"/>
            <w:vAlign w:val="bottom"/>
          </w:tcPr>
          <w:p>
            <w:pPr>
              <w:jc w:val="right"/>
              <w:ind w:right="30"/>
              <w:spacing w:after="0"/>
              <w:rPr>
                <w:sz w:val="20"/>
                <w:szCs w:val="20"/>
                <w:color w:val="auto"/>
              </w:rPr>
            </w:pPr>
            <w:r>
              <w:rPr>
                <w:rFonts w:ascii="Arial" w:cs="Arial" w:eastAsia="Arial" w:hAnsi="Arial"/>
                <w:sz w:val="10"/>
                <w:szCs w:val="10"/>
                <w:color w:val="auto"/>
              </w:rPr>
              <w:t>50%</w:t>
            </w:r>
          </w:p>
        </w:tc>
        <w:tc>
          <w:tcPr>
            <w:tcW w:w="1300" w:type="dxa"/>
            <w:vAlign w:val="bottom"/>
          </w:tcPr>
          <w:p>
            <w:pPr>
              <w:ind w:left="80"/>
              <w:spacing w:after="0"/>
              <w:rPr>
                <w:sz w:val="20"/>
                <w:szCs w:val="20"/>
                <w:color w:val="auto"/>
              </w:rPr>
            </w:pPr>
            <w:r>
              <w:rPr>
                <w:rFonts w:ascii="Arial" w:cs="Arial" w:eastAsia="Arial" w:hAnsi="Arial"/>
                <w:sz w:val="10"/>
                <w:szCs w:val="10"/>
                <w:color w:val="auto"/>
              </w:rPr>
              <w:t>ShopRite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69"/>
              <w:spacing w:after="0"/>
              <w:rPr>
                <w:sz w:val="20"/>
                <w:szCs w:val="20"/>
                <w:color w:val="auto"/>
              </w:rPr>
            </w:pPr>
            <w:r>
              <w:rPr>
                <w:rFonts w:ascii="Arial" w:cs="Arial" w:eastAsia="Arial" w:hAnsi="Arial"/>
                <w:sz w:val="10"/>
                <w:szCs w:val="10"/>
                <w:color w:val="auto"/>
              </w:rPr>
              <w:t>45.7</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jc w:val="right"/>
              <w:spacing w:after="0"/>
              <w:rPr>
                <w:sz w:val="20"/>
                <w:szCs w:val="20"/>
                <w:color w:val="auto"/>
              </w:rPr>
            </w:pPr>
            <w:r>
              <w:rPr>
                <w:rFonts w:ascii="Arial" w:cs="Arial" w:eastAsia="Arial" w:hAnsi="Arial"/>
                <w:sz w:val="10"/>
                <w:szCs w:val="10"/>
                <w:color w:val="auto"/>
              </w:rPr>
              <w:t>19.3</w:t>
            </w:r>
          </w:p>
        </w:tc>
        <w:tc>
          <w:tcPr>
            <w:tcW w:w="8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49"/>
              <w:spacing w:after="0"/>
              <w:rPr>
                <w:sz w:val="20"/>
                <w:szCs w:val="20"/>
                <w:color w:val="auto"/>
              </w:rPr>
            </w:pPr>
            <w:r>
              <w:rPr>
                <w:rFonts w:ascii="Arial" w:cs="Arial" w:eastAsia="Arial" w:hAnsi="Arial"/>
                <w:sz w:val="10"/>
                <w:szCs w:val="10"/>
                <w:color w:val="auto"/>
              </w:rPr>
              <w:t>24.3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65.0</w:t>
            </w:r>
          </w:p>
        </w:tc>
        <w:tc>
          <w:tcPr>
            <w:tcW w:w="220" w:type="dxa"/>
            <w:vAlign w:val="bottom"/>
          </w:tcPr>
          <w:p>
            <w:pPr>
              <w:jc w:val="center"/>
              <w:spacing w:after="0"/>
              <w:rPr>
                <w:sz w:val="20"/>
                <w:szCs w:val="20"/>
                <w:color w:val="auto"/>
              </w:rPr>
            </w:pPr>
            <w:r>
              <w:rPr>
                <w:rFonts w:ascii="Arial" w:cs="Arial" w:eastAsia="Arial" w:hAnsi="Arial"/>
                <w:sz w:val="10"/>
                <w:szCs w:val="10"/>
                <w:color w:val="auto"/>
              </w:rPr>
              <w:t>to</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70.0</w:t>
            </w:r>
          </w:p>
        </w:tc>
        <w:tc>
          <w:tcPr>
            <w:tcW w:w="2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69"/>
              <w:spacing w:after="0"/>
              <w:rPr>
                <w:sz w:val="20"/>
                <w:szCs w:val="20"/>
                <w:color w:val="auto"/>
              </w:rPr>
            </w:pPr>
            <w:r>
              <w:rPr>
                <w:rFonts w:ascii="Arial" w:cs="Arial" w:eastAsia="Arial" w:hAnsi="Arial"/>
                <w:sz w:val="10"/>
                <w:szCs w:val="10"/>
                <w:color w:val="auto"/>
              </w:rPr>
              <w:t>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gridSpan w:val="5"/>
          </w:tcPr>
          <w:p>
            <w:pPr>
              <w:spacing w:after="0"/>
              <w:rPr>
                <w:sz w:val="20"/>
                <w:szCs w:val="20"/>
                <w:color w:val="auto"/>
              </w:rPr>
            </w:pPr>
            <w:r>
              <w:rPr>
                <w:rFonts w:ascii="Arial" w:cs="Arial" w:eastAsia="Arial" w:hAnsi="Arial"/>
                <w:sz w:val="10"/>
                <w:szCs w:val="10"/>
                <w:color w:val="auto"/>
              </w:rPr>
              <w:t>Broad Hollow Commons</w:t>
            </w:r>
          </w:p>
        </w:tc>
        <w:tc>
          <w:tcPr>
            <w:tcW w:w="720" w:type="dxa"/>
            <w:vAlign w:val="bottom"/>
          </w:tcPr>
          <w:p>
            <w:pPr>
              <w:jc w:val="center"/>
              <w:spacing w:after="0"/>
              <w:rPr>
                <w:sz w:val="20"/>
                <w:szCs w:val="20"/>
                <w:color w:val="auto"/>
              </w:rPr>
            </w:pPr>
            <w:r>
              <w:rPr>
                <w:rFonts w:ascii="Arial" w:cs="Arial" w:eastAsia="Arial" w:hAnsi="Arial"/>
                <w:sz w:val="10"/>
                <w:szCs w:val="10"/>
                <w:color w:val="auto"/>
              </w:rPr>
              <w:t>100.0%</w:t>
            </w:r>
          </w:p>
        </w:tc>
        <w:tc>
          <w:tcPr>
            <w:tcW w:w="1120" w:type="dxa"/>
            <w:vAlign w:val="bottom"/>
          </w:tcPr>
          <w:p>
            <w:pPr>
              <w:jc w:val="center"/>
              <w:spacing w:after="0"/>
              <w:rPr>
                <w:sz w:val="20"/>
                <w:szCs w:val="20"/>
                <w:color w:val="auto"/>
              </w:rPr>
            </w:pPr>
            <w:r>
              <w:rPr>
                <w:rFonts w:ascii="Arial" w:cs="Arial" w:eastAsia="Arial" w:hAnsi="Arial"/>
                <w:sz w:val="10"/>
                <w:szCs w:val="10"/>
                <w:color w:val="auto"/>
              </w:rPr>
              <w:t>Farmingdale, NY</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2020</w:t>
            </w:r>
          </w:p>
        </w:tc>
        <w:tc>
          <w:tcPr>
            <w:tcW w:w="1060" w:type="dxa"/>
            <w:vAlign w:val="bottom"/>
          </w:tcPr>
          <w:p>
            <w:pPr>
              <w:jc w:val="right"/>
              <w:ind w:right="109"/>
              <w:spacing w:after="0"/>
              <w:rPr>
                <w:sz w:val="20"/>
                <w:szCs w:val="20"/>
                <w:color w:val="auto"/>
              </w:rPr>
            </w:pPr>
            <w:r>
              <w:rPr>
                <w:rFonts w:ascii="Arial" w:cs="Arial" w:eastAsia="Arial" w:hAnsi="Arial"/>
                <w:sz w:val="10"/>
                <w:szCs w:val="10"/>
                <w:color w:val="auto"/>
              </w:rPr>
              <w:t>180,000 -</w:t>
            </w:r>
          </w:p>
        </w:tc>
        <w:tc>
          <w:tcPr>
            <w:tcW w:w="80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1300" w:type="dxa"/>
            <w:vAlign w:val="bottom"/>
          </w:tcPr>
          <w:p>
            <w:pPr>
              <w:ind w:left="80"/>
              <w:spacing w:after="0"/>
              <w:rPr>
                <w:sz w:val="20"/>
                <w:szCs w:val="20"/>
                <w:color w:val="auto"/>
              </w:rPr>
            </w:pPr>
            <w:r>
              <w:rPr>
                <w:rFonts w:ascii="Arial" w:cs="Arial" w:eastAsia="Arial" w:hAnsi="Arial"/>
                <w:sz w:val="10"/>
                <w:szCs w:val="10"/>
                <w:color w:val="auto"/>
              </w:rPr>
              <w:t>TBD</w:t>
            </w:r>
          </w:p>
        </w:tc>
        <w:tc>
          <w:tcPr>
            <w:tcW w:w="120" w:type="dxa"/>
            <w:vAlign w:val="bottom"/>
          </w:tcPr>
          <w:p>
            <w:pPr>
              <w:spacing w:after="0"/>
              <w:rPr>
                <w:sz w:val="17"/>
                <w:szCs w:val="17"/>
                <w:color w:val="auto"/>
              </w:rPr>
            </w:pPr>
          </w:p>
        </w:tc>
        <w:tc>
          <w:tcPr>
            <w:tcW w:w="420" w:type="dxa"/>
            <w:vAlign w:val="bottom"/>
          </w:tcPr>
          <w:p>
            <w:pPr>
              <w:jc w:val="right"/>
              <w:ind w:right="69"/>
              <w:spacing w:after="0"/>
              <w:rPr>
                <w:sz w:val="20"/>
                <w:szCs w:val="20"/>
                <w:color w:val="auto"/>
              </w:rPr>
            </w:pPr>
            <w:r>
              <w:rPr>
                <w:rFonts w:ascii="Arial" w:cs="Arial" w:eastAsia="Arial" w:hAnsi="Arial"/>
                <w:sz w:val="10"/>
                <w:szCs w:val="10"/>
                <w:color w:val="auto"/>
              </w:rPr>
              <w:t>16.7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33.3</w:t>
            </w:r>
          </w:p>
        </w:tc>
        <w:tc>
          <w:tcPr>
            <w:tcW w:w="80" w:type="dxa"/>
            <w:vAlign w:val="bottom"/>
          </w:tcPr>
          <w:p>
            <w:pPr>
              <w:spacing w:after="0"/>
              <w:rPr>
                <w:sz w:val="17"/>
                <w:szCs w:val="17"/>
                <w:color w:val="auto"/>
              </w:rPr>
            </w:pP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80" w:type="dxa"/>
            <w:vAlign w:val="bottom"/>
          </w:tcPr>
          <w:p>
            <w:pPr>
              <w:spacing w:after="0"/>
              <w:rPr>
                <w:sz w:val="17"/>
                <w:szCs w:val="17"/>
                <w:color w:val="auto"/>
              </w:rPr>
            </w:pPr>
          </w:p>
        </w:tc>
        <w:tc>
          <w:tcPr>
            <w:tcW w:w="340" w:type="dxa"/>
            <w:vAlign w:val="bottom"/>
          </w:tcPr>
          <w:p>
            <w:pPr>
              <w:jc w:val="right"/>
              <w:ind w:right="49"/>
              <w:spacing w:after="0"/>
              <w:rPr>
                <w:sz w:val="20"/>
                <w:szCs w:val="20"/>
                <w:color w:val="auto"/>
              </w:rPr>
            </w:pPr>
            <w:r>
              <w:rPr>
                <w:rFonts w:ascii="Arial" w:cs="Arial" w:eastAsia="Arial" w:hAnsi="Arial"/>
                <w:sz w:val="10"/>
                <w:szCs w:val="10"/>
                <w:color w:val="auto"/>
              </w:rPr>
              <w:t>43.3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50.0</w:t>
            </w:r>
          </w:p>
        </w:tc>
        <w:tc>
          <w:tcPr>
            <w:tcW w:w="220" w:type="dxa"/>
            <w:vAlign w:val="bottom"/>
          </w:tcPr>
          <w:p>
            <w:pPr>
              <w:jc w:val="center"/>
              <w:spacing w:after="0"/>
              <w:rPr>
                <w:sz w:val="20"/>
                <w:szCs w:val="20"/>
                <w:color w:val="auto"/>
              </w:rPr>
            </w:pPr>
            <w:r>
              <w:rPr>
                <w:rFonts w:ascii="Arial" w:cs="Arial" w:eastAsia="Arial" w:hAnsi="Arial"/>
                <w:sz w:val="10"/>
                <w:szCs w:val="10"/>
                <w:color w:val="auto"/>
              </w:rPr>
              <w:t>to</w:t>
            </w:r>
          </w:p>
        </w:tc>
        <w:tc>
          <w:tcPr>
            <w:tcW w:w="100" w:type="dxa"/>
            <w:vAlign w:val="bottom"/>
          </w:tcPr>
          <w:p>
            <w:pPr>
              <w:spacing w:after="0"/>
              <w:rPr>
                <w:sz w:val="17"/>
                <w:szCs w:val="17"/>
                <w:color w:val="auto"/>
              </w:rPr>
            </w:pP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60.0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jc w:val="right"/>
              <w:ind w:right="109"/>
              <w:spacing w:after="0"/>
              <w:rPr>
                <w:sz w:val="20"/>
                <w:szCs w:val="20"/>
                <w:color w:val="auto"/>
              </w:rPr>
            </w:pPr>
            <w:r>
              <w:rPr>
                <w:rFonts w:ascii="Arial" w:cs="Arial" w:eastAsia="Arial" w:hAnsi="Arial"/>
                <w:sz w:val="10"/>
                <w:szCs w:val="10"/>
                <w:color w:val="auto"/>
              </w:rPr>
              <w:t>200,000</w:t>
            </w: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69"/>
              <w:spacing w:after="0"/>
              <w:rPr>
                <w:sz w:val="20"/>
                <w:szCs w:val="20"/>
                <w:color w:val="auto"/>
              </w:rPr>
            </w:pPr>
            <w:r>
              <w:rPr>
                <w:rFonts w:ascii="Arial" w:cs="Arial" w:eastAsia="Arial" w:hAnsi="Arial"/>
                <w:sz w:val="10"/>
                <w:szCs w:val="10"/>
                <w:color w:val="auto"/>
              </w:rPr>
              <w:t>62.4</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jc w:val="right"/>
              <w:spacing w:after="0"/>
              <w:rPr>
                <w:sz w:val="20"/>
                <w:szCs w:val="20"/>
                <w:color w:val="auto"/>
              </w:rPr>
            </w:pPr>
            <w:r>
              <w:rPr>
                <w:rFonts w:ascii="Arial" w:cs="Arial" w:eastAsia="Arial" w:hAnsi="Arial"/>
                <w:sz w:val="10"/>
                <w:szCs w:val="10"/>
                <w:color w:val="auto"/>
              </w:rPr>
              <w:t>52.6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49"/>
              <w:spacing w:after="0"/>
              <w:rPr>
                <w:sz w:val="20"/>
                <w:szCs w:val="20"/>
                <w:color w:val="auto"/>
              </w:rPr>
            </w:pPr>
            <w:r>
              <w:rPr>
                <w:rFonts w:ascii="Arial" w:cs="Arial" w:eastAsia="Arial" w:hAnsi="Arial"/>
                <w:sz w:val="10"/>
                <w:szCs w:val="10"/>
                <w:color w:val="auto"/>
              </w:rPr>
              <w:t>67.6</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115.0</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130.0</w:t>
            </w:r>
          </w:p>
        </w:tc>
        <w:tc>
          <w:tcPr>
            <w:tcW w:w="22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69"/>
              <w:spacing w:after="0"/>
              <w:rPr>
                <w:sz w:val="20"/>
                <w:szCs w:val="20"/>
                <w:color w:val="auto"/>
              </w:rPr>
            </w:pPr>
            <w:r>
              <w:rPr>
                <w:rFonts w:ascii="Arial" w:cs="Arial" w:eastAsia="Arial" w:hAnsi="Arial"/>
                <w:sz w:val="10"/>
                <w:szCs w:val="10"/>
                <w:color w:val="auto"/>
              </w:rPr>
              <w:t>6.0</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0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FUND IV</w:t>
            </w:r>
          </w:p>
        </w:tc>
        <w:tc>
          <w:tcPr>
            <w:tcW w:w="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gridSpan w:val="5"/>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1200" w:type="dxa"/>
            <w:vAlign w:val="bottom"/>
            <w:gridSpan w:val="5"/>
            <w:vMerge w:val="continue"/>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0"/>
                <w:szCs w:val="10"/>
                <w:color w:val="auto"/>
              </w:rPr>
              <w:t>650 Bald Hill Road</w:t>
            </w:r>
          </w:p>
        </w:tc>
        <w:tc>
          <w:tcPr>
            <w:tcW w:w="720" w:type="dxa"/>
            <w:vAlign w:val="bottom"/>
          </w:tcPr>
          <w:p>
            <w:pPr>
              <w:jc w:val="center"/>
              <w:spacing w:after="0"/>
              <w:rPr>
                <w:sz w:val="20"/>
                <w:szCs w:val="20"/>
                <w:color w:val="auto"/>
              </w:rPr>
            </w:pPr>
            <w:r>
              <w:rPr>
                <w:rFonts w:ascii="Arial" w:cs="Arial" w:eastAsia="Arial" w:hAnsi="Arial"/>
                <w:sz w:val="10"/>
                <w:szCs w:val="10"/>
                <w:color w:val="auto"/>
                <w:w w:val="98"/>
              </w:rPr>
              <w:t>90.0%</w:t>
            </w:r>
          </w:p>
        </w:tc>
        <w:tc>
          <w:tcPr>
            <w:tcW w:w="1120" w:type="dxa"/>
            <w:vAlign w:val="bottom"/>
          </w:tcPr>
          <w:p>
            <w:pPr>
              <w:jc w:val="center"/>
              <w:spacing w:after="0"/>
              <w:rPr>
                <w:sz w:val="20"/>
                <w:szCs w:val="20"/>
                <w:color w:val="auto"/>
              </w:rPr>
            </w:pPr>
            <w:r>
              <w:rPr>
                <w:rFonts w:ascii="Arial" w:cs="Arial" w:eastAsia="Arial" w:hAnsi="Arial"/>
                <w:sz w:val="10"/>
                <w:szCs w:val="10"/>
                <w:color w:val="auto"/>
              </w:rPr>
              <w:t>Warwick, RI</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2018</w:t>
            </w:r>
          </w:p>
        </w:tc>
        <w:tc>
          <w:tcPr>
            <w:tcW w:w="1060" w:type="dxa"/>
            <w:vAlign w:val="bottom"/>
          </w:tcPr>
          <w:p>
            <w:pPr>
              <w:jc w:val="right"/>
              <w:ind w:right="109"/>
              <w:spacing w:after="0"/>
              <w:rPr>
                <w:sz w:val="20"/>
                <w:szCs w:val="20"/>
                <w:color w:val="auto"/>
              </w:rPr>
            </w:pPr>
            <w:r>
              <w:rPr>
                <w:rFonts w:ascii="Arial" w:cs="Arial" w:eastAsia="Arial" w:hAnsi="Arial"/>
                <w:sz w:val="10"/>
                <w:szCs w:val="10"/>
                <w:color w:val="auto"/>
              </w:rPr>
              <w:t>161,000</w:t>
            </w:r>
          </w:p>
        </w:tc>
        <w:tc>
          <w:tcPr>
            <w:tcW w:w="800" w:type="dxa"/>
            <w:vAlign w:val="bottom"/>
          </w:tcPr>
          <w:p>
            <w:pPr>
              <w:jc w:val="right"/>
              <w:ind w:right="30"/>
              <w:spacing w:after="0"/>
              <w:rPr>
                <w:sz w:val="20"/>
                <w:szCs w:val="20"/>
                <w:color w:val="auto"/>
              </w:rPr>
            </w:pPr>
            <w:r>
              <w:rPr>
                <w:rFonts w:ascii="Arial" w:cs="Arial" w:eastAsia="Arial" w:hAnsi="Arial"/>
                <w:sz w:val="10"/>
                <w:szCs w:val="10"/>
                <w:color w:val="auto"/>
              </w:rPr>
              <w:t>72%</w:t>
            </w:r>
          </w:p>
        </w:tc>
        <w:tc>
          <w:tcPr>
            <w:tcW w:w="1300" w:type="dxa"/>
            <w:vAlign w:val="bottom"/>
          </w:tcPr>
          <w:p>
            <w:pPr>
              <w:ind w:left="80"/>
              <w:spacing w:after="0"/>
              <w:rPr>
                <w:sz w:val="20"/>
                <w:szCs w:val="20"/>
                <w:color w:val="auto"/>
              </w:rPr>
            </w:pPr>
            <w:r>
              <w:rPr>
                <w:rFonts w:ascii="Arial" w:cs="Arial" w:eastAsia="Arial" w:hAnsi="Arial"/>
                <w:sz w:val="10"/>
                <w:szCs w:val="10"/>
                <w:color w:val="auto"/>
              </w:rPr>
              <w:t>Dick's Sporting Goods,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69"/>
              <w:spacing w:after="0"/>
              <w:rPr>
                <w:sz w:val="20"/>
                <w:szCs w:val="20"/>
                <w:color w:val="auto"/>
              </w:rPr>
            </w:pPr>
            <w:r>
              <w:rPr>
                <w:rFonts w:ascii="Arial" w:cs="Arial" w:eastAsia="Arial" w:hAnsi="Arial"/>
                <w:sz w:val="10"/>
                <w:szCs w:val="10"/>
                <w:color w:val="auto"/>
              </w:rPr>
              <w:t>33.9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jc w:val="right"/>
              <w:spacing w:after="0"/>
              <w:rPr>
                <w:sz w:val="20"/>
                <w:szCs w:val="20"/>
                <w:color w:val="auto"/>
              </w:rPr>
            </w:pPr>
            <w:r>
              <w:rPr>
                <w:rFonts w:ascii="Arial" w:cs="Arial" w:eastAsia="Arial" w:hAnsi="Arial"/>
                <w:sz w:val="10"/>
                <w:szCs w:val="10"/>
                <w:color w:val="auto"/>
              </w:rPr>
              <w:t>2.1</w:t>
            </w:r>
          </w:p>
        </w:tc>
        <w:tc>
          <w:tcPr>
            <w:tcW w:w="8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49"/>
              <w:spacing w:after="0"/>
              <w:rPr>
                <w:sz w:val="20"/>
                <w:szCs w:val="20"/>
                <w:color w:val="auto"/>
              </w:rPr>
            </w:pPr>
            <w:r>
              <w:rPr>
                <w:rFonts w:ascii="Arial" w:cs="Arial" w:eastAsia="Arial" w:hAnsi="Arial"/>
                <w:sz w:val="10"/>
                <w:szCs w:val="10"/>
                <w:color w:val="auto"/>
              </w:rPr>
              <w:t>3.1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36.0</w:t>
            </w: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37.0</w:t>
            </w:r>
          </w:p>
        </w:tc>
        <w:tc>
          <w:tcPr>
            <w:tcW w:w="2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69"/>
              <w:spacing w:after="0"/>
              <w:rPr>
                <w:sz w:val="20"/>
                <w:szCs w:val="20"/>
                <w:color w:val="auto"/>
              </w:rPr>
            </w:pPr>
            <w:r>
              <w:rPr>
                <w:rFonts w:ascii="Arial" w:cs="Arial" w:eastAsia="Arial" w:hAnsi="Arial"/>
                <w:sz w:val="10"/>
                <w:szCs w:val="10"/>
                <w:color w:val="auto"/>
              </w:rPr>
              <w:t>14.7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ind w:left="80"/>
              <w:spacing w:after="0"/>
              <w:rPr>
                <w:sz w:val="20"/>
                <w:szCs w:val="20"/>
                <w:color w:val="auto"/>
              </w:rPr>
            </w:pPr>
            <w:r>
              <w:rPr>
                <w:rFonts w:ascii="Arial" w:cs="Arial" w:eastAsia="Arial" w:hAnsi="Arial"/>
                <w:sz w:val="10"/>
                <w:szCs w:val="10"/>
                <w:color w:val="auto"/>
              </w:rPr>
              <w:t>Burlington Coat Factory</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0" w:type="dxa"/>
            <w:vAlign w:val="bottom"/>
            <w:gridSpan w:val="5"/>
          </w:tcPr>
          <w:p>
            <w:pPr>
              <w:spacing w:after="0"/>
              <w:rPr>
                <w:sz w:val="20"/>
                <w:szCs w:val="20"/>
                <w:color w:val="auto"/>
              </w:rPr>
            </w:pPr>
            <w:r>
              <w:rPr>
                <w:rFonts w:ascii="Arial" w:cs="Arial" w:eastAsia="Arial" w:hAnsi="Arial"/>
                <w:sz w:val="10"/>
                <w:szCs w:val="10"/>
                <w:color w:val="auto"/>
              </w:rPr>
              <w:t>717 N. Michigan Avenue</w:t>
            </w:r>
          </w:p>
        </w:tc>
        <w:tc>
          <w:tcPr>
            <w:tcW w:w="720" w:type="dxa"/>
            <w:vAlign w:val="bottom"/>
          </w:tcPr>
          <w:p>
            <w:pPr>
              <w:jc w:val="center"/>
              <w:spacing w:after="0"/>
              <w:rPr>
                <w:sz w:val="20"/>
                <w:szCs w:val="20"/>
                <w:color w:val="auto"/>
              </w:rPr>
            </w:pPr>
            <w:r>
              <w:rPr>
                <w:rFonts w:ascii="Arial" w:cs="Arial" w:eastAsia="Arial" w:hAnsi="Arial"/>
                <w:sz w:val="10"/>
                <w:szCs w:val="10"/>
                <w:color w:val="auto"/>
              </w:rPr>
              <w:t>100.0%</w:t>
            </w:r>
          </w:p>
        </w:tc>
        <w:tc>
          <w:tcPr>
            <w:tcW w:w="1120" w:type="dxa"/>
            <w:vAlign w:val="bottom"/>
          </w:tcPr>
          <w:p>
            <w:pPr>
              <w:jc w:val="center"/>
              <w:spacing w:after="0"/>
              <w:rPr>
                <w:sz w:val="20"/>
                <w:szCs w:val="20"/>
                <w:color w:val="auto"/>
              </w:rPr>
            </w:pPr>
            <w:r>
              <w:rPr>
                <w:rFonts w:ascii="Arial" w:cs="Arial" w:eastAsia="Arial" w:hAnsi="Arial"/>
                <w:sz w:val="10"/>
                <w:szCs w:val="10"/>
                <w:color w:val="auto"/>
              </w:rPr>
              <w:t>Chicago, IL</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2018</w:t>
            </w:r>
          </w:p>
        </w:tc>
        <w:tc>
          <w:tcPr>
            <w:tcW w:w="1060" w:type="dxa"/>
            <w:vAlign w:val="bottom"/>
          </w:tcPr>
          <w:p>
            <w:pPr>
              <w:jc w:val="right"/>
              <w:ind w:right="109"/>
              <w:spacing w:after="0"/>
              <w:rPr>
                <w:sz w:val="20"/>
                <w:szCs w:val="20"/>
                <w:color w:val="auto"/>
              </w:rPr>
            </w:pPr>
            <w:r>
              <w:rPr>
                <w:rFonts w:ascii="Arial" w:cs="Arial" w:eastAsia="Arial" w:hAnsi="Arial"/>
                <w:sz w:val="10"/>
                <w:szCs w:val="10"/>
                <w:color w:val="auto"/>
              </w:rPr>
              <w:t>62,000</w:t>
            </w:r>
          </w:p>
        </w:tc>
        <w:tc>
          <w:tcPr>
            <w:tcW w:w="800" w:type="dxa"/>
            <w:vAlign w:val="bottom"/>
          </w:tcPr>
          <w:p>
            <w:pPr>
              <w:jc w:val="right"/>
              <w:ind w:right="30"/>
              <w:spacing w:after="0"/>
              <w:rPr>
                <w:sz w:val="20"/>
                <w:szCs w:val="20"/>
                <w:color w:val="auto"/>
              </w:rPr>
            </w:pPr>
            <w:r>
              <w:rPr>
                <w:rFonts w:ascii="Arial" w:cs="Arial" w:eastAsia="Arial" w:hAnsi="Arial"/>
                <w:sz w:val="10"/>
                <w:szCs w:val="10"/>
                <w:color w:val="auto"/>
              </w:rPr>
              <w:t>25%</w:t>
            </w:r>
          </w:p>
        </w:tc>
        <w:tc>
          <w:tcPr>
            <w:tcW w:w="1300" w:type="dxa"/>
            <w:vAlign w:val="bottom"/>
          </w:tcPr>
          <w:p>
            <w:pPr>
              <w:ind w:left="80"/>
              <w:spacing w:after="0"/>
              <w:rPr>
                <w:sz w:val="20"/>
                <w:szCs w:val="20"/>
                <w:color w:val="auto"/>
              </w:rPr>
            </w:pPr>
            <w:r>
              <w:rPr>
                <w:rFonts w:ascii="Arial" w:cs="Arial" w:eastAsia="Arial" w:hAnsi="Arial"/>
                <w:sz w:val="10"/>
                <w:szCs w:val="10"/>
                <w:color w:val="auto"/>
              </w:rPr>
              <w:t>Disney Store</w:t>
            </w:r>
          </w:p>
        </w:tc>
        <w:tc>
          <w:tcPr>
            <w:tcW w:w="120" w:type="dxa"/>
            <w:vAlign w:val="bottom"/>
          </w:tcPr>
          <w:p>
            <w:pPr>
              <w:spacing w:after="0"/>
              <w:rPr>
                <w:sz w:val="13"/>
                <w:szCs w:val="13"/>
                <w:color w:val="auto"/>
              </w:rPr>
            </w:pPr>
          </w:p>
        </w:tc>
        <w:tc>
          <w:tcPr>
            <w:tcW w:w="420" w:type="dxa"/>
            <w:vAlign w:val="bottom"/>
          </w:tcPr>
          <w:p>
            <w:pPr>
              <w:jc w:val="right"/>
              <w:ind w:right="69"/>
              <w:spacing w:after="0"/>
              <w:rPr>
                <w:sz w:val="20"/>
                <w:szCs w:val="20"/>
                <w:color w:val="auto"/>
              </w:rPr>
            </w:pPr>
            <w:r>
              <w:rPr>
                <w:rFonts w:ascii="Arial" w:cs="Arial" w:eastAsia="Arial" w:hAnsi="Arial"/>
                <w:sz w:val="10"/>
                <w:szCs w:val="10"/>
                <w:color w:val="auto"/>
              </w:rPr>
              <w:t>108.1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10.8</w:t>
            </w:r>
          </w:p>
        </w:tc>
        <w:tc>
          <w:tcPr>
            <w:tcW w:w="8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80" w:type="dxa"/>
            <w:vAlign w:val="bottom"/>
          </w:tcPr>
          <w:p>
            <w:pPr>
              <w:spacing w:after="0"/>
              <w:rPr>
                <w:sz w:val="13"/>
                <w:szCs w:val="13"/>
                <w:color w:val="auto"/>
              </w:rPr>
            </w:pPr>
          </w:p>
        </w:tc>
        <w:tc>
          <w:tcPr>
            <w:tcW w:w="340" w:type="dxa"/>
            <w:vAlign w:val="bottom"/>
          </w:tcPr>
          <w:p>
            <w:pPr>
              <w:jc w:val="right"/>
              <w:ind w:right="49"/>
              <w:spacing w:after="0"/>
              <w:rPr>
                <w:sz w:val="20"/>
                <w:szCs w:val="20"/>
                <w:color w:val="auto"/>
              </w:rPr>
            </w:pPr>
            <w:r>
              <w:rPr>
                <w:rFonts w:ascii="Arial" w:cs="Arial" w:eastAsia="Arial" w:hAnsi="Arial"/>
                <w:sz w:val="10"/>
                <w:szCs w:val="10"/>
                <w:color w:val="auto"/>
              </w:rPr>
              <w:t>18.3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120.0</w:t>
            </w: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100" w:type="dxa"/>
            <w:vAlign w:val="bottom"/>
          </w:tcPr>
          <w:p>
            <w:pPr>
              <w:spacing w:after="0"/>
              <w:rPr>
                <w:sz w:val="13"/>
                <w:szCs w:val="13"/>
                <w:color w:val="auto"/>
              </w:rPr>
            </w:pP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127.5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9"/>
              <w:spacing w:after="0"/>
              <w:rPr>
                <w:sz w:val="20"/>
                <w:szCs w:val="20"/>
                <w:color w:val="auto"/>
              </w:rPr>
            </w:pPr>
            <w:r>
              <w:rPr>
                <w:rFonts w:ascii="Arial" w:cs="Arial" w:eastAsia="Arial" w:hAnsi="Arial"/>
                <w:sz w:val="10"/>
                <w:szCs w:val="10"/>
                <w:color w:val="auto"/>
              </w:rPr>
              <w:t>66.6</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69"/>
              <w:spacing w:after="0"/>
              <w:rPr>
                <w:sz w:val="20"/>
                <w:szCs w:val="20"/>
                <w:color w:val="auto"/>
              </w:rPr>
            </w:pPr>
            <w:r>
              <w:rPr>
                <w:rFonts w:ascii="Arial" w:cs="Arial" w:eastAsia="Arial" w:hAnsi="Arial"/>
                <w:sz w:val="10"/>
                <w:szCs w:val="10"/>
                <w:color w:val="auto"/>
              </w:rPr>
              <w:t>142.0</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jc w:val="right"/>
              <w:spacing w:after="0"/>
              <w:rPr>
                <w:sz w:val="20"/>
                <w:szCs w:val="20"/>
                <w:color w:val="auto"/>
              </w:rPr>
            </w:pPr>
            <w:r>
              <w:rPr>
                <w:rFonts w:ascii="Arial" w:cs="Arial" w:eastAsia="Arial" w:hAnsi="Arial"/>
                <w:sz w:val="10"/>
                <w:szCs w:val="10"/>
                <w:color w:val="auto"/>
              </w:rPr>
              <w:t>12.9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49"/>
              <w:spacing w:after="0"/>
              <w:rPr>
                <w:sz w:val="20"/>
                <w:szCs w:val="20"/>
                <w:color w:val="auto"/>
              </w:rPr>
            </w:pPr>
            <w:r>
              <w:rPr>
                <w:rFonts w:ascii="Arial" w:cs="Arial" w:eastAsia="Arial" w:hAnsi="Arial"/>
                <w:sz w:val="10"/>
                <w:szCs w:val="10"/>
                <w:color w:val="auto"/>
              </w:rPr>
              <w:t>21.4</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156.0</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164.5</w:t>
            </w:r>
          </w:p>
        </w:tc>
        <w:tc>
          <w:tcPr>
            <w:tcW w:w="22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69"/>
              <w:spacing w:after="0"/>
              <w:rPr>
                <w:sz w:val="20"/>
                <w:szCs w:val="20"/>
                <w:color w:val="auto"/>
              </w:rPr>
            </w:pPr>
            <w:r>
              <w:rPr>
                <w:rFonts w:ascii="Arial" w:cs="Arial" w:eastAsia="Arial" w:hAnsi="Arial"/>
                <w:sz w:val="10"/>
                <w:szCs w:val="10"/>
                <w:color w:val="auto"/>
              </w:rPr>
              <w:t>81.3</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0" w:type="dxa"/>
            <w:vAlign w:val="bottom"/>
            <w:vMerge w:val="restart"/>
          </w:tcPr>
          <w:p>
            <w:pPr>
              <w:spacing w:after="0"/>
              <w:rPr>
                <w:sz w:val="20"/>
                <w:szCs w:val="20"/>
                <w:color w:val="auto"/>
              </w:rPr>
            </w:pPr>
            <w:r>
              <w:rPr>
                <w:rFonts w:ascii="Arial" w:cs="Arial" w:eastAsia="Arial" w:hAnsi="Arial"/>
                <w:sz w:val="10"/>
                <w:szCs w:val="10"/>
                <w:b w:val="1"/>
                <w:bCs w:val="1"/>
                <w:color w:val="auto"/>
                <w:w w:val="96"/>
              </w:rPr>
              <w:t>CORE</w:t>
            </w:r>
          </w:p>
        </w:tc>
        <w:tc>
          <w:tcPr>
            <w:tcW w:w="900" w:type="dxa"/>
            <w:vAlign w:val="bottom"/>
            <w:gridSpan w:val="4"/>
            <w:vMerge w:val="restart"/>
          </w:tcPr>
          <w:p>
            <w:pPr>
              <w:spacing w:after="0"/>
              <w:rPr>
                <w:sz w:val="4"/>
                <w:szCs w:val="4"/>
                <w:color w:val="auto"/>
              </w:rPr>
            </w:pPr>
          </w:p>
        </w:tc>
        <w:tc>
          <w:tcPr>
            <w:tcW w:w="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00" w:type="dxa"/>
            <w:vAlign w:val="bottom"/>
            <w:gridSpan w:val="4"/>
            <w:vMerge w:val="continue"/>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0"/>
                <w:szCs w:val="10"/>
                <w:color w:val="auto"/>
              </w:rPr>
              <w:t>613-623 West Diversey</w:t>
            </w:r>
          </w:p>
        </w:tc>
        <w:tc>
          <w:tcPr>
            <w:tcW w:w="720" w:type="dxa"/>
            <w:vAlign w:val="bottom"/>
          </w:tcPr>
          <w:p>
            <w:pPr>
              <w:jc w:val="center"/>
              <w:spacing w:after="0"/>
              <w:rPr>
                <w:sz w:val="20"/>
                <w:szCs w:val="20"/>
                <w:color w:val="auto"/>
              </w:rPr>
            </w:pPr>
            <w:r>
              <w:rPr>
                <w:rFonts w:ascii="Arial" w:cs="Arial" w:eastAsia="Arial" w:hAnsi="Arial"/>
                <w:sz w:val="10"/>
                <w:szCs w:val="10"/>
                <w:color w:val="auto"/>
              </w:rPr>
              <w:t>100.0%</w:t>
            </w:r>
          </w:p>
        </w:tc>
        <w:tc>
          <w:tcPr>
            <w:tcW w:w="1120" w:type="dxa"/>
            <w:vAlign w:val="bottom"/>
          </w:tcPr>
          <w:p>
            <w:pPr>
              <w:jc w:val="center"/>
              <w:spacing w:after="0"/>
              <w:rPr>
                <w:sz w:val="20"/>
                <w:szCs w:val="20"/>
                <w:color w:val="auto"/>
              </w:rPr>
            </w:pPr>
            <w:r>
              <w:rPr>
                <w:rFonts w:ascii="Arial" w:cs="Arial" w:eastAsia="Arial" w:hAnsi="Arial"/>
                <w:sz w:val="10"/>
                <w:szCs w:val="10"/>
                <w:color w:val="auto"/>
              </w:rPr>
              <w:t>Chicago, IL</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2018</w:t>
            </w:r>
          </w:p>
        </w:tc>
        <w:tc>
          <w:tcPr>
            <w:tcW w:w="1060" w:type="dxa"/>
            <w:vAlign w:val="bottom"/>
          </w:tcPr>
          <w:p>
            <w:pPr>
              <w:jc w:val="right"/>
              <w:ind w:right="109"/>
              <w:spacing w:after="0"/>
              <w:rPr>
                <w:sz w:val="20"/>
                <w:szCs w:val="20"/>
                <w:color w:val="auto"/>
              </w:rPr>
            </w:pPr>
            <w:r>
              <w:rPr>
                <w:rFonts w:ascii="Arial" w:cs="Arial" w:eastAsia="Arial" w:hAnsi="Arial"/>
                <w:sz w:val="10"/>
                <w:szCs w:val="10"/>
                <w:color w:val="auto"/>
              </w:rPr>
              <w:t>30,000</w:t>
            </w:r>
          </w:p>
        </w:tc>
        <w:tc>
          <w:tcPr>
            <w:tcW w:w="800" w:type="dxa"/>
            <w:vAlign w:val="bottom"/>
          </w:tcPr>
          <w:p>
            <w:pPr>
              <w:jc w:val="right"/>
              <w:ind w:right="30"/>
              <w:spacing w:after="0"/>
              <w:rPr>
                <w:sz w:val="20"/>
                <w:szCs w:val="20"/>
                <w:color w:val="auto"/>
              </w:rPr>
            </w:pPr>
            <w:r>
              <w:rPr>
                <w:rFonts w:ascii="Arial" w:cs="Arial" w:eastAsia="Arial" w:hAnsi="Arial"/>
                <w:sz w:val="10"/>
                <w:szCs w:val="10"/>
                <w:color w:val="auto"/>
              </w:rPr>
              <w:t>75%</w:t>
            </w:r>
          </w:p>
        </w:tc>
        <w:tc>
          <w:tcPr>
            <w:tcW w:w="1300" w:type="dxa"/>
            <w:vAlign w:val="bottom"/>
          </w:tcPr>
          <w:p>
            <w:pPr>
              <w:ind w:left="80"/>
              <w:spacing w:after="0"/>
              <w:rPr>
                <w:sz w:val="20"/>
                <w:szCs w:val="20"/>
                <w:color w:val="auto"/>
              </w:rPr>
            </w:pPr>
            <w:r>
              <w:rPr>
                <w:rFonts w:ascii="Arial" w:cs="Arial" w:eastAsia="Arial" w:hAnsi="Arial"/>
                <w:sz w:val="10"/>
                <w:szCs w:val="10"/>
                <w:color w:val="auto"/>
              </w:rPr>
              <w:t>TJ Maxx</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69"/>
              <w:spacing w:after="0"/>
              <w:rPr>
                <w:sz w:val="20"/>
                <w:szCs w:val="20"/>
                <w:color w:val="auto"/>
              </w:rPr>
            </w:pPr>
            <w:r>
              <w:rPr>
                <w:rFonts w:ascii="Arial" w:cs="Arial" w:eastAsia="Arial" w:hAnsi="Arial"/>
                <w:sz w:val="10"/>
                <w:szCs w:val="10"/>
                <w:color w:val="auto"/>
              </w:rPr>
              <w:t>20.9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jc w:val="right"/>
              <w:spacing w:after="0"/>
              <w:rPr>
                <w:sz w:val="20"/>
                <w:szCs w:val="20"/>
                <w:color w:val="auto"/>
              </w:rPr>
            </w:pPr>
            <w:r>
              <w:rPr>
                <w:rFonts w:ascii="Arial" w:cs="Arial" w:eastAsia="Arial" w:hAnsi="Arial"/>
                <w:sz w:val="10"/>
                <w:szCs w:val="10"/>
                <w:color w:val="auto"/>
              </w:rPr>
              <w:t>2.1</w:t>
            </w:r>
          </w:p>
        </w:tc>
        <w:tc>
          <w:tcPr>
            <w:tcW w:w="8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49"/>
              <w:spacing w:after="0"/>
              <w:rPr>
                <w:sz w:val="20"/>
                <w:szCs w:val="20"/>
                <w:color w:val="auto"/>
              </w:rPr>
            </w:pPr>
            <w:r>
              <w:rPr>
                <w:rFonts w:ascii="Arial" w:cs="Arial" w:eastAsia="Arial" w:hAnsi="Arial"/>
                <w:sz w:val="10"/>
                <w:szCs w:val="10"/>
                <w:color w:val="auto"/>
              </w:rPr>
              <w:t>3.6</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23.0</w:t>
            </w: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24.5</w:t>
            </w:r>
          </w:p>
        </w:tc>
        <w:tc>
          <w:tcPr>
            <w:tcW w:w="2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gridSpan w:val="5"/>
          </w:tcPr>
          <w:p>
            <w:pPr>
              <w:spacing w:after="0"/>
              <w:rPr>
                <w:sz w:val="20"/>
                <w:szCs w:val="20"/>
                <w:color w:val="auto"/>
              </w:rPr>
            </w:pPr>
            <w:r>
              <w:rPr>
                <w:rFonts w:ascii="Arial" w:cs="Arial" w:eastAsia="Arial" w:hAnsi="Arial"/>
                <w:sz w:val="10"/>
                <w:szCs w:val="10"/>
                <w:color w:val="auto"/>
              </w:rPr>
              <w:t>56 E Walton Street</w:t>
            </w:r>
          </w:p>
        </w:tc>
        <w:tc>
          <w:tcPr>
            <w:tcW w:w="720" w:type="dxa"/>
            <w:vAlign w:val="bottom"/>
          </w:tcPr>
          <w:p>
            <w:pPr>
              <w:jc w:val="center"/>
              <w:spacing w:after="0"/>
              <w:rPr>
                <w:sz w:val="20"/>
                <w:szCs w:val="20"/>
                <w:color w:val="auto"/>
              </w:rPr>
            </w:pPr>
            <w:r>
              <w:rPr>
                <w:rFonts w:ascii="Arial" w:cs="Arial" w:eastAsia="Arial" w:hAnsi="Arial"/>
                <w:sz w:val="10"/>
                <w:szCs w:val="10"/>
                <w:color w:val="auto"/>
              </w:rPr>
              <w:t>100.0%</w:t>
            </w:r>
          </w:p>
        </w:tc>
        <w:tc>
          <w:tcPr>
            <w:tcW w:w="1120" w:type="dxa"/>
            <w:vAlign w:val="bottom"/>
          </w:tcPr>
          <w:p>
            <w:pPr>
              <w:jc w:val="center"/>
              <w:spacing w:after="0"/>
              <w:rPr>
                <w:sz w:val="20"/>
                <w:szCs w:val="20"/>
                <w:color w:val="auto"/>
              </w:rPr>
            </w:pPr>
            <w:r>
              <w:rPr>
                <w:rFonts w:ascii="Arial" w:cs="Arial" w:eastAsia="Arial" w:hAnsi="Arial"/>
                <w:sz w:val="10"/>
                <w:szCs w:val="10"/>
                <w:color w:val="auto"/>
              </w:rPr>
              <w:t>Chicago, IL</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2018</w:t>
            </w:r>
          </w:p>
        </w:tc>
        <w:tc>
          <w:tcPr>
            <w:tcW w:w="1060" w:type="dxa"/>
            <w:vAlign w:val="bottom"/>
          </w:tcPr>
          <w:p>
            <w:pPr>
              <w:jc w:val="right"/>
              <w:ind w:right="109"/>
              <w:spacing w:after="0"/>
              <w:rPr>
                <w:sz w:val="20"/>
                <w:szCs w:val="20"/>
                <w:color w:val="auto"/>
              </w:rPr>
            </w:pPr>
            <w:r>
              <w:rPr>
                <w:rFonts w:ascii="Arial" w:cs="Arial" w:eastAsia="Arial" w:hAnsi="Arial"/>
                <w:sz w:val="10"/>
                <w:szCs w:val="10"/>
                <w:color w:val="auto"/>
              </w:rPr>
              <w:t>TBD</w:t>
            </w:r>
          </w:p>
        </w:tc>
        <w:tc>
          <w:tcPr>
            <w:tcW w:w="80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1300" w:type="dxa"/>
            <w:vAlign w:val="bottom"/>
          </w:tcPr>
          <w:p>
            <w:pPr>
              <w:ind w:left="80"/>
              <w:spacing w:after="0"/>
              <w:rPr>
                <w:sz w:val="20"/>
                <w:szCs w:val="20"/>
                <w:color w:val="auto"/>
              </w:rPr>
            </w:pPr>
            <w:r>
              <w:rPr>
                <w:rFonts w:ascii="Arial" w:cs="Arial" w:eastAsia="Arial" w:hAnsi="Arial"/>
                <w:sz w:val="10"/>
                <w:szCs w:val="10"/>
                <w:color w:val="auto"/>
              </w:rPr>
              <w:t>TBD</w:t>
            </w:r>
          </w:p>
        </w:tc>
        <w:tc>
          <w:tcPr>
            <w:tcW w:w="120" w:type="dxa"/>
            <w:vAlign w:val="bottom"/>
          </w:tcPr>
          <w:p>
            <w:pPr>
              <w:spacing w:after="0"/>
              <w:rPr>
                <w:sz w:val="19"/>
                <w:szCs w:val="19"/>
                <w:color w:val="auto"/>
              </w:rPr>
            </w:pPr>
          </w:p>
        </w:tc>
        <w:tc>
          <w:tcPr>
            <w:tcW w:w="420" w:type="dxa"/>
            <w:vAlign w:val="bottom"/>
          </w:tcPr>
          <w:p>
            <w:pPr>
              <w:jc w:val="right"/>
              <w:ind w:right="69"/>
              <w:spacing w:after="0"/>
              <w:rPr>
                <w:sz w:val="20"/>
                <w:szCs w:val="20"/>
                <w:color w:val="auto"/>
              </w:rPr>
            </w:pPr>
            <w:r>
              <w:rPr>
                <w:rFonts w:ascii="Arial" w:cs="Arial" w:eastAsia="Arial" w:hAnsi="Arial"/>
                <w:sz w:val="10"/>
                <w:szCs w:val="10"/>
                <w:color w:val="auto"/>
              </w:rPr>
              <w:t>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80" w:type="dxa"/>
            <w:vAlign w:val="bottom"/>
          </w:tcPr>
          <w:p>
            <w:pPr>
              <w:spacing w:after="0"/>
              <w:rPr>
                <w:sz w:val="19"/>
                <w:szCs w:val="19"/>
                <w:color w:val="auto"/>
              </w:rPr>
            </w:pPr>
          </w:p>
        </w:tc>
        <w:tc>
          <w:tcPr>
            <w:tcW w:w="340" w:type="dxa"/>
            <w:vAlign w:val="bottom"/>
          </w:tcPr>
          <w:p>
            <w:pPr>
              <w:jc w:val="right"/>
              <w:ind w:right="49"/>
              <w:spacing w:after="0"/>
              <w:rPr>
                <w:sz w:val="20"/>
                <w:szCs w:val="20"/>
                <w:color w:val="auto"/>
              </w:rPr>
            </w:pPr>
            <w:r>
              <w:rPr>
                <w:rFonts w:ascii="Arial" w:cs="Arial" w:eastAsia="Arial" w:hAnsi="Arial"/>
                <w:sz w:val="10"/>
                <w:szCs w:val="10"/>
                <w:color w:val="auto"/>
              </w:rPr>
              <w:t>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10.5</w:t>
            </w: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100" w:type="dxa"/>
            <w:vAlign w:val="bottom"/>
          </w:tcPr>
          <w:p>
            <w:pPr>
              <w:spacing w:after="0"/>
              <w:rPr>
                <w:sz w:val="19"/>
                <w:szCs w:val="19"/>
                <w:color w:val="auto"/>
              </w:rPr>
            </w:pP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11.5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69"/>
              <w:spacing w:after="0"/>
              <w:rPr>
                <w:sz w:val="20"/>
                <w:szCs w:val="20"/>
                <w:color w:val="auto"/>
              </w:rPr>
            </w:pPr>
            <w:r>
              <w:rPr>
                <w:rFonts w:ascii="Arial" w:cs="Arial" w:eastAsia="Arial" w:hAnsi="Arial"/>
                <w:sz w:val="10"/>
                <w:szCs w:val="10"/>
                <w:color w:val="auto"/>
              </w:rPr>
              <w:t>30.1</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jc w:val="right"/>
              <w:spacing w:after="0"/>
              <w:rPr>
                <w:sz w:val="20"/>
                <w:szCs w:val="20"/>
                <w:color w:val="auto"/>
              </w:rPr>
            </w:pPr>
            <w:r>
              <w:rPr>
                <w:rFonts w:ascii="Arial" w:cs="Arial" w:eastAsia="Arial" w:hAnsi="Arial"/>
                <w:sz w:val="10"/>
                <w:szCs w:val="10"/>
                <w:color w:val="auto"/>
              </w:rPr>
              <w:t>3.4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49"/>
              <w:spacing w:after="0"/>
              <w:rPr>
                <w:sz w:val="20"/>
                <w:szCs w:val="20"/>
                <w:color w:val="auto"/>
              </w:rPr>
            </w:pPr>
            <w:r>
              <w:rPr>
                <w:rFonts w:ascii="Arial" w:cs="Arial" w:eastAsia="Arial" w:hAnsi="Arial"/>
                <w:sz w:val="10"/>
                <w:szCs w:val="10"/>
                <w:color w:val="auto"/>
              </w:rPr>
              <w:t>5.9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33.5</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36.0</w:t>
            </w:r>
          </w:p>
        </w:tc>
        <w:tc>
          <w:tcPr>
            <w:tcW w:w="22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0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Redevelopment:</w:t>
            </w:r>
          </w:p>
        </w:tc>
        <w:tc>
          <w:tcPr>
            <w:tcW w:w="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gridSpan w:val="5"/>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0" w:type="dxa"/>
            <w:vAlign w:val="bottom"/>
            <w:vMerge w:val="continue"/>
          </w:tcPr>
          <w:p>
            <w:pPr>
              <w:spacing w:after="0"/>
              <w:rPr>
                <w:sz w:val="6"/>
                <w:szCs w:val="6"/>
                <w:color w:val="auto"/>
              </w:rPr>
            </w:pPr>
          </w:p>
        </w:tc>
        <w:tc>
          <w:tcPr>
            <w:tcW w:w="1200" w:type="dxa"/>
            <w:vAlign w:val="bottom"/>
            <w:gridSpan w:val="5"/>
            <w:vMerge w:val="continue"/>
          </w:tcPr>
          <w:p>
            <w:pPr>
              <w:spacing w:after="0"/>
              <w:rPr>
                <w:sz w:val="6"/>
                <w:szCs w:val="6"/>
                <w:color w:val="auto"/>
              </w:rPr>
            </w:pPr>
          </w:p>
        </w:tc>
        <w:tc>
          <w:tcPr>
            <w:tcW w:w="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96"/>
              </w:rPr>
              <w:t>CORE</w:t>
            </w:r>
          </w:p>
        </w:tc>
        <w:tc>
          <w:tcPr>
            <w:tcW w:w="480" w:type="dxa"/>
            <w:vAlign w:val="bottom"/>
            <w:tcBorders>
              <w:top w:val="single" w:sz="8" w:color="auto"/>
            </w:tcBorders>
            <w:gridSpan w:val="3"/>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0"/>
                <w:szCs w:val="10"/>
                <w:color w:val="auto"/>
              </w:rPr>
              <w:t>City Center</w:t>
            </w:r>
          </w:p>
        </w:tc>
        <w:tc>
          <w:tcPr>
            <w:tcW w:w="720" w:type="dxa"/>
            <w:vAlign w:val="bottom"/>
          </w:tcPr>
          <w:p>
            <w:pPr>
              <w:jc w:val="center"/>
              <w:spacing w:after="0"/>
              <w:rPr>
                <w:sz w:val="20"/>
                <w:szCs w:val="20"/>
                <w:color w:val="auto"/>
              </w:rPr>
            </w:pPr>
            <w:r>
              <w:rPr>
                <w:rFonts w:ascii="Arial" w:cs="Arial" w:eastAsia="Arial" w:hAnsi="Arial"/>
                <w:sz w:val="10"/>
                <w:szCs w:val="10"/>
                <w:color w:val="auto"/>
              </w:rPr>
              <w:t>100.0%</w:t>
            </w:r>
          </w:p>
        </w:tc>
        <w:tc>
          <w:tcPr>
            <w:tcW w:w="1120" w:type="dxa"/>
            <w:vAlign w:val="bottom"/>
          </w:tcPr>
          <w:p>
            <w:pPr>
              <w:jc w:val="center"/>
              <w:spacing w:after="0"/>
              <w:rPr>
                <w:sz w:val="20"/>
                <w:szCs w:val="20"/>
                <w:color w:val="auto"/>
              </w:rPr>
            </w:pPr>
            <w:r>
              <w:rPr>
                <w:rFonts w:ascii="Arial" w:cs="Arial" w:eastAsia="Arial" w:hAnsi="Arial"/>
                <w:sz w:val="10"/>
                <w:szCs w:val="10"/>
                <w:color w:val="auto"/>
              </w:rPr>
              <w:t>San Francisco, CA</w:t>
            </w:r>
          </w:p>
        </w:tc>
        <w:tc>
          <w:tcPr>
            <w:tcW w:w="920" w:type="dxa"/>
            <w:vAlign w:val="bottom"/>
          </w:tcPr>
          <w:p>
            <w:pPr>
              <w:jc w:val="center"/>
              <w:spacing w:after="0"/>
              <w:rPr>
                <w:sz w:val="20"/>
                <w:szCs w:val="20"/>
                <w:color w:val="auto"/>
              </w:rPr>
            </w:pPr>
            <w:r>
              <w:rPr>
                <w:rFonts w:ascii="Arial" w:cs="Arial" w:eastAsia="Arial" w:hAnsi="Arial"/>
                <w:sz w:val="10"/>
                <w:szCs w:val="10"/>
                <w:color w:val="auto"/>
                <w:w w:val="98"/>
              </w:rPr>
              <w:t>2019</w:t>
            </w:r>
          </w:p>
        </w:tc>
        <w:tc>
          <w:tcPr>
            <w:tcW w:w="1060" w:type="dxa"/>
            <w:vAlign w:val="bottom"/>
          </w:tcPr>
          <w:p>
            <w:pPr>
              <w:jc w:val="right"/>
              <w:ind w:right="109"/>
              <w:spacing w:after="0"/>
              <w:rPr>
                <w:sz w:val="20"/>
                <w:szCs w:val="20"/>
                <w:color w:val="auto"/>
              </w:rPr>
            </w:pPr>
            <w:r>
              <w:rPr>
                <w:rFonts w:ascii="Arial" w:cs="Arial" w:eastAsia="Arial" w:hAnsi="Arial"/>
                <w:sz w:val="10"/>
                <w:szCs w:val="10"/>
                <w:color w:val="auto"/>
              </w:rPr>
              <w:t>241,000</w:t>
            </w:r>
          </w:p>
        </w:tc>
        <w:tc>
          <w:tcPr>
            <w:tcW w:w="800" w:type="dxa"/>
            <w:vAlign w:val="bottom"/>
          </w:tcPr>
          <w:p>
            <w:pPr>
              <w:jc w:val="right"/>
              <w:ind w:right="30"/>
              <w:spacing w:after="0"/>
              <w:rPr>
                <w:sz w:val="20"/>
                <w:szCs w:val="20"/>
                <w:color w:val="auto"/>
              </w:rPr>
            </w:pPr>
            <w:r>
              <w:rPr>
                <w:rFonts w:ascii="Arial" w:cs="Arial" w:eastAsia="Arial" w:hAnsi="Arial"/>
                <w:sz w:val="10"/>
                <w:szCs w:val="10"/>
                <w:color w:val="auto"/>
              </w:rPr>
              <w:t>60%</w:t>
            </w:r>
          </w:p>
        </w:tc>
        <w:tc>
          <w:tcPr>
            <w:tcW w:w="1300" w:type="dxa"/>
            <w:vAlign w:val="bottom"/>
          </w:tcPr>
          <w:p>
            <w:pPr>
              <w:ind w:left="80"/>
              <w:spacing w:after="0"/>
              <w:rPr>
                <w:sz w:val="20"/>
                <w:szCs w:val="20"/>
                <w:color w:val="auto"/>
              </w:rPr>
            </w:pPr>
            <w:r>
              <w:rPr>
                <w:rFonts w:ascii="Arial" w:cs="Arial" w:eastAsia="Arial" w:hAnsi="Arial"/>
                <w:sz w:val="10"/>
                <w:szCs w:val="10"/>
                <w:color w:val="auto"/>
              </w:rPr>
              <w:t>Target, Best Buy</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69"/>
              <w:spacing w:after="0"/>
              <w:rPr>
                <w:sz w:val="20"/>
                <w:szCs w:val="20"/>
                <w:color w:val="auto"/>
              </w:rPr>
            </w:pPr>
            <w:r>
              <w:rPr>
                <w:rFonts w:ascii="Arial" w:cs="Arial" w:eastAsia="Arial" w:hAnsi="Arial"/>
                <w:sz w:val="10"/>
                <w:szCs w:val="10"/>
                <w:color w:val="auto"/>
              </w:rPr>
              <w:t>159.0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jc w:val="right"/>
              <w:spacing w:after="0"/>
              <w:rPr>
                <w:sz w:val="20"/>
                <w:szCs w:val="20"/>
                <w:color w:val="auto"/>
              </w:rPr>
            </w:pPr>
            <w:r>
              <w:rPr>
                <w:rFonts w:ascii="Arial" w:cs="Arial" w:eastAsia="Arial" w:hAnsi="Arial"/>
                <w:sz w:val="10"/>
                <w:szCs w:val="10"/>
                <w:color w:val="auto"/>
              </w:rPr>
              <w:t>31.0</w:t>
            </w:r>
          </w:p>
        </w:tc>
        <w:tc>
          <w:tcPr>
            <w:tcW w:w="8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49"/>
              <w:spacing w:after="0"/>
              <w:rPr>
                <w:sz w:val="20"/>
                <w:szCs w:val="20"/>
                <w:color w:val="auto"/>
              </w:rPr>
            </w:pPr>
            <w:r>
              <w:rPr>
                <w:rFonts w:ascii="Arial" w:cs="Arial" w:eastAsia="Arial" w:hAnsi="Arial"/>
                <w:sz w:val="10"/>
                <w:szCs w:val="10"/>
                <w:color w:val="auto"/>
              </w:rPr>
              <w:t>41.0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190.0</w:t>
            </w: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200.0</w:t>
            </w:r>
          </w:p>
        </w:tc>
        <w:tc>
          <w:tcPr>
            <w:tcW w:w="2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gridSpan w:val="5"/>
          </w:tcPr>
          <w:p>
            <w:pPr>
              <w:spacing w:after="0"/>
              <w:rPr>
                <w:sz w:val="20"/>
                <w:szCs w:val="20"/>
                <w:color w:val="auto"/>
              </w:rPr>
            </w:pPr>
            <w:r>
              <w:rPr>
                <w:rFonts w:ascii="Arial" w:cs="Arial" w:eastAsia="Arial" w:hAnsi="Arial"/>
                <w:sz w:val="10"/>
                <w:szCs w:val="10"/>
                <w:color w:val="auto"/>
              </w:rPr>
              <w:t>Mad River</w:t>
            </w:r>
          </w:p>
        </w:tc>
        <w:tc>
          <w:tcPr>
            <w:tcW w:w="720" w:type="dxa"/>
            <w:vAlign w:val="bottom"/>
          </w:tcPr>
          <w:p>
            <w:pPr>
              <w:jc w:val="center"/>
              <w:spacing w:after="0"/>
              <w:rPr>
                <w:sz w:val="20"/>
                <w:szCs w:val="20"/>
                <w:color w:val="auto"/>
              </w:rPr>
            </w:pPr>
            <w:r>
              <w:rPr>
                <w:rFonts w:ascii="Arial" w:cs="Arial" w:eastAsia="Arial" w:hAnsi="Arial"/>
                <w:sz w:val="10"/>
                <w:szCs w:val="10"/>
                <w:color w:val="auto"/>
              </w:rPr>
              <w:t>100.0%</w:t>
            </w:r>
          </w:p>
        </w:tc>
        <w:tc>
          <w:tcPr>
            <w:tcW w:w="1120" w:type="dxa"/>
            <w:vAlign w:val="bottom"/>
          </w:tcPr>
          <w:p>
            <w:pPr>
              <w:jc w:val="center"/>
              <w:spacing w:after="0"/>
              <w:rPr>
                <w:sz w:val="20"/>
                <w:szCs w:val="20"/>
                <w:color w:val="auto"/>
              </w:rPr>
            </w:pPr>
            <w:r>
              <w:rPr>
                <w:rFonts w:ascii="Arial" w:cs="Arial" w:eastAsia="Arial" w:hAnsi="Arial"/>
                <w:sz w:val="10"/>
                <w:szCs w:val="10"/>
                <w:color w:val="auto"/>
              </w:rPr>
              <w:t>Dayton, OH</w:t>
            </w:r>
          </w:p>
        </w:tc>
        <w:tc>
          <w:tcPr>
            <w:tcW w:w="920" w:type="dxa"/>
            <w:vAlign w:val="bottom"/>
          </w:tcPr>
          <w:p>
            <w:pPr>
              <w:jc w:val="center"/>
              <w:spacing w:after="0"/>
              <w:rPr>
                <w:sz w:val="20"/>
                <w:szCs w:val="20"/>
                <w:color w:val="auto"/>
              </w:rPr>
            </w:pPr>
            <w:r>
              <w:rPr>
                <w:rFonts w:ascii="Arial" w:cs="Arial" w:eastAsia="Arial" w:hAnsi="Arial"/>
                <w:sz w:val="10"/>
                <w:szCs w:val="10"/>
                <w:color w:val="auto"/>
              </w:rPr>
              <w:t>TBD</w:t>
            </w:r>
          </w:p>
        </w:tc>
        <w:tc>
          <w:tcPr>
            <w:tcW w:w="1060" w:type="dxa"/>
            <w:vAlign w:val="bottom"/>
          </w:tcPr>
          <w:p>
            <w:pPr>
              <w:jc w:val="right"/>
              <w:ind w:right="109"/>
              <w:spacing w:after="0"/>
              <w:rPr>
                <w:sz w:val="20"/>
                <w:szCs w:val="20"/>
                <w:color w:val="auto"/>
              </w:rPr>
            </w:pPr>
            <w:r>
              <w:rPr>
                <w:rFonts w:ascii="Arial" w:cs="Arial" w:eastAsia="Arial" w:hAnsi="Arial"/>
                <w:sz w:val="10"/>
                <w:szCs w:val="10"/>
                <w:color w:val="auto"/>
              </w:rPr>
              <w:t>TBD</w:t>
            </w:r>
          </w:p>
        </w:tc>
        <w:tc>
          <w:tcPr>
            <w:tcW w:w="800" w:type="dxa"/>
            <w:vAlign w:val="bottom"/>
          </w:tcPr>
          <w:p>
            <w:pPr>
              <w:jc w:val="right"/>
              <w:ind w:right="30"/>
              <w:spacing w:after="0"/>
              <w:rPr>
                <w:sz w:val="20"/>
                <w:szCs w:val="20"/>
                <w:color w:val="auto"/>
              </w:rPr>
            </w:pPr>
            <w:r>
              <w:rPr>
                <w:rFonts w:ascii="Arial" w:cs="Arial" w:eastAsia="Arial" w:hAnsi="Arial"/>
                <w:sz w:val="10"/>
                <w:szCs w:val="10"/>
                <w:color w:val="auto"/>
              </w:rPr>
              <w:t>50%</w:t>
            </w:r>
          </w:p>
        </w:tc>
        <w:tc>
          <w:tcPr>
            <w:tcW w:w="1300" w:type="dxa"/>
            <w:vAlign w:val="bottom"/>
          </w:tcPr>
          <w:p>
            <w:pPr>
              <w:ind w:left="80"/>
              <w:spacing w:after="0"/>
              <w:rPr>
                <w:sz w:val="20"/>
                <w:szCs w:val="20"/>
                <w:color w:val="auto"/>
              </w:rPr>
            </w:pPr>
            <w:r>
              <w:rPr>
                <w:rFonts w:ascii="Arial" w:cs="Arial" w:eastAsia="Arial" w:hAnsi="Arial"/>
                <w:sz w:val="10"/>
                <w:szCs w:val="10"/>
                <w:color w:val="auto"/>
              </w:rPr>
              <w:t>TBD</w:t>
            </w:r>
          </w:p>
        </w:tc>
        <w:tc>
          <w:tcPr>
            <w:tcW w:w="120" w:type="dxa"/>
            <w:vAlign w:val="bottom"/>
          </w:tcPr>
          <w:p>
            <w:pPr>
              <w:spacing w:after="0"/>
              <w:rPr>
                <w:sz w:val="19"/>
                <w:szCs w:val="19"/>
                <w:color w:val="auto"/>
              </w:rPr>
            </w:pPr>
          </w:p>
        </w:tc>
        <w:tc>
          <w:tcPr>
            <w:tcW w:w="640" w:type="dxa"/>
            <w:vAlign w:val="bottom"/>
            <w:gridSpan w:val="2"/>
          </w:tcPr>
          <w:p>
            <w:pPr>
              <w:jc w:val="center"/>
              <w:ind w:right="360"/>
              <w:spacing w:after="0"/>
              <w:rPr>
                <w:sz w:val="20"/>
                <w:szCs w:val="20"/>
                <w:color w:val="auto"/>
              </w:rPr>
            </w:pPr>
            <w:r>
              <w:rPr>
                <w:rFonts w:ascii="Arial" w:cs="Arial" w:eastAsia="Arial" w:hAnsi="Arial"/>
                <w:sz w:val="10"/>
                <w:szCs w:val="10"/>
                <w:color w:val="auto"/>
                <w:w w:val="99"/>
              </w:rPr>
              <w:t>TBD</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w w:val="99"/>
              </w:rPr>
              <w:t>TBD</w:t>
            </w:r>
          </w:p>
        </w:tc>
        <w:tc>
          <w:tcPr>
            <w:tcW w:w="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80" w:type="dxa"/>
            <w:vAlign w:val="bottom"/>
          </w:tcPr>
          <w:p>
            <w:pPr>
              <w:spacing w:after="0"/>
              <w:rPr>
                <w:sz w:val="19"/>
                <w:szCs w:val="19"/>
                <w:color w:val="auto"/>
              </w:rPr>
            </w:pPr>
          </w:p>
        </w:tc>
        <w:tc>
          <w:tcPr>
            <w:tcW w:w="560" w:type="dxa"/>
            <w:vAlign w:val="bottom"/>
            <w:gridSpan w:val="2"/>
          </w:tcPr>
          <w:p>
            <w:pPr>
              <w:jc w:val="center"/>
              <w:ind w:right="300"/>
              <w:spacing w:after="0"/>
              <w:rPr>
                <w:sz w:val="20"/>
                <w:szCs w:val="20"/>
                <w:color w:val="auto"/>
              </w:rPr>
            </w:pPr>
            <w:r>
              <w:rPr>
                <w:rFonts w:ascii="Arial" w:cs="Arial" w:eastAsia="Arial" w:hAnsi="Arial"/>
                <w:sz w:val="10"/>
                <w:szCs w:val="10"/>
                <w:color w:val="auto"/>
              </w:rPr>
              <w:t>TBD</w:t>
            </w:r>
          </w:p>
        </w:tc>
        <w:tc>
          <w:tcPr>
            <w:tcW w:w="100" w:type="dxa"/>
            <w:vAlign w:val="bottom"/>
          </w:tcPr>
          <w:p>
            <w:pPr>
              <w:spacing w:after="0"/>
              <w:rPr>
                <w:sz w:val="19"/>
                <w:szCs w:val="19"/>
                <w:color w:val="auto"/>
              </w:rPr>
            </w:pPr>
          </w:p>
        </w:tc>
        <w:tc>
          <w:tcPr>
            <w:tcW w:w="380" w:type="dxa"/>
            <w:vAlign w:val="bottom"/>
          </w:tcPr>
          <w:p>
            <w:pPr>
              <w:jc w:val="right"/>
              <w:ind w:right="69"/>
              <w:spacing w:after="0"/>
              <w:rPr>
                <w:sz w:val="20"/>
                <w:szCs w:val="20"/>
                <w:color w:val="auto"/>
              </w:rPr>
            </w:pPr>
            <w:r>
              <w:rPr>
                <w:rFonts w:ascii="Arial" w:cs="Arial" w:eastAsia="Arial" w:hAnsi="Arial"/>
                <w:sz w:val="10"/>
                <w:szCs w:val="10"/>
                <w:color w:val="auto"/>
              </w:rPr>
              <w:t>TBD</w:t>
            </w:r>
          </w:p>
        </w:tc>
        <w:tc>
          <w:tcPr>
            <w:tcW w:w="220" w:type="dxa"/>
            <w:vAlign w:val="bottom"/>
          </w:tcPr>
          <w:p>
            <w:pPr>
              <w:jc w:val="center"/>
              <w:spacing w:after="0"/>
              <w:rPr>
                <w:sz w:val="20"/>
                <w:szCs w:val="20"/>
                <w:color w:val="auto"/>
              </w:rPr>
            </w:pPr>
            <w:r>
              <w:rPr>
                <w:rFonts w:ascii="Arial" w:cs="Arial" w:eastAsia="Arial" w:hAnsi="Arial"/>
                <w:sz w:val="10"/>
                <w:szCs w:val="10"/>
                <w:color w:val="auto"/>
                <w:w w:val="95"/>
              </w:rPr>
              <w:t>to</w:t>
            </w:r>
          </w:p>
        </w:tc>
        <w:tc>
          <w:tcPr>
            <w:tcW w:w="100" w:type="dxa"/>
            <w:vAlign w:val="bottom"/>
          </w:tcPr>
          <w:p>
            <w:pPr>
              <w:spacing w:after="0"/>
              <w:rPr>
                <w:sz w:val="19"/>
                <w:szCs w:val="19"/>
                <w:color w:val="auto"/>
              </w:rPr>
            </w:pPr>
          </w:p>
        </w:tc>
        <w:tc>
          <w:tcPr>
            <w:tcW w:w="600" w:type="dxa"/>
            <w:vAlign w:val="bottom"/>
            <w:gridSpan w:val="2"/>
          </w:tcPr>
          <w:p>
            <w:pPr>
              <w:ind w:left="40"/>
              <w:spacing w:after="0"/>
              <w:rPr>
                <w:sz w:val="20"/>
                <w:szCs w:val="20"/>
                <w:color w:val="auto"/>
              </w:rPr>
            </w:pPr>
            <w:r>
              <w:rPr>
                <w:rFonts w:ascii="Arial" w:cs="Arial" w:eastAsia="Arial" w:hAnsi="Arial"/>
                <w:sz w:val="10"/>
                <w:szCs w:val="10"/>
                <w:color w:val="auto"/>
              </w:rPr>
              <w:t>TBD</w:t>
            </w:r>
          </w:p>
        </w:tc>
        <w:tc>
          <w:tcPr>
            <w:tcW w:w="160" w:type="dxa"/>
            <w:vAlign w:val="bottom"/>
          </w:tcPr>
          <w:p>
            <w:pPr>
              <w:spacing w:after="0"/>
              <w:rPr>
                <w:sz w:val="19"/>
                <w:szCs w:val="19"/>
                <w:color w:val="auto"/>
              </w:rPr>
            </w:pPr>
          </w:p>
        </w:tc>
        <w:tc>
          <w:tcPr>
            <w:tcW w:w="520" w:type="dxa"/>
            <w:vAlign w:val="bottom"/>
          </w:tcPr>
          <w:p>
            <w:pPr>
              <w:jc w:val="right"/>
              <w:ind w:right="189"/>
              <w:spacing w:after="0"/>
              <w:rPr>
                <w:sz w:val="20"/>
                <w:szCs w:val="20"/>
                <w:color w:val="auto"/>
              </w:rPr>
            </w:pPr>
            <w:r>
              <w:rPr>
                <w:rFonts w:ascii="Arial" w:cs="Arial" w:eastAsia="Arial" w:hAnsi="Arial"/>
                <w:sz w:val="10"/>
                <w:szCs w:val="10"/>
                <w:color w:val="auto"/>
              </w:rPr>
              <w:t>TBD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69"/>
              <w:spacing w:after="0"/>
              <w:rPr>
                <w:sz w:val="20"/>
                <w:szCs w:val="20"/>
                <w:color w:val="auto"/>
              </w:rPr>
            </w:pPr>
            <w:r>
              <w:rPr>
                <w:rFonts w:ascii="Arial" w:cs="Arial" w:eastAsia="Arial" w:hAnsi="Arial"/>
                <w:sz w:val="10"/>
                <w:szCs w:val="10"/>
                <w:color w:val="auto"/>
              </w:rPr>
              <w:t>159.0</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jc w:val="right"/>
              <w:spacing w:after="0"/>
              <w:rPr>
                <w:sz w:val="20"/>
                <w:szCs w:val="20"/>
                <w:color w:val="auto"/>
              </w:rPr>
            </w:pPr>
            <w:r>
              <w:rPr>
                <w:rFonts w:ascii="Arial" w:cs="Arial" w:eastAsia="Arial" w:hAnsi="Arial"/>
                <w:sz w:val="10"/>
                <w:szCs w:val="10"/>
                <w:color w:val="auto"/>
              </w:rPr>
              <w:t>31.0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49"/>
              <w:spacing w:after="0"/>
              <w:rPr>
                <w:sz w:val="20"/>
                <w:szCs w:val="20"/>
                <w:color w:val="auto"/>
              </w:rPr>
            </w:pPr>
            <w:r>
              <w:rPr>
                <w:rFonts w:ascii="Arial" w:cs="Arial" w:eastAsia="Arial" w:hAnsi="Arial"/>
                <w:sz w:val="10"/>
                <w:szCs w:val="10"/>
                <w:color w:val="auto"/>
              </w:rPr>
              <w:t>41.0</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190.0</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200.0</w:t>
            </w:r>
          </w:p>
        </w:tc>
        <w:tc>
          <w:tcPr>
            <w:tcW w:w="22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_________</w:t>
      </w:r>
    </w:p>
    <w:p>
      <w:pPr>
        <w:spacing w:after="0" w:line="148" w:lineRule="exact"/>
        <w:rPr>
          <w:sz w:val="20"/>
          <w:szCs w:val="20"/>
          <w:color w:val="auto"/>
        </w:rPr>
      </w:pPr>
    </w:p>
    <w:p>
      <w:pPr>
        <w:ind w:left="540" w:hanging="270"/>
        <w:spacing w:after="0"/>
        <w:tabs>
          <w:tab w:leader="none" w:pos="5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Projected development cost is shown net of reimbursement for public improvements.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2920" w:type="dxa"/>
            <w:vAlign w:val="bottom"/>
          </w:tcPr>
          <w:p>
            <w:pPr>
              <w:spacing w:after="0"/>
              <w:rPr>
                <w:sz w:val="20"/>
                <w:szCs w:val="20"/>
                <w:color w:val="auto"/>
              </w:rPr>
            </w:pPr>
            <w:r>
              <w:rPr>
                <w:rFonts w:ascii="Arial" w:cs="Arial" w:eastAsia="Arial" w:hAnsi="Arial"/>
                <w:sz w:val="10"/>
                <w:szCs w:val="10"/>
                <w:color w:val="auto"/>
              </w:rPr>
              <w:t>Reconciles to Consolidated Balance Sheet as follows:</w:t>
            </w: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317"/>
        </w:trPr>
        <w:tc>
          <w:tcPr>
            <w:tcW w:w="2920" w:type="dxa"/>
            <w:vAlign w:val="bottom"/>
          </w:tcPr>
          <w:p>
            <w:pPr>
              <w:spacing w:after="0"/>
              <w:rPr>
                <w:sz w:val="20"/>
                <w:szCs w:val="20"/>
                <w:color w:val="auto"/>
              </w:rPr>
            </w:pPr>
            <w:r>
              <w:rPr>
                <w:rFonts w:ascii="Arial" w:cs="Arial" w:eastAsia="Arial" w:hAnsi="Arial"/>
                <w:sz w:val="10"/>
                <w:szCs w:val="10"/>
                <w:color w:val="auto"/>
              </w:rPr>
              <w:t>Development costs above</w:t>
            </w:r>
          </w:p>
        </w:tc>
        <w:tc>
          <w:tcPr>
            <w:tcW w:w="620" w:type="dxa"/>
            <w:vAlign w:val="bottom"/>
          </w:tcPr>
          <w:p>
            <w:pPr>
              <w:jc w:val="right"/>
              <w:ind w:right="489"/>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9"/>
              <w:spacing w:after="0"/>
              <w:rPr>
                <w:sz w:val="20"/>
                <w:szCs w:val="20"/>
                <w:color w:val="auto"/>
              </w:rPr>
            </w:pPr>
            <w:r>
              <w:rPr>
                <w:rFonts w:ascii="Arial" w:cs="Arial" w:eastAsia="Arial" w:hAnsi="Arial"/>
                <w:sz w:val="10"/>
                <w:szCs w:val="10"/>
                <w:color w:val="auto"/>
              </w:rPr>
              <w:t>234.5</w:t>
            </w:r>
          </w:p>
        </w:tc>
      </w:tr>
      <w:tr>
        <w:trPr>
          <w:trHeight w:val="426"/>
        </w:trPr>
        <w:tc>
          <w:tcPr>
            <w:tcW w:w="2920" w:type="dxa"/>
            <w:vAlign w:val="bottom"/>
          </w:tcPr>
          <w:p>
            <w:pPr>
              <w:ind w:left="160"/>
              <w:spacing w:after="0"/>
              <w:rPr>
                <w:sz w:val="20"/>
                <w:szCs w:val="20"/>
                <w:color w:val="auto"/>
              </w:rPr>
            </w:pPr>
            <w:r>
              <w:rPr>
                <w:rFonts w:ascii="Arial" w:cs="Arial" w:eastAsia="Arial" w:hAnsi="Arial"/>
                <w:sz w:val="10"/>
                <w:szCs w:val="10"/>
                <w:color w:val="auto"/>
              </w:rPr>
              <w:t>Development costs of unconsolidated properties</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(33.9)</w:t>
            </w:r>
          </w:p>
        </w:tc>
      </w:tr>
      <w:tr>
        <w:trPr>
          <w:trHeight w:val="153"/>
        </w:trPr>
        <w:tc>
          <w:tcPr>
            <w:tcW w:w="2920" w:type="dxa"/>
            <w:vAlign w:val="bottom"/>
          </w:tcPr>
          <w:p>
            <w:pPr>
              <w:ind w:left="160"/>
              <w:spacing w:after="0"/>
              <w:rPr>
                <w:sz w:val="20"/>
                <w:szCs w:val="20"/>
                <w:color w:val="auto"/>
              </w:rPr>
            </w:pPr>
            <w:r>
              <w:rPr>
                <w:rFonts w:ascii="Arial" w:cs="Arial" w:eastAsia="Arial" w:hAnsi="Arial"/>
                <w:sz w:val="10"/>
                <w:szCs w:val="10"/>
                <w:color w:val="auto"/>
              </w:rPr>
              <w:t>Deferred costs and other amounts</w:t>
            </w: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(18.2)</w:t>
            </w:r>
          </w:p>
        </w:tc>
      </w:tr>
      <w:tr>
        <w:trPr>
          <w:trHeight w:val="112"/>
        </w:trPr>
        <w:tc>
          <w:tcPr>
            <w:tcW w:w="29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r>
        <w:trPr>
          <w:trHeight w:val="164"/>
        </w:trPr>
        <w:tc>
          <w:tcPr>
            <w:tcW w:w="2920" w:type="dxa"/>
            <w:vAlign w:val="bottom"/>
          </w:tcPr>
          <w:p>
            <w:pPr>
              <w:spacing w:after="0"/>
              <w:rPr>
                <w:sz w:val="20"/>
                <w:szCs w:val="20"/>
                <w:color w:val="auto"/>
              </w:rPr>
            </w:pPr>
            <w:r>
              <w:rPr>
                <w:rFonts w:ascii="Arial" w:cs="Arial" w:eastAsia="Arial" w:hAnsi="Arial"/>
                <w:sz w:val="10"/>
                <w:szCs w:val="10"/>
                <w:color w:val="auto"/>
              </w:rPr>
              <w:t>Total per consolidated balance sheet</w:t>
            </w:r>
          </w:p>
        </w:tc>
        <w:tc>
          <w:tcPr>
            <w:tcW w:w="620" w:type="dxa"/>
            <w:vAlign w:val="bottom"/>
            <w:tcBorders>
              <w:bottom w:val="single" w:sz="8" w:color="auto"/>
            </w:tcBorders>
          </w:tcPr>
          <w:p>
            <w:pPr>
              <w:jc w:val="right"/>
              <w:ind w:right="489"/>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182.4</w:t>
            </w:r>
          </w:p>
        </w:tc>
      </w:tr>
      <w:tr>
        <w:trPr>
          <w:trHeight w:val="20"/>
        </w:trPr>
        <w:tc>
          <w:tcPr>
            <w:tcW w:w="2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36</w:t>
            </w:r>
          </w:p>
        </w:tc>
      </w:tr>
    </w:tbl>
    <w:p>
      <w:pPr>
        <w:sectPr>
          <w:pgSz w:w="11900" w:h="16838" w:orient="portrait"/>
          <w:cols w:equalWidth="0" w:num="1">
            <w:col w:w="11380"/>
          </w:cols>
          <w:pgMar w:left="220" w:top="617" w:right="299" w:bottom="1440" w:gutter="0" w:footer="0" w:header="0"/>
        </w:sectPr>
      </w:pPr>
    </w:p>
    <w:bookmarkStart w:id="48" w:name="page49"/>
    <w:bookmarkEnd w:id="48"/>
    <w:p>
      <w:pPr>
        <w:ind w:left="40"/>
        <w:spacing w:after="0"/>
        <w:rPr>
          <w:sz w:val="20"/>
          <w:szCs w:val="20"/>
          <w:color w:val="auto"/>
        </w:rPr>
      </w:pPr>
      <w:r>
        <w:rPr>
          <w:rFonts w:ascii="Arial" w:cs="Arial" w:eastAsia="Arial" w:hAnsi="Arial"/>
          <w:sz w:val="20"/>
          <w:szCs w:val="20"/>
          <w:b w:val="1"/>
          <w:bCs w:val="1"/>
          <w:color w:val="auto"/>
        </w:rPr>
        <w:t>Important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36195</wp:posOffset>
            </wp:positionV>
            <wp:extent cx="725868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685" cy="698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Certain statements contained in this supplemental disclosure may contain forward-looking statements within the meaning of Section 27A of the Securities Act of 1933 and Section 21E of the Securities and Exchange Act of 1934 and as such may involve known and unknown risks, uncertainties and other factors which may cause the Company’s actual results, performance or achievements to be materially different from future results, performance or achievements expressed or implied by such forward-looking statements. Forward-looking statements, which are based on certain assumptions and describe the Company’s future plans, strategies and expectations are generally identifiable by use of the words “may,” “will,” “should,” “expect,” “anticipate,” “estimate,” “believe,” “intend” or “project” or the negative thereof or other variations thereon or comparable terminology. Factors which could have a material adverse effect on the operations and future prospects of the Company include, but are not limited to those set forth under the heading “Risk Factors” in the Company’s Annual Report on Form 10-K. These risks and uncertainties should be considered in evaluating any forward-looking statements contained or incorporated by reference herein.</w:t>
      </w: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FUNDS FROM OPERATIONS AS NON-GAAP FINANCIAL MEASURE</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Company considers funds from operations (“FFO”) as defined by the National Association of Real Estate Investment Trusts (“NAREIT”) to be an appropriate supplemental disclosure of operating performance for an equity REIT due to its widespread acceptance and use within the REIT and analyst communities. FFO is presented to assist investors in analyzing the performance of the Company. It is helpful as it excludes various items included in net income that are not indicative of the operating performance, such as gains (or losses) from sales of property and depreciation and amortization. However, the Company’s method of calculating FFO may be different from methods used by other REITs and, accordingly, may not be comparable to such other REITs. FFO does not represent cash generated from operations as defined by generally accepted accounting principles (“GAAP”) and is not indicative of cash available to fund all cash needs, including distributions. It should not be considered as an alternative to net income for the purpose of evaluating the Company’s performance or to cash flows as a measure of liquidity. Consistent with the NAREIT definition, the Company defines FFO as net income (computed in accordance with GAAP), excluding gains (or losses) from sales of depreciated property, plus depreciation and amortization, and after adjustments for unconsolidated partnerships and joint ventures. The Company believes that income or gains derived from its RCP investments, including its investment in Albertson’s, are private-equity investments and, as such, should be treated as operating income and therefore FFO. The Company believes that this supplemental adjustment more appropriately reflects the results of its operations. The Company also provides one other supplemental disclosure of operating performance, adjusted funds from operations (“AFFO”). The Company defines AFFO as FFO adjusted for straight line rent, non-real estate depreciation, amortization of finance costs and costs of management contracts, tenant improvements, leasing commissions and capital expenditures.</w:t>
      </w: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NON-GAAP FINANCIAL MEASURES</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Non-GAAP financial measures such as EBITDA, NOI, Same-Property NOI and lease spreads are widely used financial measures in many industries, including the REIT industry, and are presented to assist investors and analysts in analyzing the performance of the Company. They are helpful as they exclude various items included in net income that are not indicative of operating performance, such as gains (or losses) from sales of property and depreciation and amortization and is used in computing various financial ratios as a measure of operational performance. The Company computes EBITDA as the sum of net income before extraordinary items plus interest expense, depreciation, income taxes and amortization, less any gains (losses including impairment charges) on the sale of income producing properties. The Company computes NOI by taking the difference between Property Revenues and Property Expenses as detailed in this reporting supplement. Same-Property NOI includes properties in our Core Portfolio that we owned for both the current and prior periods presented, but excludes those properties which we acquired, sold or expected to sell, and redeveloped during these periods. The Company’s method of calculating EBITDA, NOI and Same-Property NOI may be different from methods used by other REITs and, accordingly, may not be comparable to such other REITs. EBITDA, NOI and Same-Property NOI do not represent cash generated from operations as defined by GAAP and are not indicative of cash available to fund all cash needs, including distributions. They should not be considered as an alternative to net income for the purpose of evaluating the Company’s performance or to cash flows as a measure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040" w:type="dxa"/>
            <w:vAlign w:val="bottom"/>
          </w:tcPr>
          <w:p>
            <w:pPr>
              <w:spacing w:after="0"/>
              <w:rPr>
                <w:sz w:val="20"/>
                <w:szCs w:val="20"/>
                <w:color w:val="auto"/>
              </w:rPr>
            </w:pPr>
            <w:r>
              <w:rPr>
                <w:rFonts w:ascii="Arial" w:cs="Arial" w:eastAsia="Arial" w:hAnsi="Arial"/>
                <w:sz w:val="15"/>
                <w:szCs w:val="15"/>
                <w:i w:val="1"/>
                <w:iCs w:val="1"/>
                <w:color w:val="auto"/>
              </w:rPr>
              <w:t>Supplemental Report - March 31, 2018</w:t>
            </w:r>
          </w:p>
        </w:tc>
        <w:tc>
          <w:tcPr>
            <w:tcW w:w="1660" w:type="dxa"/>
            <w:vAlign w:val="bottom"/>
          </w:tcPr>
          <w:p>
            <w:pPr>
              <w:jc w:val="right"/>
              <w:spacing w:after="0"/>
              <w:rPr>
                <w:sz w:val="20"/>
                <w:szCs w:val="20"/>
                <w:color w:val="auto"/>
              </w:rPr>
            </w:pPr>
            <w:r>
              <w:rPr>
                <w:rFonts w:ascii="Arial" w:cs="Arial" w:eastAsia="Arial" w:hAnsi="Arial"/>
                <w:sz w:val="12"/>
                <w:szCs w:val="12"/>
                <w:color w:val="auto"/>
              </w:rPr>
              <w:t>37</w:t>
            </w:r>
          </w:p>
        </w:tc>
      </w:tr>
    </w:tbl>
    <w:p>
      <w:pPr>
        <w:spacing w:after="0" w:line="1" w:lineRule="exact"/>
        <w:rPr>
          <w:sz w:val="20"/>
          <w:szCs w:val="20"/>
          <w:color w:val="auto"/>
        </w:rPr>
      </w:pPr>
    </w:p>
    <w:sectPr>
      <w:pgSz w:w="11900" w:h="16838" w:orient="portrait"/>
      <w:cols w:equalWidth="0" w:num="1">
        <w:col w:w="11460"/>
      </w:cols>
      <w:pgMar w:left="220" w:top="61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2019-12-28T22:33:36Z</dcterms:created>
  <dcterms:modified xsi:type="dcterms:W3CDTF">2019-12-28T22:33:36Z</dcterms:modified>
</cp:coreProperties>
</file>