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CURRENT REPORT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Date of Report (Date of Earliest Event Reported): November 20, 2001</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ACADIA REALTY TRUST</w:t>
      </w:r>
    </w:p>
    <w:p>
      <w:pPr>
        <w:spacing w:after="0" w:line="173"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Maryland</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1-12002</w:t>
            </w:r>
          </w:p>
        </w:tc>
        <w:tc>
          <w:tcPr>
            <w:tcW w:w="2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23-2715194</w:t>
            </w:r>
          </w:p>
        </w:tc>
      </w:tr>
      <w:tr>
        <w:trPr>
          <w:trHeight w:val="166"/>
        </w:trPr>
        <w:tc>
          <w:tcPr>
            <w:tcW w:w="3020" w:type="dxa"/>
            <w:vAlign w:val="bottom"/>
          </w:tcPr>
          <w:p>
            <w:pPr>
              <w:ind w:left="620"/>
              <w:spacing w:after="0"/>
              <w:rPr>
                <w:sz w:val="20"/>
                <w:szCs w:val="20"/>
                <w:color w:val="auto"/>
              </w:rPr>
            </w:pPr>
            <w:r>
              <w:rPr>
                <w:rFonts w:ascii="Courier New" w:cs="Courier New" w:eastAsia="Courier New" w:hAnsi="Courier New"/>
                <w:sz w:val="14"/>
                <w:szCs w:val="14"/>
                <w:color w:val="auto"/>
              </w:rPr>
              <w:t>(State or other</w:t>
            </w:r>
          </w:p>
        </w:tc>
        <w:tc>
          <w:tcPr>
            <w:tcW w:w="1860" w:type="dxa"/>
            <w:vAlign w:val="bottom"/>
          </w:tcPr>
          <w:p>
            <w:pPr>
              <w:ind w:left="440"/>
              <w:spacing w:after="0"/>
              <w:rPr>
                <w:sz w:val="20"/>
                <w:szCs w:val="20"/>
                <w:color w:val="auto"/>
              </w:rPr>
            </w:pPr>
            <w:r>
              <w:rPr>
                <w:rFonts w:ascii="Courier New" w:cs="Courier New" w:eastAsia="Courier New" w:hAnsi="Courier New"/>
                <w:sz w:val="14"/>
                <w:szCs w:val="14"/>
                <w:color w:val="auto"/>
              </w:rPr>
              <w:t>(Commission</w:t>
            </w:r>
          </w:p>
        </w:tc>
        <w:tc>
          <w:tcPr>
            <w:tcW w:w="202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30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jurisdiction of incorporation)</w:t>
            </w:r>
          </w:p>
        </w:tc>
        <w:tc>
          <w:tcPr>
            <w:tcW w:w="1860" w:type="dxa"/>
            <w:vAlign w:val="bottom"/>
          </w:tcPr>
          <w:p>
            <w:pPr>
              <w:ind w:left="440"/>
              <w:spacing w:after="0"/>
              <w:rPr>
                <w:sz w:val="20"/>
                <w:szCs w:val="20"/>
                <w:color w:val="auto"/>
              </w:rPr>
            </w:pPr>
            <w:r>
              <w:rPr>
                <w:rFonts w:ascii="Courier New" w:cs="Courier New" w:eastAsia="Courier New" w:hAnsi="Courier New"/>
                <w:sz w:val="14"/>
                <w:szCs w:val="14"/>
                <w:color w:val="auto"/>
              </w:rPr>
              <w:t>File Number)</w:t>
            </w:r>
          </w:p>
        </w:tc>
        <w:tc>
          <w:tcPr>
            <w:tcW w:w="2020" w:type="dxa"/>
            <w:vAlign w:val="bottom"/>
          </w:tcPr>
          <w:p>
            <w:pPr>
              <w:ind w:left="380"/>
              <w:spacing w:after="0"/>
              <w:rPr>
                <w:sz w:val="20"/>
                <w:szCs w:val="20"/>
                <w:color w:val="auto"/>
              </w:rPr>
            </w:pPr>
            <w:r>
              <w:rPr>
                <w:rFonts w:ascii="Courier New" w:cs="Courier New" w:eastAsia="Courier New" w:hAnsi="Courier New"/>
                <w:sz w:val="14"/>
                <w:szCs w:val="14"/>
                <w:color w:val="auto"/>
              </w:rPr>
              <w:t>Identification No.)</w:t>
            </w:r>
          </w:p>
        </w:tc>
      </w:tr>
    </w:tbl>
    <w:p>
      <w:pPr>
        <w:spacing w:after="0" w:line="200" w:lineRule="exact"/>
        <w:rPr>
          <w:sz w:val="24"/>
          <w:szCs w:val="24"/>
          <w:color w:val="auto"/>
        </w:rPr>
      </w:pPr>
    </w:p>
    <w:p>
      <w:pPr>
        <w:spacing w:after="0" w:line="301"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20 Soundview Marketplace</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Port Washington, New York 11050</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(516) 767-8830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(Former name or former address, if changed since last report)</w:t>
      </w:r>
    </w:p>
    <w:p>
      <w:pPr>
        <w:sectPr>
          <w:pgSz w:w="11900" w:h="16838" w:orient="portrait"/>
          <w:cols w:equalWidth="0" w:num="1">
            <w:col w:w="10239"/>
          </w:cols>
          <w:pgMar w:left="220" w:top="561"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ITEM 7. Financial Statements, Pro Forma Financial Information and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99.1 Quarterly Supplemental Disclosure - September 30,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Regulation FD Disclosure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Registrant, Acadia Realty Trust, hereby makes available as an exhibit to this filing, supplemental information concerning the ownership, operations and portfolio of the Registrant as of September 30, 2001. The information included in this Current Report on Form 8-K (including the exhibit hereto) is furnished pursuant to Item 9 and shall not be deemed to be filed for the purposes of Section 18 of the Securities Exchange Act of 1934, as amended, or otherwise subject to the liabilities of that Section or Sections 11 and 12(a) (2) of the Securities Act of 1933, as amended. This Report (including the exhibit hereto) will not be deemed an admission as to the materiality of any information required to be disclosed solely to satisfy the requirements of Regulation FD.</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ACADIA REALTY TRUST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11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20,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Perry Kamerman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Name: Perry Kamerman</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Title: Senior Vice President and</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ectPr>
          <w:pgSz w:w="11900" w:h="16838" w:orient="portrait"/>
          <w:cols w:equalWidth="0" w:num="2">
            <w:col w:w="3080" w:space="720"/>
            <w:col w:w="6439"/>
          </w:cols>
          <w:pgMar w:left="220" w:top="11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39"/>
          </w:cols>
          <w:pgMar w:left="220" w:top="1113" w:right="1440" w:bottom="1440" w:gutter="0" w:footer="0" w:header="0"/>
          <w:type w:val="continuous"/>
        </w:sectPr>
      </w:pPr>
    </w:p>
    <w:bookmarkStart w:id="2" w:name="page3"/>
    <w:bookmarkEnd w:id="2"/>
    <w:p>
      <w:pPr>
        <w:ind w:left="6380"/>
        <w:spacing w:after="0"/>
        <w:rPr>
          <w:sz w:val="20"/>
          <w:szCs w:val="20"/>
          <w:color w:val="auto"/>
        </w:rPr>
      </w:pPr>
      <w:r>
        <w:rPr>
          <w:rFonts w:ascii="Courier New" w:cs="Courier New" w:eastAsia="Courier New" w:hAnsi="Courier New"/>
          <w:sz w:val="14"/>
          <w:szCs w:val="14"/>
          <w:color w:val="auto"/>
        </w:rPr>
        <w:t>[LOGO]</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Table of Contents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Page</w:t>
            </w:r>
          </w:p>
        </w:tc>
        <w:tc>
          <w:tcPr>
            <w:tcW w:w="41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4180" w:type="dxa"/>
            <w:vAlign w:val="bottom"/>
          </w:tcPr>
          <w:p>
            <w:pPr>
              <w:spacing w:after="0"/>
              <w:rPr>
                <w:sz w:val="14"/>
                <w:szCs w:val="14"/>
                <w:color w:val="auto"/>
              </w:rPr>
            </w:pP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4"/>
                <w:szCs w:val="24"/>
                <w:color w:val="auto"/>
              </w:rPr>
            </w:pPr>
          </w:p>
        </w:tc>
        <w:tc>
          <w:tcPr>
            <w:tcW w:w="3520" w:type="dxa"/>
            <w:vAlign w:val="bottom"/>
          </w:tcPr>
          <w:p>
            <w:pPr>
              <w:ind w:left="420"/>
              <w:spacing w:after="0"/>
              <w:rPr>
                <w:sz w:val="20"/>
                <w:szCs w:val="20"/>
                <w:color w:val="auto"/>
              </w:rPr>
            </w:pPr>
            <w:r>
              <w:rPr>
                <w:rFonts w:ascii="Courier New" w:cs="Courier New" w:eastAsia="Courier New" w:hAnsi="Courier New"/>
                <w:sz w:val="14"/>
                <w:szCs w:val="14"/>
                <w:color w:val="auto"/>
              </w:rPr>
              <w:t>Section I - Overview</w:t>
            </w:r>
          </w:p>
        </w:tc>
        <w:tc>
          <w:tcPr>
            <w:tcW w:w="13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97"/>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Company Information</w:t>
            </w:r>
          </w:p>
        </w:tc>
        <w:tc>
          <w:tcPr>
            <w:tcW w:w="3520" w:type="dxa"/>
            <w:vAlign w:val="bottom"/>
          </w:tcPr>
          <w:p>
            <w:pPr>
              <w:spacing w:after="0"/>
              <w:rPr>
                <w:sz w:val="24"/>
                <w:szCs w:val="2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Balance Sheets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16</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Quarterly Highlights</w:t>
            </w:r>
          </w:p>
        </w:tc>
        <w:tc>
          <w:tcPr>
            <w:tcW w:w="3520" w:type="dxa"/>
            <w:vAlign w:val="bottom"/>
          </w:tcPr>
          <w:p>
            <w:pPr>
              <w:spacing w:after="0"/>
              <w:rPr>
                <w:sz w:val="24"/>
                <w:szCs w:val="2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Selected Operating Ratios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17</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Portfolio Snapshot</w:t>
            </w:r>
          </w:p>
        </w:tc>
        <w:tc>
          <w:tcPr>
            <w:tcW w:w="3520" w:type="dxa"/>
            <w:vAlign w:val="bottom"/>
          </w:tcPr>
          <w:p>
            <w:pPr>
              <w:spacing w:after="0"/>
              <w:rPr>
                <w:sz w:val="24"/>
                <w:szCs w:val="2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Debt Analysis - Wholly Owned and</w:t>
            </w:r>
          </w:p>
        </w:tc>
        <w:tc>
          <w:tcPr>
            <w:tcW w:w="440" w:type="dxa"/>
            <w:vAlign w:val="bottom"/>
          </w:tcPr>
          <w:p>
            <w:pPr>
              <w:spacing w:after="0"/>
              <w:rPr>
                <w:sz w:val="24"/>
                <w:szCs w:val="24"/>
                <w:color w:val="auto"/>
              </w:rPr>
            </w:pPr>
          </w:p>
        </w:tc>
      </w:tr>
      <w:tr>
        <w:trPr>
          <w:trHeight w:val="166"/>
        </w:trPr>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Unconsolidated Subsidiaries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18</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Organizational Chart</w:t>
            </w:r>
          </w:p>
        </w:tc>
        <w:tc>
          <w:tcPr>
            <w:tcW w:w="352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Debt Maturity Schedule</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Executive Management</w:t>
            </w:r>
          </w:p>
        </w:tc>
        <w:tc>
          <w:tcPr>
            <w:tcW w:w="3520" w:type="dxa"/>
            <w:vAlign w:val="bottom"/>
          </w:tcPr>
          <w:p>
            <w:pPr>
              <w:spacing w:after="0"/>
              <w:rPr>
                <w:sz w:val="20"/>
                <w:szCs w:val="20"/>
                <w:color w:val="auto"/>
              </w:rPr>
            </w:pPr>
            <w:r>
              <w:rPr>
                <w:rFonts w:ascii="Courier New" w:cs="Courier New" w:eastAsia="Courier New" w:hAnsi="Courier New"/>
                <w:sz w:val="14"/>
                <w:szCs w:val="14"/>
                <w:color w:val="auto"/>
              </w:rPr>
              <w:t>Team</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w:t>
            </w:r>
          </w:p>
        </w:tc>
        <w:tc>
          <w:tcPr>
            <w:tcW w:w="4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Unencumbered Properties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21</w:t>
            </w:r>
          </w:p>
        </w:tc>
      </w:tr>
      <w:tr>
        <w:trPr>
          <w:trHeight w:val="331"/>
        </w:trPr>
        <w:tc>
          <w:tcPr>
            <w:tcW w:w="1820" w:type="dxa"/>
            <w:vAlign w:val="bottom"/>
          </w:tcPr>
          <w:p>
            <w:pPr>
              <w:ind w:left="860"/>
              <w:spacing w:after="0"/>
              <w:rPr>
                <w:sz w:val="20"/>
                <w:szCs w:val="20"/>
                <w:color w:val="auto"/>
              </w:rPr>
            </w:pPr>
            <w:r>
              <w:rPr>
                <w:rFonts w:ascii="Courier New" w:cs="Courier New" w:eastAsia="Courier New" w:hAnsi="Courier New"/>
                <w:sz w:val="14"/>
                <w:szCs w:val="14"/>
                <w:color w:val="auto"/>
              </w:rPr>
              <w:t>Section II</w:t>
            </w:r>
          </w:p>
        </w:tc>
        <w:tc>
          <w:tcPr>
            <w:tcW w:w="3520" w:type="dxa"/>
            <w:vAlign w:val="bottom"/>
          </w:tcPr>
          <w:p>
            <w:pPr>
              <w:spacing w:after="0"/>
              <w:rPr>
                <w:sz w:val="20"/>
                <w:szCs w:val="20"/>
                <w:color w:val="auto"/>
              </w:rPr>
            </w:pPr>
            <w:r>
              <w:rPr>
                <w:rFonts w:ascii="Courier New" w:cs="Courier New" w:eastAsia="Courier New" w:hAnsi="Courier New"/>
                <w:sz w:val="14"/>
                <w:szCs w:val="14"/>
                <w:color w:val="auto"/>
              </w:rPr>
              <w:t>- Net Asset Valuation(1)</w:t>
            </w:r>
          </w:p>
        </w:tc>
        <w:tc>
          <w:tcPr>
            <w:tcW w:w="1340" w:type="dxa"/>
            <w:vAlign w:val="bottom"/>
          </w:tcPr>
          <w:p>
            <w:pPr>
              <w:spacing w:after="0"/>
              <w:rPr>
                <w:sz w:val="24"/>
                <w:szCs w:val="24"/>
                <w:color w:val="auto"/>
              </w:rPr>
            </w:pPr>
          </w:p>
        </w:tc>
        <w:tc>
          <w:tcPr>
            <w:tcW w:w="4180" w:type="dxa"/>
            <w:vAlign w:val="bottom"/>
          </w:tcPr>
          <w:p>
            <w:pPr>
              <w:ind w:left="1000"/>
              <w:spacing w:after="0"/>
              <w:rPr>
                <w:sz w:val="20"/>
                <w:szCs w:val="20"/>
                <w:color w:val="auto"/>
              </w:rPr>
            </w:pPr>
            <w:r>
              <w:rPr>
                <w:rFonts w:ascii="Courier New" w:cs="Courier New" w:eastAsia="Courier New" w:hAnsi="Courier New"/>
                <w:sz w:val="14"/>
                <w:szCs w:val="14"/>
                <w:color w:val="auto"/>
              </w:rPr>
              <w:t>Section IV - Portfolio information</w:t>
            </w:r>
          </w:p>
        </w:tc>
        <w:tc>
          <w:tcPr>
            <w:tcW w:w="440" w:type="dxa"/>
            <w:vAlign w:val="bottom"/>
          </w:tcPr>
          <w:p>
            <w:pPr>
              <w:spacing w:after="0"/>
              <w:rPr>
                <w:sz w:val="24"/>
                <w:szCs w:val="24"/>
                <w:color w:val="auto"/>
              </w:rPr>
            </w:pPr>
          </w:p>
        </w:tc>
      </w:tr>
      <w:tr>
        <w:trPr>
          <w:trHeight w:val="331"/>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Net Asset Value Summary</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Portfolio Overview - By Region and</w:t>
            </w:r>
          </w:p>
        </w:tc>
        <w:tc>
          <w:tcPr>
            <w:tcW w:w="440" w:type="dxa"/>
            <w:vAlign w:val="bottom"/>
          </w:tcPr>
          <w:p>
            <w:pPr>
              <w:spacing w:after="0"/>
              <w:rPr>
                <w:sz w:val="24"/>
                <w:szCs w:val="24"/>
                <w:color w:val="auto"/>
              </w:rPr>
            </w:pPr>
          </w:p>
        </w:tc>
      </w:tr>
      <w:tr>
        <w:trPr>
          <w:trHeight w:val="166"/>
        </w:trPr>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Property Type</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22</w:t>
            </w:r>
          </w:p>
        </w:tc>
      </w:tr>
      <w:tr>
        <w:trPr>
          <w:trHeight w:val="331"/>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Net Asset Value Calculation</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Commercial Properties by Region - Summary</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23</w:t>
            </w:r>
          </w:p>
        </w:tc>
      </w:tr>
      <w:tr>
        <w:trPr>
          <w:trHeight w:val="331"/>
        </w:trPr>
        <w:tc>
          <w:tcPr>
            <w:tcW w:w="534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Section III - Financial Information</w:t>
            </w:r>
          </w:p>
        </w:tc>
        <w:tc>
          <w:tcPr>
            <w:tcW w:w="134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Commercial Properties by Region - Detail</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24</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Market Capitalization</w:t>
            </w:r>
          </w:p>
        </w:tc>
        <w:tc>
          <w:tcPr>
            <w:tcW w:w="3520" w:type="dxa"/>
            <w:vAlign w:val="bottom"/>
          </w:tcPr>
          <w:p>
            <w:pPr>
              <w:spacing w:after="0"/>
              <w:rPr>
                <w:sz w:val="24"/>
                <w:szCs w:val="2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Top 25 Tenants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28</w:t>
            </w:r>
          </w:p>
        </w:tc>
      </w:tr>
      <w:tr>
        <w:trPr>
          <w:trHeight w:val="331"/>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Shareholder Information</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Anchor Tenant Summary</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29</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Operating Statements</w:t>
            </w:r>
          </w:p>
        </w:tc>
        <w:tc>
          <w:tcPr>
            <w:tcW w:w="3520" w:type="dxa"/>
            <w:vAlign w:val="bottom"/>
          </w:tcPr>
          <w:p>
            <w:pPr>
              <w:spacing w:after="0"/>
              <w:rPr>
                <w:sz w:val="20"/>
                <w:szCs w:val="20"/>
                <w:color w:val="auto"/>
              </w:rPr>
            </w:pPr>
            <w:r>
              <w:rPr>
                <w:rFonts w:ascii="Courier New" w:cs="Courier New" w:eastAsia="Courier New" w:hAnsi="Courier New"/>
                <w:sz w:val="14"/>
                <w:szCs w:val="14"/>
                <w:color w:val="auto"/>
              </w:rPr>
              <w:t>- Including Joint Venture Activity</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Lease Expirations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36</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Operating Statements</w:t>
            </w:r>
          </w:p>
        </w:tc>
        <w:tc>
          <w:tcPr>
            <w:tcW w:w="3520" w:type="dxa"/>
            <w:vAlign w:val="bottom"/>
          </w:tcPr>
          <w:p>
            <w:pPr>
              <w:spacing w:after="0"/>
              <w:rPr>
                <w:sz w:val="20"/>
                <w:szCs w:val="20"/>
                <w:color w:val="auto"/>
              </w:rPr>
            </w:pPr>
            <w:r>
              <w:rPr>
                <w:rFonts w:ascii="Courier New" w:cs="Courier New" w:eastAsia="Courier New" w:hAnsi="Courier New"/>
                <w:sz w:val="14"/>
                <w:szCs w:val="14"/>
                <w:color w:val="auto"/>
              </w:rPr>
              <w:t>- Current v. Historical</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Residential Properties</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40</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Operating Statements</w:t>
            </w:r>
          </w:p>
        </w:tc>
        <w:tc>
          <w:tcPr>
            <w:tcW w:w="3520" w:type="dxa"/>
            <w:vAlign w:val="bottom"/>
          </w:tcPr>
          <w:p>
            <w:pPr>
              <w:spacing w:after="0"/>
              <w:rPr>
                <w:sz w:val="20"/>
                <w:szCs w:val="20"/>
                <w:color w:val="auto"/>
              </w:rPr>
            </w:pPr>
            <w:r>
              <w:rPr>
                <w:rFonts w:ascii="Courier New" w:cs="Courier New" w:eastAsia="Courier New" w:hAnsi="Courier New"/>
                <w:sz w:val="14"/>
                <w:szCs w:val="14"/>
                <w:color w:val="auto"/>
              </w:rPr>
              <w:t>- by Segment (Retail &amp; Multi-Family)</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w:t>
            </w:r>
          </w:p>
        </w:tc>
        <w:tc>
          <w:tcPr>
            <w:tcW w:w="4180" w:type="dxa"/>
            <w:vAlign w:val="bottom"/>
          </w:tcPr>
          <w:p>
            <w:pPr>
              <w:ind w:left="560"/>
              <w:spacing w:after="0"/>
              <w:rPr>
                <w:sz w:val="20"/>
                <w:szCs w:val="20"/>
                <w:color w:val="auto"/>
              </w:rPr>
            </w:pPr>
            <w:r>
              <w:rPr>
                <w:rFonts w:ascii="Courier New" w:cs="Courier New" w:eastAsia="Courier New" w:hAnsi="Courier New"/>
                <w:sz w:val="14"/>
                <w:szCs w:val="14"/>
                <w:color w:val="auto"/>
              </w:rPr>
              <w:t>Properties under Redevelopment</w:t>
            </w:r>
          </w:p>
        </w:tc>
        <w:tc>
          <w:tcPr>
            <w:tcW w:w="44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41</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3520" w:type="dxa"/>
            <w:vAlign w:val="bottom"/>
          </w:tcPr>
          <w:p>
            <w:pPr>
              <w:spacing w:after="0"/>
              <w:rPr>
                <w:sz w:val="20"/>
                <w:szCs w:val="20"/>
                <w:color w:val="auto"/>
              </w:rPr>
            </w:pPr>
            <w:r>
              <w:rPr>
                <w:rFonts w:ascii="Courier New" w:cs="Courier New" w:eastAsia="Courier New" w:hAnsi="Courier New"/>
                <w:sz w:val="14"/>
                <w:szCs w:val="14"/>
                <w:color w:val="auto"/>
              </w:rPr>
              <w:t>- Same Property Performance</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w:t>
            </w:r>
          </w:p>
        </w:tc>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3520" w:type="dxa"/>
            <w:vAlign w:val="bottom"/>
          </w:tcPr>
          <w:p>
            <w:pPr>
              <w:spacing w:after="0"/>
              <w:rPr>
                <w:sz w:val="24"/>
                <w:szCs w:val="2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w:t>
            </w:r>
          </w:p>
        </w:tc>
        <w:tc>
          <w:tcPr>
            <w:tcW w:w="4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335" w:lineRule="exact"/>
        <w:rPr>
          <w:sz w:val="20"/>
          <w:szCs w:val="20"/>
          <w:color w:val="auto"/>
        </w:rPr>
      </w:pPr>
    </w:p>
    <w:p>
      <w:pPr>
        <w:ind w:left="360" w:right="4400" w:hanging="352"/>
        <w:spacing w:after="0" w:line="252" w:lineRule="auto"/>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enclosed Net Asset Value ("NAV") calculation is computed as of December 31, 2000. NAV is computed at the end of each year and will be updated during the year if, based on management's assessment, a significant change in any of the determinants of NAV occurs.</w:t>
      </w:r>
    </w:p>
    <w:p>
      <w:pPr>
        <w:spacing w:after="0" w:line="328" w:lineRule="exact"/>
        <w:rPr>
          <w:sz w:val="20"/>
          <w:szCs w:val="20"/>
          <w:color w:val="auto"/>
        </w:rPr>
      </w:pPr>
    </w:p>
    <w:p>
      <w:pPr>
        <w:ind w:right="4400" w:firstLine="1378"/>
        <w:spacing w:after="0" w:line="251" w:lineRule="auto"/>
        <w:rPr>
          <w:sz w:val="20"/>
          <w:szCs w:val="20"/>
          <w:color w:val="auto"/>
        </w:rPr>
      </w:pPr>
      <w:r>
        <w:rPr>
          <w:rFonts w:ascii="Courier New" w:cs="Courier New" w:eastAsia="Courier New" w:hAnsi="Courier New"/>
          <w:sz w:val="14"/>
          <w:szCs w:val="14"/>
          <w:color w:val="auto"/>
        </w:rPr>
        <w:t>SPECIAL NOTE REGARDING FORWARD-LOOKING STATEMENTS Certain statements contained in this Supplementary Disclosure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Company to be materially different from any future results, performance or achievements expressed or implied by such forward-looking statements. Such factors include, among others, the following: general economic and business conditions, which will, among other things, affect demand for rental space, the availability and creditworthiness of prospective tenants, lease rents and the availability of financing; adverse changes in the Company's real estate markets, including, among other things, competition with other companies; risks of real estate development and acquisition; governmental actions and initiatives; and environmental/safety requirements.</w:t>
      </w:r>
    </w:p>
    <w:p>
      <w:pPr>
        <w:sectPr>
          <w:pgSz w:w="11900" w:h="16838" w:orient="portrait"/>
          <w:cols w:equalWidth="0" w:num="1">
            <w:col w:w="11300"/>
          </w:cols>
          <w:pgMar w:left="220" w:top="451" w:right="379" w:bottom="1440" w:gutter="0" w:footer="0" w:header="0"/>
        </w:sectPr>
      </w:pPr>
    </w:p>
    <w:bookmarkStart w:id="3" w:name="page4"/>
    <w:bookmarkEnd w:id="3"/>
    <w:p>
      <w:pPr>
        <w:ind w:left="6380"/>
        <w:spacing w:after="0"/>
        <w:rPr>
          <w:sz w:val="20"/>
          <w:szCs w:val="20"/>
          <w:color w:val="auto"/>
        </w:rPr>
      </w:pPr>
      <w:r>
        <w:rPr>
          <w:rFonts w:ascii="Courier New" w:cs="Courier New" w:eastAsia="Courier New" w:hAnsi="Courier New"/>
          <w:sz w:val="14"/>
          <w:szCs w:val="14"/>
          <w:color w:val="auto"/>
        </w:rPr>
        <w:t>[LOGO]</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Company Information</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Acadia Realty Trust ("Acadia"), is a fully integrated and self-managed real estate investment trust focused primarily on the ownership, acquisition, redevelopment and management of neighborhood and community shopping centers. All of Acadia's assets are held by, and all its operations are conducted through, Acadia Realty Limited Partnership (the "Operating Partnership") which was 84% controlled by Acadia as of September 30, 2001.</w:t>
      </w:r>
    </w:p>
    <w:p>
      <w:pPr>
        <w:spacing w:after="0" w:line="164"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As of September 30, 2001, Acadia owns or has an ownership interest in fifty-four properties, consisting of fourty-eight neighborhood and community shopping centers, one enclosed mall, one mixed-use property (a retail/residential property) and four multi-family properties, all located in the Eastern and Midwestern regions of the United States. Four of the above shopping centers are currently under redevelopment.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Corporate Headquarters</w:t>
            </w:r>
          </w:p>
        </w:tc>
        <w:tc>
          <w:tcPr>
            <w:tcW w:w="3560" w:type="dxa"/>
            <w:vAlign w:val="bottom"/>
          </w:tcPr>
          <w:p>
            <w:pPr>
              <w:ind w:left="640"/>
              <w:spacing w:after="0"/>
              <w:rPr>
                <w:sz w:val="20"/>
                <w:szCs w:val="20"/>
                <w:color w:val="auto"/>
              </w:rPr>
            </w:pPr>
            <w:r>
              <w:rPr>
                <w:rFonts w:ascii="Courier New" w:cs="Courier New" w:eastAsia="Courier New" w:hAnsi="Courier New"/>
                <w:sz w:val="14"/>
                <w:szCs w:val="14"/>
                <w:color w:val="auto"/>
              </w:rPr>
              <w:t>20 Soundview Marketplace</w:t>
            </w:r>
          </w:p>
        </w:tc>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Research Coverage</w:t>
            </w:r>
          </w:p>
        </w:tc>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Credit Suisse First Boston</w:t>
            </w:r>
          </w:p>
        </w:tc>
      </w:tr>
      <w:tr>
        <w:trPr>
          <w:trHeight w:val="166"/>
        </w:trPr>
        <w:tc>
          <w:tcPr>
            <w:tcW w:w="2640" w:type="dxa"/>
            <w:vAlign w:val="bottom"/>
          </w:tcPr>
          <w:p>
            <w:pPr>
              <w:spacing w:after="0"/>
              <w:rPr>
                <w:sz w:val="14"/>
                <w:szCs w:val="14"/>
                <w:color w:val="auto"/>
              </w:rPr>
            </w:pPr>
          </w:p>
        </w:tc>
        <w:tc>
          <w:tcPr>
            <w:tcW w:w="3560" w:type="dxa"/>
            <w:vAlign w:val="bottom"/>
          </w:tcPr>
          <w:p>
            <w:pPr>
              <w:ind w:left="640"/>
              <w:spacing w:after="0"/>
              <w:rPr>
                <w:sz w:val="20"/>
                <w:szCs w:val="20"/>
                <w:color w:val="auto"/>
              </w:rPr>
            </w:pPr>
            <w:r>
              <w:rPr>
                <w:rFonts w:ascii="Courier New" w:cs="Courier New" w:eastAsia="Courier New" w:hAnsi="Courier New"/>
                <w:sz w:val="14"/>
                <w:szCs w:val="14"/>
                <w:color w:val="auto"/>
              </w:rPr>
              <w:t>Port Washington, NY 11050-2221</w:t>
            </w:r>
          </w:p>
        </w:tc>
        <w:tc>
          <w:tcPr>
            <w:tcW w:w="242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Larry Raiman</w:t>
            </w:r>
          </w:p>
        </w:tc>
      </w:tr>
      <w:tr>
        <w:trPr>
          <w:trHeight w:val="166"/>
        </w:trPr>
        <w:tc>
          <w:tcPr>
            <w:tcW w:w="2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(212) 892-2380</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New York Stock Exchange</w:t>
            </w:r>
          </w:p>
        </w:tc>
        <w:tc>
          <w:tcPr>
            <w:tcW w:w="3560" w:type="dxa"/>
            <w:vAlign w:val="bottom"/>
          </w:tcPr>
          <w:p>
            <w:pPr>
              <w:ind w:left="640"/>
              <w:spacing w:after="0"/>
              <w:rPr>
                <w:sz w:val="20"/>
                <w:szCs w:val="20"/>
                <w:color w:val="auto"/>
              </w:rPr>
            </w:pPr>
            <w:r>
              <w:rPr>
                <w:rFonts w:ascii="Courier New" w:cs="Courier New" w:eastAsia="Courier New" w:hAnsi="Courier New"/>
                <w:sz w:val="14"/>
                <w:szCs w:val="14"/>
                <w:color w:val="auto"/>
              </w:rPr>
              <w:t>Symbol AKR</w:t>
            </w:r>
          </w:p>
        </w:tc>
        <w:tc>
          <w:tcPr>
            <w:tcW w:w="242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Web Site</w:t>
            </w:r>
          </w:p>
        </w:tc>
        <w:tc>
          <w:tcPr>
            <w:tcW w:w="3560" w:type="dxa"/>
            <w:vAlign w:val="bottom"/>
          </w:tcPr>
          <w:p>
            <w:pPr>
              <w:ind w:left="640"/>
              <w:spacing w:after="0"/>
              <w:rPr>
                <w:sz w:val="20"/>
                <w:szCs w:val="20"/>
                <w:color w:val="auto"/>
              </w:rPr>
            </w:pPr>
            <w:r>
              <w:rPr>
                <w:rFonts w:ascii="Courier New" w:cs="Courier New" w:eastAsia="Courier New" w:hAnsi="Courier New"/>
                <w:sz w:val="14"/>
                <w:szCs w:val="14"/>
                <w:color w:val="auto"/>
              </w:rPr>
              <w:t>www.acadiarealty.com</w:t>
            </w:r>
          </w:p>
        </w:tc>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Investor Relations</w:t>
            </w:r>
          </w:p>
        </w:tc>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Jon Grisham</w:t>
            </w:r>
          </w:p>
        </w:tc>
      </w:tr>
      <w:tr>
        <w:trPr>
          <w:trHeight w:val="166"/>
        </w:trPr>
        <w:tc>
          <w:tcPr>
            <w:tcW w:w="2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w:t>
            </w:r>
          </w:p>
        </w:tc>
      </w:tr>
      <w:tr>
        <w:trPr>
          <w:trHeight w:val="166"/>
        </w:trPr>
        <w:tc>
          <w:tcPr>
            <w:tcW w:w="2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(516) 767-7550</w:t>
            </w:r>
          </w:p>
        </w:tc>
      </w:tr>
      <w:tr>
        <w:trPr>
          <w:trHeight w:val="166"/>
        </w:trPr>
        <w:tc>
          <w:tcPr>
            <w:tcW w:w="2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760" w:type="dxa"/>
            <w:vAlign w:val="bottom"/>
          </w:tcPr>
          <w:p>
            <w:pPr>
              <w:ind w:left="520"/>
              <w:spacing w:after="0"/>
              <w:rPr>
                <w:sz w:val="20"/>
                <w:szCs w:val="20"/>
                <w:color w:val="auto"/>
              </w:rPr>
            </w:pPr>
            <w:r>
              <w:rPr>
                <w:rFonts w:ascii="Courier New" w:cs="Courier New" w:eastAsia="Courier New" w:hAnsi="Courier New"/>
                <w:sz w:val="14"/>
                <w:szCs w:val="14"/>
                <w:color w:val="auto"/>
              </w:rPr>
              <w:t>jgrisham@acadiarealty.com</w:t>
            </w:r>
          </w:p>
        </w:tc>
      </w:tr>
    </w:tbl>
    <w:p>
      <w:pPr>
        <w:sectPr>
          <w:pgSz w:w="11900" w:h="16838" w:orient="portrait"/>
          <w:cols w:equalWidth="0" w:num="1">
            <w:col w:w="11380"/>
          </w:cols>
          <w:pgMar w:left="220" w:top="948" w:right="299" w:bottom="1440" w:gutter="0" w:footer="0" w:header="0"/>
        </w:sectPr>
      </w:pPr>
    </w:p>
    <w:bookmarkStart w:id="4" w:name="page5"/>
    <w:bookmarkEnd w:id="4"/>
    <w:p>
      <w:pPr>
        <w:jc w:val="right"/>
        <w:ind w:right="3339"/>
        <w:spacing w:after="0"/>
        <w:rPr>
          <w:sz w:val="20"/>
          <w:szCs w:val="20"/>
          <w:color w:val="auto"/>
        </w:rPr>
      </w:pPr>
      <w:r>
        <w:rPr>
          <w:rFonts w:ascii="Courier New" w:cs="Courier New" w:eastAsia="Courier New" w:hAnsi="Courier New"/>
          <w:sz w:val="14"/>
          <w:szCs w:val="14"/>
          <w:color w:val="auto"/>
        </w:rPr>
        <w:t>[LOGO]</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2001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Highlights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hanging="252"/>
        <w:spacing w:after="0"/>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FFO for the third quarter ended September 30, 2001 was $7.3 million, or</w:t>
      </w:r>
    </w:p>
    <w:p>
      <w:pPr>
        <w:spacing w:after="0" w:line="7" w:lineRule="exact"/>
        <w:rPr>
          <w:rFonts w:ascii="Courier New" w:cs="Courier New" w:eastAsia="Courier New" w:hAnsi="Courier New"/>
          <w:sz w:val="14"/>
          <w:szCs w:val="14"/>
          <w:color w:val="auto"/>
        </w:rPr>
      </w:pPr>
    </w:p>
    <w:p>
      <w:pPr>
        <w:ind w:left="2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$0.21 per share (both basic and fully diluted), compared with recurring FFO of $7.2 million, or $0.20 per share for the quarter ended September 30, 2000. FFO for third quarter 2000 included non-recurring lease termination income of $200,000, or $0.01 per share, in connection with the redevelopment project at the Abington Towne Center. FFO for the nine months ended September 30, 2001 was $21.7 million, or $0.63 per share. This compares with recurring FFO of $22.0 million, or $0.62 per share for the same period in 2000. FFO for the nine months ended September 30, 2000 included non-recurring lease termination income of $2.0 million, or $0.05 per share, associated with the above-mentioned project.</w:t>
      </w:r>
    </w:p>
    <w:p>
      <w:pPr>
        <w:spacing w:after="0" w:line="163" w:lineRule="exact"/>
        <w:rPr>
          <w:rFonts w:ascii="Courier New" w:cs="Courier New" w:eastAsia="Courier New" w:hAnsi="Courier New"/>
          <w:sz w:val="14"/>
          <w:szCs w:val="14"/>
          <w:color w:val="auto"/>
        </w:rPr>
      </w:pPr>
    </w:p>
    <w:p>
      <w:pPr>
        <w:ind w:left="260" w:right="3419" w:hanging="252"/>
        <w:spacing w:after="0" w:line="251"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the Company's core portfolio, occupancy (including the Crossroads joint venture property) was 92.9%, which was unchanged from second quarter 2001. The core portfolio, as previously defined by the Company, is comprised of 30 community and neighborhood shopping centers that are predominantly supermarket or discount retailer anchored and situated in high quality locations with, in many cases, limited competition in the local retail market.</w:t>
      </w:r>
    </w:p>
    <w:p>
      <w:pPr>
        <w:spacing w:after="0" w:line="329" w:lineRule="exact"/>
        <w:rPr>
          <w:rFonts w:ascii="Courier New" w:cs="Courier New" w:eastAsia="Courier New" w:hAnsi="Courier New"/>
          <w:sz w:val="14"/>
          <w:szCs w:val="14"/>
          <w:color w:val="auto"/>
        </w:rPr>
      </w:pPr>
    </w:p>
    <w:p>
      <w:pPr>
        <w:ind w:left="260" w:right="3339" w:hanging="252"/>
        <w:spacing w:after="0" w:line="251"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and into October 2001, Acadia made significant strides at three of its redevelopment properties. Accomplishments included the grand opening of a 158,000 square foot Target store at the Abington Towne Center in suburban Philadelphia. Acadia had previously sold this portion of the property to Target Corporation in December 2000. Wal*Mart opened a store in 89,000 square feet at the redevelopment and reanchoring project at the Methuen Shopping Center in Methuen, Massachusetts. Wal*Mart replaces the previous anchor, Caldor, whose lease was acquired by the Company in connection with Caldor's bankruptcy. At a third redevelopment project in South Burlington, Vermont, the Company executed a lease for a 66,000 square foot Shaw's supermarket, which replaces a former 32,000 undersized Grand Union supermarket at the center. Additional leasing activity within the core portfolio also included the opening of a 30,000 square foot Marshalls store at the Bloomfield Towne Square in Bloomfield Hills, Michigan.</w:t>
      </w:r>
    </w:p>
    <w:p>
      <w:pPr>
        <w:spacing w:after="0" w:line="162" w:lineRule="exact"/>
        <w:rPr>
          <w:rFonts w:ascii="Courier New" w:cs="Courier New" w:eastAsia="Courier New" w:hAnsi="Courier New"/>
          <w:sz w:val="14"/>
          <w:szCs w:val="14"/>
          <w:color w:val="auto"/>
        </w:rPr>
      </w:pPr>
    </w:p>
    <w:p>
      <w:pPr>
        <w:ind w:left="260" w:right="3339" w:hanging="252"/>
        <w:spacing w:after="0" w:line="251"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continued its progress with the non-core disposition program with the sale of two more retail properties. Following these completed sales and two additional properties currently under contract for sale, the Company will have executed on approximately 75% of the net value of its planned dispositions. Acadia completed the sale of the Wesmark Plaza, a 207,000 square foot shopping center located in Sumter, South Carolina. The Company also sold the Tioga West shopping center, a 122,000 square foot center anchored by an Ames department store and Penn Traffic supermarket. Additionally, Acadia signed two sales contracts during the third quarter to sell a non-core shopping center, the Union Plaza, which is also anchored by an Ames store, and a 463-unit apartment complex located in Greenbelt, Maryland.</w:t>
      </w:r>
    </w:p>
    <w:p>
      <w:pPr>
        <w:spacing w:after="0" w:line="328" w:lineRule="exact"/>
        <w:rPr>
          <w:rFonts w:ascii="Courier New" w:cs="Courier New" w:eastAsia="Courier New" w:hAnsi="Courier New"/>
          <w:sz w:val="14"/>
          <w:szCs w:val="14"/>
          <w:color w:val="auto"/>
        </w:rPr>
      </w:pPr>
    </w:p>
    <w:p>
      <w:pPr>
        <w:ind w:left="260" w:right="3519" w:hanging="252"/>
        <w:spacing w:after="0" w:line="252"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the Company completed two interest rate swap transactions. These agreements effectively fix the interest rate on $50 million of the Company's variable-rate debt at a blended rate of 6.4% for a weighted average term of approximately four years.</w:t>
      </w:r>
    </w:p>
    <w:p>
      <w:pPr>
        <w:spacing w:after="0" w:line="162" w:lineRule="exact"/>
        <w:rPr>
          <w:rFonts w:ascii="Courier New" w:cs="Courier New" w:eastAsia="Courier New" w:hAnsi="Courier New"/>
          <w:sz w:val="14"/>
          <w:szCs w:val="14"/>
          <w:color w:val="auto"/>
        </w:rPr>
      </w:pPr>
    </w:p>
    <w:p>
      <w:pPr>
        <w:ind w:left="260" w:right="3339" w:hanging="252"/>
        <w:spacing w:after="0" w:line="251"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previously announced in early October, Acadia formed a new joint venture during the third quarter with four of its key institutional investors. Under the terms of the joint venture agreement, Acadia and the investors will contribute $20 million and $70 million, respectively, and will seek to acquire up to $300 million of real estate assets, focusing on neighborhood and community shopping centers. Acadia will earn a pro-rata return on its invested equity and fees for construction, leasing and asset management services. Acadia also has the opportunity to earn additional amounts based on certain investment return thresholds.</w:t>
      </w:r>
    </w:p>
    <w:p>
      <w:pPr>
        <w:spacing w:after="0" w:line="163" w:lineRule="exact"/>
        <w:rPr>
          <w:rFonts w:ascii="Courier New" w:cs="Courier New" w:eastAsia="Courier New" w:hAnsi="Courier New"/>
          <w:sz w:val="14"/>
          <w:szCs w:val="14"/>
          <w:color w:val="auto"/>
        </w:rPr>
      </w:pPr>
    </w:p>
    <w:p>
      <w:pPr>
        <w:ind w:left="260" w:right="3339" w:hanging="252"/>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Commenting on the results for the quarter, Kenneth Bernstein, Chief Executive Officer, noted, "While we are focused on the continuing softening economy and its potential impact on the Company, we remain pleased with the performance of our core portfolio and our team's progress in implementing our key initiatives. The defensive profile of our necessity-based, supermarket and discount retailer anchored shopping centers has enabled our same property net operating income for our core portfolio to continue to grow and our occupancy at these centers to remain stable. However, we think it is prudent to remain cautious and anticipate a further weakening in the economy in the future. Nevertheless, we believe that the contributions to earnings from our redevelopment pipeline as well as lower cost debt should help to counterbalance the possible effects from the economic downturn. Additionally, the success of our non-core disposition program continues to improve the quality of our earnings and the strength of our balance sheet. Most importantly, our new joint venture, in partnership with some of our current key institutional investors, enables Acadia to take advantage of the investment opportunities that are beginning to present themselves in the current environment."</w:t>
      </w:r>
    </w:p>
    <w:p>
      <w:pPr>
        <w:sectPr>
          <w:pgSz w:w="11900" w:h="16838" w:orient="portrait"/>
          <w:cols w:equalWidth="0" w:num="1">
            <w:col w:w="10239"/>
          </w:cols>
          <w:pgMar w:left="220" w:top="616" w:right="1440" w:bottom="426" w:gutter="0" w:footer="0" w:header="0"/>
        </w:sectPr>
      </w:pPr>
    </w:p>
    <w:bookmarkStart w:id="5" w:name="page6"/>
    <w:bookmarkEnd w:id="5"/>
    <w:p>
      <w:pPr>
        <w:jc w:val="right"/>
        <w:ind w:right="3339"/>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2001</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Portfolio Snapshot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1"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Dayton, OH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Wilkes-Barre, 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Woonsocket, RI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[MAP OMITTED]</w:t>
      </w:r>
    </w:p>
    <w:p>
      <w:pPr>
        <w:spacing w:after="0" w:line="338" w:lineRule="exact"/>
        <w:rPr>
          <w:sz w:val="20"/>
          <w:szCs w:val="20"/>
          <w:color w:val="auto"/>
        </w:rPr>
      </w:pPr>
    </w:p>
    <w:p>
      <w:pPr>
        <w:sectPr>
          <w:pgSz w:w="11900" w:h="16838" w:orient="portrait"/>
          <w:cols w:equalWidth="0" w:num="2">
            <w:col w:w="2740" w:space="720"/>
            <w:col w:w="677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Headquarters - 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Headquarters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Offices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Multi-Family Properties</w:t>
      </w:r>
    </w:p>
    <w:p>
      <w:pPr>
        <w:sectPr>
          <w:pgSz w:w="11900" w:h="16838" w:orient="portrait"/>
          <w:cols w:equalWidth="0" w:num="1">
            <w:col w:w="10239"/>
          </w:cols>
          <w:pgMar w:left="220" w:top="451"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50 retail and 4 multi-family properties</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Approximately 10.4 million square feet of GLA</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19 Eastern and Midwestern states represented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1" w:right="1440" w:bottom="1440" w:gutter="0" w:footer="0" w:header="0"/>
          <w:type w:val="continuous"/>
        </w:sectPr>
      </w:pPr>
    </w:p>
    <w:bookmarkStart w:id="6" w:name="page7"/>
    <w:bookmarkEnd w:id="6"/>
    <w:p>
      <w:pPr>
        <w:ind w:left="602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Management Team</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Ross Dworman</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4"/>
          <w:szCs w:val="14"/>
          <w:color w:val="auto"/>
        </w:rPr>
        <w:t>Chairman</w:t>
      </w:r>
    </w:p>
    <w:p>
      <w:pPr>
        <w:spacing w:after="0" w:line="7" w:lineRule="exact"/>
        <w:rPr>
          <w:sz w:val="20"/>
          <w:szCs w:val="20"/>
          <w:color w:val="auto"/>
        </w:rPr>
      </w:pPr>
    </w:p>
    <w:p>
      <w:pPr>
        <w:ind w:left="5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Kenneth F. Bernstein</w:t>
      </w:r>
    </w:p>
    <w:p>
      <w:pPr>
        <w:spacing w:after="0" w:line="7"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Chief Executive Officer</w:t>
      </w:r>
    </w:p>
    <w:p>
      <w:pPr>
        <w:spacing w:after="0" w:line="7"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and President</w:t>
      </w:r>
    </w:p>
    <w:p>
      <w:pPr>
        <w:spacing w:after="0" w:line="7" w:lineRule="exact"/>
        <w:rPr>
          <w:sz w:val="20"/>
          <w:szCs w:val="20"/>
          <w:color w:val="auto"/>
        </w:rPr>
      </w:pPr>
    </w:p>
    <w:p>
      <w:pPr>
        <w:ind w:left="5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Acquisitions</w:t>
            </w:r>
          </w:p>
        </w:tc>
        <w:tc>
          <w:tcPr>
            <w:tcW w:w="2840" w:type="dxa"/>
            <w:vAlign w:val="bottom"/>
            <w:gridSpan w:val="2"/>
          </w:tcPr>
          <w:p>
            <w:pPr>
              <w:jc w:val="center"/>
              <w:ind w:right="448"/>
              <w:spacing w:after="0"/>
              <w:rPr>
                <w:sz w:val="20"/>
                <w:szCs w:val="20"/>
                <w:color w:val="auto"/>
              </w:rPr>
            </w:pPr>
            <w:r>
              <w:rPr>
                <w:rFonts w:ascii="Courier New" w:cs="Courier New" w:eastAsia="Courier New" w:hAnsi="Courier New"/>
                <w:sz w:val="14"/>
                <w:szCs w:val="14"/>
                <w:color w:val="auto"/>
              </w:rPr>
              <w:t>Leasing</w:t>
            </w:r>
          </w:p>
        </w:tc>
        <w:tc>
          <w:tcPr>
            <w:tcW w:w="3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Retail</w:t>
            </w:r>
          </w:p>
        </w:tc>
        <w:tc>
          <w:tcPr>
            <w:tcW w:w="2440" w:type="dxa"/>
            <w:vAlign w:val="bottom"/>
          </w:tcPr>
          <w:p>
            <w:pPr>
              <w:ind w:left="1240"/>
              <w:spacing w:after="0"/>
              <w:rPr>
                <w:sz w:val="20"/>
                <w:szCs w:val="20"/>
                <w:color w:val="auto"/>
              </w:rPr>
            </w:pPr>
            <w:r>
              <w:rPr>
                <w:rFonts w:ascii="Courier New" w:cs="Courier New" w:eastAsia="Courier New" w:hAnsi="Courier New"/>
                <w:sz w:val="14"/>
                <w:szCs w:val="14"/>
                <w:color w:val="auto"/>
              </w:rPr>
              <w:t>Construction</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Management</w:t>
            </w:r>
          </w:p>
        </w:tc>
        <w:tc>
          <w:tcPr>
            <w:tcW w:w="2440" w:type="dxa"/>
            <w:vAlign w:val="bottom"/>
          </w:tcPr>
          <w:p>
            <w:pPr>
              <w:ind w:left="1580"/>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Development</w:t>
            </w:r>
          </w:p>
        </w:tc>
      </w:tr>
      <w:tr>
        <w:trPr>
          <w:trHeight w:val="166"/>
        </w:trPr>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Joel Braun</w:t>
            </w:r>
          </w:p>
        </w:tc>
        <w:tc>
          <w:tcPr>
            <w:tcW w:w="1080" w:type="dxa"/>
            <w:vAlign w:val="bottom"/>
          </w:tcPr>
          <w:p>
            <w:pPr>
              <w:ind w:left="440"/>
              <w:spacing w:after="0"/>
              <w:rPr>
                <w:sz w:val="20"/>
                <w:szCs w:val="20"/>
                <w:color w:val="auto"/>
              </w:rPr>
            </w:pPr>
            <w:r>
              <w:rPr>
                <w:rFonts w:ascii="Courier New" w:cs="Courier New" w:eastAsia="Courier New" w:hAnsi="Courier New"/>
                <w:sz w:val="14"/>
                <w:szCs w:val="14"/>
                <w:color w:val="auto"/>
              </w:rPr>
              <w:t>Timothy</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J. Bruce</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Joseph Napolitano</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Sr. VP,</w:t>
            </w:r>
          </w:p>
        </w:tc>
        <w:tc>
          <w:tcPr>
            <w:tcW w:w="2840" w:type="dxa"/>
            <w:vAlign w:val="bottom"/>
            <w:gridSpan w:val="2"/>
          </w:tcPr>
          <w:p>
            <w:pPr>
              <w:jc w:val="center"/>
              <w:ind w:right="428"/>
              <w:spacing w:after="0"/>
              <w:rPr>
                <w:sz w:val="20"/>
                <w:szCs w:val="20"/>
                <w:color w:val="auto"/>
              </w:rPr>
            </w:pPr>
            <w:r>
              <w:rPr>
                <w:rFonts w:ascii="Courier New" w:cs="Courier New" w:eastAsia="Courier New" w:hAnsi="Courier New"/>
                <w:sz w:val="14"/>
                <w:szCs w:val="14"/>
                <w:color w:val="auto"/>
              </w:rPr>
              <w:t>Sr. VP, Dir. of</w:t>
            </w:r>
          </w:p>
        </w:tc>
        <w:tc>
          <w:tcPr>
            <w:tcW w:w="35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Sr. VP, Retail</w:t>
            </w:r>
          </w:p>
        </w:tc>
        <w:tc>
          <w:tcPr>
            <w:tcW w:w="2440" w:type="dxa"/>
            <w:vAlign w:val="bottom"/>
          </w:tcPr>
          <w:p>
            <w:pPr>
              <w:ind w:left="1240"/>
              <w:spacing w:after="0"/>
              <w:rPr>
                <w:sz w:val="20"/>
                <w:szCs w:val="20"/>
                <w:color w:val="auto"/>
              </w:rPr>
            </w:pPr>
            <w:r>
              <w:rPr>
                <w:rFonts w:ascii="Courier New" w:cs="Courier New" w:eastAsia="Courier New" w:hAnsi="Courier New"/>
                <w:sz w:val="14"/>
                <w:szCs w:val="14"/>
                <w:color w:val="auto"/>
              </w:rPr>
              <w:t>Joseph Hogan</w:t>
            </w:r>
          </w:p>
        </w:tc>
      </w:tr>
      <w:tr>
        <w:trPr>
          <w:trHeight w:val="166"/>
        </w:trPr>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Acquisitions</w:t>
            </w:r>
          </w:p>
        </w:tc>
        <w:tc>
          <w:tcPr>
            <w:tcW w:w="28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Leasing and</w:t>
            </w:r>
          </w:p>
        </w:tc>
        <w:tc>
          <w:tcPr>
            <w:tcW w:w="35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Management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Sr. VP, Dir. of</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Redevelopment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ind w:left="1240"/>
              <w:spacing w:after="0"/>
              <w:rPr>
                <w:sz w:val="20"/>
                <w:szCs w:val="20"/>
                <w:color w:val="auto"/>
              </w:rPr>
            </w:pPr>
            <w:r>
              <w:rPr>
                <w:rFonts w:ascii="Courier New" w:cs="Courier New" w:eastAsia="Courier New" w:hAnsi="Courier New"/>
                <w:sz w:val="14"/>
                <w:szCs w:val="14"/>
                <w:color w:val="auto"/>
              </w:rPr>
              <w:t>Construction</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520"/>
              <w:spacing w:after="0"/>
              <w:rPr>
                <w:sz w:val="20"/>
                <w:szCs w:val="20"/>
                <w:color w:val="auto"/>
              </w:rPr>
            </w:pPr>
            <w:r>
              <w:rPr>
                <w:rFonts w:ascii="Courier New" w:cs="Courier New" w:eastAsia="Courier New" w:hAnsi="Courier New"/>
                <w:sz w:val="14"/>
                <w:szCs w:val="14"/>
                <w:color w:val="auto"/>
              </w:rPr>
              <w:t>Joseph</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Povinelli</w:t>
            </w:r>
          </w:p>
        </w:tc>
        <w:tc>
          <w:tcPr>
            <w:tcW w:w="3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Robert Scholem</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center"/>
              <w:ind w:right="428"/>
              <w:spacing w:after="0"/>
              <w:rPr>
                <w:sz w:val="20"/>
                <w:szCs w:val="20"/>
                <w:color w:val="auto"/>
              </w:rPr>
            </w:pPr>
            <w:r>
              <w:rPr>
                <w:rFonts w:ascii="Courier New" w:cs="Courier New" w:eastAsia="Courier New" w:hAnsi="Courier New"/>
                <w:sz w:val="14"/>
                <w:szCs w:val="14"/>
                <w:color w:val="auto"/>
              </w:rPr>
              <w:t>VP, Leasing</w:t>
            </w:r>
          </w:p>
        </w:tc>
        <w:tc>
          <w:tcPr>
            <w:tcW w:w="3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VP, Property</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Management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15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760" w:type="dxa"/>
            <w:vAlign w:val="bottom"/>
          </w:tcPr>
          <w:p>
            <w:pPr>
              <w:jc w:val="center"/>
              <w:ind w:right="1528"/>
              <w:spacing w:after="0"/>
              <w:rPr>
                <w:sz w:val="20"/>
                <w:szCs w:val="20"/>
                <w:color w:val="auto"/>
              </w:rPr>
            </w:pPr>
            <w:r>
              <w:rPr>
                <w:rFonts w:ascii="Courier New" w:cs="Courier New" w:eastAsia="Courier New" w:hAnsi="Courier New"/>
                <w:sz w:val="14"/>
                <w:szCs w:val="14"/>
                <w:color w:val="auto"/>
                <w:w w:val="94"/>
              </w:rPr>
              <w:t>|</w:t>
            </w:r>
          </w:p>
        </w:tc>
        <w:tc>
          <w:tcPr>
            <w:tcW w:w="35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Regional</w:t>
            </w:r>
          </w:p>
        </w:tc>
        <w:tc>
          <w:tcPr>
            <w:tcW w:w="2440" w:type="dxa"/>
            <w:vAlign w:val="bottom"/>
          </w:tcPr>
          <w:p>
            <w:pPr>
              <w:ind w:left="1320"/>
              <w:spacing w:after="0"/>
              <w:rPr>
                <w:sz w:val="20"/>
                <w:szCs w:val="20"/>
                <w:color w:val="auto"/>
              </w:rPr>
            </w:pPr>
            <w:r>
              <w:rPr>
                <w:rFonts w:ascii="Courier New" w:cs="Courier New" w:eastAsia="Courier New" w:hAnsi="Courier New"/>
                <w:sz w:val="14"/>
                <w:szCs w:val="14"/>
                <w:color w:val="auto"/>
              </w:rPr>
              <w:t>Construction</w:t>
            </w:r>
          </w:p>
        </w:tc>
      </w:tr>
      <w:tr>
        <w:trPr>
          <w:trHeight w:val="166"/>
        </w:trPr>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Joseph Ginex</w:t>
            </w:r>
          </w:p>
        </w:tc>
        <w:tc>
          <w:tcPr>
            <w:tcW w:w="2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Regional Leasing</w:t>
            </w:r>
          </w:p>
        </w:tc>
        <w:tc>
          <w:tcPr>
            <w:tcW w:w="35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Management</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Supervision</w:t>
            </w:r>
          </w:p>
        </w:tc>
      </w:tr>
      <w:tr>
        <w:trPr>
          <w:trHeight w:val="166"/>
        </w:trPr>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Associate</w:t>
            </w:r>
          </w:p>
        </w:tc>
        <w:tc>
          <w:tcPr>
            <w:tcW w:w="2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4 Representatives</w:t>
            </w:r>
          </w:p>
        </w:tc>
        <w:tc>
          <w:tcPr>
            <w:tcW w:w="35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4 Managers</w:t>
            </w:r>
          </w:p>
        </w:tc>
        <w:tc>
          <w:tcPr>
            <w:tcW w:w="244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2 Supervisors</w:t>
            </w:r>
          </w:p>
        </w:tc>
      </w:tr>
      <w:tr>
        <w:trPr>
          <w:trHeight w:val="166"/>
        </w:trPr>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spacing w:after="0"/>
              <w:rPr>
                <w:sz w:val="14"/>
                <w:szCs w:val="14"/>
                <w:color w:val="auto"/>
              </w:rPr>
            </w:pPr>
          </w:p>
        </w:tc>
      </w:tr>
      <w:tr>
        <w:trPr>
          <w:trHeight w:val="166"/>
        </w:trPr>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spacing w:after="0"/>
              <w:rPr>
                <w:sz w:val="14"/>
                <w:szCs w:val="14"/>
                <w:color w:val="auto"/>
              </w:rPr>
            </w:pPr>
          </w:p>
        </w:tc>
      </w:tr>
      <w:tr>
        <w:trPr>
          <w:trHeight w:val="166"/>
        </w:trPr>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0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2440" w:type="dxa"/>
            <w:vAlign w:val="bottom"/>
          </w:tcPr>
          <w:p>
            <w:pPr>
              <w:spacing w:after="0"/>
              <w:rPr>
                <w:sz w:val="14"/>
                <w:szCs w:val="14"/>
                <w:color w:val="auto"/>
              </w:rPr>
            </w:pPr>
          </w:p>
        </w:tc>
      </w:tr>
    </w:tbl>
    <w:p>
      <w:pPr>
        <w:spacing w:after="0" w:line="4" w:lineRule="exact"/>
        <w:rPr>
          <w:sz w:val="20"/>
          <w:szCs w:val="20"/>
          <w:color w:val="auto"/>
        </w:rPr>
      </w:pPr>
    </w:p>
    <w:p>
      <w:pPr>
        <w:ind w:left="5680"/>
        <w:spacing w:after="0"/>
        <w:rPr>
          <w:sz w:val="20"/>
          <w:szCs w:val="20"/>
          <w:color w:val="auto"/>
        </w:rPr>
      </w:pPr>
      <w:r>
        <w:rPr>
          <w:rFonts w:ascii="Courier New" w:cs="Courier New" w:eastAsia="Courier New" w:hAnsi="Courier New"/>
          <w:sz w:val="14"/>
          <w:szCs w:val="14"/>
          <w:color w:val="auto"/>
        </w:rPr>
        <w:t>Onsite</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Management</w:t>
      </w:r>
    </w:p>
    <w:p>
      <w:pPr>
        <w:spacing w:after="0" w:line="7"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2 Managers</w:t>
      </w:r>
    </w:p>
    <w:p>
      <w:pPr>
        <w:sectPr>
          <w:pgSz w:w="11900" w:h="16838" w:orient="portrait"/>
          <w:cols w:equalWidth="0" w:num="1">
            <w:col w:w="10680"/>
          </w:cols>
          <w:pgMar w:left="580" w:top="451" w:right="6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680" w:type="dxa"/>
            <w:vAlign w:val="bottom"/>
            <w:gridSpan w:val="2"/>
          </w:tcPr>
          <w:p>
            <w:pPr>
              <w:jc w:val="right"/>
              <w:ind w:right="1648"/>
              <w:spacing w:after="0"/>
              <w:rPr>
                <w:sz w:val="20"/>
                <w:szCs w:val="20"/>
                <w:color w:val="auto"/>
              </w:rPr>
            </w:pPr>
            <w:r>
              <w:rPr>
                <w:rFonts w:ascii="Courier New" w:cs="Courier New" w:eastAsia="Courier New" w:hAnsi="Courier New"/>
                <w:sz w:val="14"/>
                <w:szCs w:val="14"/>
                <w:color w:val="auto"/>
              </w:rPr>
              <w:t>[RESTUBBED]</w:t>
            </w:r>
          </w:p>
        </w:tc>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828"/>
        </w:trPr>
        <w:tc>
          <w:tcPr>
            <w:tcW w:w="9480" w:type="dxa"/>
            <w:vAlign w:val="bottom"/>
            <w:gridSpan w:val="5"/>
          </w:tcPr>
          <w:p>
            <w:pPr>
              <w:ind w:left="6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Finance and</w:t>
            </w: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6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Legal</w:t>
            </w:r>
          </w:p>
        </w:tc>
        <w:tc>
          <w:tcPr>
            <w:tcW w:w="224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9"/>
              </w:rPr>
              <w:t>Asset</w:t>
            </w: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Management</w:t>
            </w: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w:t>
            </w: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Robert</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Masters</w:t>
            </w:r>
          </w:p>
        </w:tc>
        <w:tc>
          <w:tcPr>
            <w:tcW w:w="3620" w:type="dxa"/>
            <w:vAlign w:val="bottom"/>
            <w:gridSpan w:val="2"/>
          </w:tcPr>
          <w:p>
            <w:pPr>
              <w:jc w:val="center"/>
              <w:ind w:left="1828"/>
              <w:spacing w:after="0"/>
              <w:rPr>
                <w:sz w:val="20"/>
                <w:szCs w:val="20"/>
                <w:color w:val="auto"/>
              </w:rPr>
            </w:pPr>
            <w:r>
              <w:rPr>
                <w:rFonts w:ascii="Courier New" w:cs="Courier New" w:eastAsia="Courier New" w:hAnsi="Courier New"/>
                <w:sz w:val="14"/>
                <w:szCs w:val="14"/>
                <w:color w:val="auto"/>
              </w:rPr>
              <w:t>Perry Kamerman</w:t>
            </w: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Sr. VP,</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General</w:t>
            </w:r>
          </w:p>
        </w:tc>
        <w:tc>
          <w:tcPr>
            <w:tcW w:w="3620" w:type="dxa"/>
            <w:vAlign w:val="bottom"/>
            <w:gridSpan w:val="2"/>
          </w:tcPr>
          <w:p>
            <w:pPr>
              <w:jc w:val="center"/>
              <w:ind w:left="1748"/>
              <w:spacing w:after="0"/>
              <w:rPr>
                <w:sz w:val="20"/>
                <w:szCs w:val="20"/>
                <w:color w:val="auto"/>
              </w:rPr>
            </w:pPr>
            <w:r>
              <w:rPr>
                <w:rFonts w:ascii="Courier New" w:cs="Courier New" w:eastAsia="Courier New" w:hAnsi="Courier New"/>
                <w:sz w:val="14"/>
                <w:szCs w:val="14"/>
                <w:color w:val="auto"/>
              </w:rPr>
              <w:t>Sr. VP, Chief</w:t>
            </w:r>
          </w:p>
        </w:tc>
        <w:tc>
          <w:tcPr>
            <w:tcW w:w="3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680" w:type="dxa"/>
            <w:vAlign w:val="bottom"/>
            <w:gridSpan w:val="2"/>
          </w:tcPr>
          <w:p>
            <w:pPr>
              <w:jc w:val="right"/>
              <w:ind w:right="1648"/>
              <w:spacing w:after="0"/>
              <w:rPr>
                <w:sz w:val="20"/>
                <w:szCs w:val="20"/>
                <w:color w:val="auto"/>
              </w:rPr>
            </w:pPr>
            <w:r>
              <w:rPr>
                <w:rFonts w:ascii="Courier New" w:cs="Courier New" w:eastAsia="Courier New" w:hAnsi="Courier New"/>
                <w:sz w:val="14"/>
                <w:szCs w:val="14"/>
                <w:color w:val="auto"/>
              </w:rPr>
              <w:t>Counsel</w:t>
            </w:r>
          </w:p>
        </w:tc>
        <w:tc>
          <w:tcPr>
            <w:tcW w:w="6800" w:type="dxa"/>
            <w:vAlign w:val="bottom"/>
            <w:gridSpan w:val="3"/>
          </w:tcPr>
          <w:p>
            <w:pPr>
              <w:jc w:val="center"/>
              <w:ind w:right="948"/>
              <w:spacing w:after="0"/>
              <w:rPr>
                <w:sz w:val="20"/>
                <w:szCs w:val="20"/>
                <w:color w:val="auto"/>
              </w:rPr>
            </w:pPr>
            <w:r>
              <w:rPr>
                <w:rFonts w:ascii="Courier New" w:cs="Courier New" w:eastAsia="Courier New" w:hAnsi="Courier New"/>
                <w:sz w:val="14"/>
                <w:szCs w:val="14"/>
                <w:color w:val="auto"/>
              </w:rPr>
              <w:t>--Financial Officer----</w:t>
            </w:r>
          </w:p>
        </w:tc>
        <w:tc>
          <w:tcPr>
            <w:tcW w:w="80" w:type="dxa"/>
            <w:vAlign w:val="bottom"/>
          </w:tcPr>
          <w:p>
            <w:pPr>
              <w:spacing w:after="0"/>
              <w:rPr>
                <w:sz w:val="14"/>
                <w:szCs w:val="14"/>
                <w:color w:val="auto"/>
              </w:rPr>
            </w:pP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318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318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Carol</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Smrek</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Arnold</w:t>
            </w:r>
          </w:p>
        </w:tc>
        <w:tc>
          <w:tcPr>
            <w:tcW w:w="1380" w:type="dxa"/>
            <w:vAlign w:val="bottom"/>
          </w:tcPr>
          <w:p>
            <w:pPr>
              <w:ind w:left="420"/>
              <w:spacing w:after="0"/>
              <w:rPr>
                <w:sz w:val="20"/>
                <w:szCs w:val="20"/>
                <w:color w:val="auto"/>
              </w:rPr>
            </w:pPr>
            <w:r>
              <w:rPr>
                <w:rFonts w:ascii="Courier New" w:cs="Courier New" w:eastAsia="Courier New" w:hAnsi="Courier New"/>
                <w:sz w:val="14"/>
                <w:szCs w:val="14"/>
                <w:color w:val="auto"/>
              </w:rPr>
              <w:t>Maggie Hui</w:t>
            </w:r>
          </w:p>
        </w:tc>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Jon Grisham</w:t>
            </w:r>
          </w:p>
        </w:tc>
        <w:tc>
          <w:tcPr>
            <w:tcW w:w="80" w:type="dxa"/>
            <w:vAlign w:val="bottom"/>
          </w:tcPr>
          <w:p>
            <w:pPr>
              <w:spacing w:after="0"/>
              <w:rPr>
                <w:sz w:val="14"/>
                <w:szCs w:val="14"/>
                <w:color w:val="auto"/>
              </w:rPr>
            </w:pPr>
          </w:p>
        </w:tc>
      </w:tr>
      <w:tr>
        <w:trPr>
          <w:trHeight w:val="166"/>
        </w:trPr>
        <w:tc>
          <w:tcPr>
            <w:tcW w:w="26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VP, Counsel</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Wachsberger</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VP, Controller</w:t>
            </w:r>
          </w:p>
        </w:tc>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VP, Dir. of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VP, Finance</w:t>
            </w:r>
          </w:p>
        </w:tc>
        <w:tc>
          <w:tcPr>
            <w:tcW w:w="1380" w:type="dxa"/>
            <w:vAlign w:val="bottom"/>
          </w:tcPr>
          <w:p>
            <w:pPr>
              <w:spacing w:after="0"/>
              <w:rPr>
                <w:sz w:val="14"/>
                <w:szCs w:val="14"/>
                <w:color w:val="auto"/>
              </w:rPr>
            </w:pPr>
          </w:p>
        </w:tc>
        <w:tc>
          <w:tcPr>
            <w:tcW w:w="318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Financial Reporting</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318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80" w:type="dxa"/>
            <w:vAlign w:val="bottom"/>
          </w:tcPr>
          <w:p>
            <w:pPr>
              <w:jc w:val="center"/>
              <w:ind w:right="28"/>
              <w:spacing w:after="0"/>
              <w:rPr>
                <w:sz w:val="20"/>
                <w:szCs w:val="20"/>
                <w:color w:val="auto"/>
              </w:rPr>
            </w:pPr>
            <w:r>
              <w:rPr>
                <w:rFonts w:ascii="Courier New" w:cs="Courier New" w:eastAsia="Courier New" w:hAnsi="Courier New"/>
                <w:sz w:val="14"/>
                <w:szCs w:val="14"/>
                <w:color w:val="auto"/>
                <w:w w:val="94"/>
              </w:rPr>
              <w:t>|</w:t>
            </w:r>
          </w:p>
        </w:tc>
        <w:tc>
          <w:tcPr>
            <w:tcW w:w="318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4" w:lineRule="exact"/>
        <w:rPr>
          <w:sz w:val="20"/>
          <w:szCs w:val="20"/>
          <w:color w:val="auto"/>
        </w:rPr>
      </w:pPr>
    </w:p>
    <w:p>
      <w:pPr>
        <w:ind w:left="180"/>
        <w:spacing w:after="0"/>
        <w:tabs>
          <w:tab w:leader="none" w:pos="5080" w:val="left"/>
          <w:tab w:leader="none" w:pos="7060" w:val="left"/>
          <w:tab w:leader="none" w:pos="9200" w:val="left"/>
        </w:tabs>
        <w:rPr>
          <w:sz w:val="20"/>
          <w:szCs w:val="20"/>
          <w:color w:val="auto"/>
        </w:rPr>
      </w:pPr>
      <w:r>
        <w:rPr>
          <w:rFonts w:ascii="Courier New" w:cs="Courier New" w:eastAsia="Courier New" w:hAnsi="Courier New"/>
          <w:sz w:val="14"/>
          <w:szCs w:val="14"/>
          <w:color w:val="auto"/>
        </w:rPr>
        <w:t>Karen Yamrus</w:t>
      </w:r>
      <w:r>
        <w:rPr>
          <w:sz w:val="20"/>
          <w:szCs w:val="20"/>
          <w:color w:val="auto"/>
        </w:rPr>
        <w:tab/>
      </w:r>
      <w:r>
        <w:rPr>
          <w:rFonts w:ascii="Courier New" w:cs="Courier New" w:eastAsia="Courier New" w:hAnsi="Courier New"/>
          <w:sz w:val="14"/>
          <w:szCs w:val="14"/>
          <w:color w:val="auto"/>
        </w:rPr>
        <w:t>Richard Hartmann</w:t>
      </w:r>
      <w:r>
        <w:rPr>
          <w:sz w:val="20"/>
          <w:szCs w:val="20"/>
          <w:color w:val="auto"/>
        </w:rPr>
        <w:tab/>
      </w:r>
      <w:r>
        <w:rPr>
          <w:rFonts w:ascii="Courier New" w:cs="Courier New" w:eastAsia="Courier New" w:hAnsi="Courier New"/>
          <w:sz w:val="14"/>
          <w:szCs w:val="14"/>
          <w:color w:val="auto"/>
        </w:rPr>
        <w:t>Sr. Lease Admin.</w:t>
      </w:r>
      <w:r>
        <w:rPr>
          <w:sz w:val="20"/>
          <w:szCs w:val="20"/>
          <w:color w:val="auto"/>
        </w:rPr>
        <w:tab/>
      </w:r>
      <w:r>
        <w:rPr>
          <w:rFonts w:ascii="Courier New" w:cs="Courier New" w:eastAsia="Courier New" w:hAnsi="Courier New"/>
          <w:sz w:val="14"/>
          <w:szCs w:val="14"/>
          <w:color w:val="auto"/>
        </w:rPr>
        <w:t>Mardi Cezveci</w:t>
      </w:r>
    </w:p>
    <w:p>
      <w:pPr>
        <w:spacing w:after="0" w:line="7" w:lineRule="exact"/>
        <w:rPr>
          <w:sz w:val="20"/>
          <w:szCs w:val="20"/>
          <w:color w:val="auto"/>
        </w:rPr>
      </w:pPr>
    </w:p>
    <w:p>
      <w:pPr>
        <w:ind w:left="180"/>
        <w:spacing w:after="0"/>
        <w:tabs>
          <w:tab w:leader="none" w:pos="4900" w:val="left"/>
          <w:tab w:leader="none" w:pos="6960" w:val="left"/>
          <w:tab w:leader="none" w:pos="8940" w:val="left"/>
        </w:tabs>
        <w:rPr>
          <w:sz w:val="20"/>
          <w:szCs w:val="20"/>
          <w:color w:val="auto"/>
        </w:rPr>
      </w:pPr>
      <w:r>
        <w:rPr>
          <w:rFonts w:ascii="Courier New" w:cs="Courier New" w:eastAsia="Courier New" w:hAnsi="Courier New"/>
          <w:sz w:val="14"/>
          <w:szCs w:val="14"/>
          <w:color w:val="auto"/>
        </w:rPr>
        <w:t>Asst. VP, Sr.</w:t>
      </w:r>
      <w:r>
        <w:rPr>
          <w:sz w:val="20"/>
          <w:szCs w:val="20"/>
          <w:color w:val="auto"/>
        </w:rPr>
        <w:tab/>
      </w:r>
      <w:r>
        <w:rPr>
          <w:rFonts w:ascii="Courier New" w:cs="Courier New" w:eastAsia="Courier New" w:hAnsi="Courier New"/>
          <w:sz w:val="14"/>
          <w:szCs w:val="14"/>
          <w:color w:val="auto"/>
        </w:rPr>
        <w:t>Assistant Controller</w:t>
      </w:r>
      <w:r>
        <w:rPr>
          <w:sz w:val="20"/>
          <w:szCs w:val="20"/>
          <w:color w:val="auto"/>
        </w:rPr>
        <w:tab/>
      </w:r>
      <w:r>
        <w:rPr>
          <w:rFonts w:ascii="Courier New" w:cs="Courier New" w:eastAsia="Courier New" w:hAnsi="Courier New"/>
          <w:sz w:val="14"/>
          <w:szCs w:val="14"/>
          <w:color w:val="auto"/>
        </w:rPr>
        <w:t>2 Individuals</w:t>
      </w:r>
      <w:r>
        <w:rPr>
          <w:sz w:val="20"/>
          <w:szCs w:val="20"/>
          <w:color w:val="auto"/>
        </w:rPr>
        <w:tab/>
      </w:r>
      <w:r>
        <w:rPr>
          <w:rFonts w:ascii="Courier New" w:cs="Courier New" w:eastAsia="Courier New" w:hAnsi="Courier New"/>
          <w:sz w:val="14"/>
          <w:szCs w:val="14"/>
          <w:color w:val="auto"/>
        </w:rPr>
        <w:t>Mgmt. Information</w:t>
      </w:r>
    </w:p>
    <w:p>
      <w:pPr>
        <w:spacing w:after="0" w:line="7" w:lineRule="exact"/>
        <w:rPr>
          <w:sz w:val="20"/>
          <w:szCs w:val="20"/>
          <w:color w:val="auto"/>
        </w:rPr>
      </w:pPr>
    </w:p>
    <w:p>
      <w:pPr>
        <w:ind w:left="260"/>
        <w:spacing w:after="0"/>
        <w:tabs>
          <w:tab w:leader="none" w:pos="9300" w:val="left"/>
        </w:tabs>
        <w:rPr>
          <w:sz w:val="20"/>
          <w:szCs w:val="20"/>
          <w:color w:val="auto"/>
        </w:rPr>
      </w:pPr>
      <w:r>
        <w:rPr>
          <w:rFonts w:ascii="Courier New" w:cs="Courier New" w:eastAsia="Courier New" w:hAnsi="Courier New"/>
          <w:sz w:val="14"/>
          <w:szCs w:val="14"/>
          <w:color w:val="auto"/>
        </w:rPr>
        <w:t>Paralegal</w:t>
      </w:r>
      <w:r>
        <w:rPr>
          <w:sz w:val="20"/>
          <w:szCs w:val="20"/>
          <w:color w:val="auto"/>
        </w:rPr>
        <w:tab/>
      </w:r>
      <w:r>
        <w:rPr>
          <w:rFonts w:ascii="Courier New" w:cs="Courier New" w:eastAsia="Courier New" w:hAnsi="Courier New"/>
          <w:sz w:val="14"/>
          <w:szCs w:val="14"/>
          <w:color w:val="auto"/>
        </w:rPr>
        <w:t>Systems</w:t>
      </w:r>
    </w:p>
    <w:p>
      <w:pPr>
        <w:sectPr>
          <w:pgSz w:w="11900" w:h="16838" w:orient="portrait"/>
          <w:cols w:equalWidth="0" w:num="1">
            <w:col w:w="10440"/>
          </w:cols>
          <w:pgMar w:left="220" w:top="451" w:right="1239" w:bottom="1440" w:gutter="0" w:footer="0" w:header="0"/>
        </w:sectPr>
      </w:pPr>
    </w:p>
    <w:bookmarkStart w:id="8" w:name="page9"/>
    <w:bookmarkEnd w:id="8"/>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780"/>
              <w:spacing w:after="0"/>
              <w:rPr>
                <w:sz w:val="20"/>
                <w:szCs w:val="20"/>
                <w:color w:val="auto"/>
              </w:rPr>
            </w:pPr>
            <w:r>
              <w:rPr>
                <w:rFonts w:ascii="Courier New" w:cs="Courier New" w:eastAsia="Courier New" w:hAnsi="Courier New"/>
                <w:sz w:val="14"/>
                <w:szCs w:val="14"/>
                <w:color w:val="auto"/>
              </w:rPr>
              <w:t>[LOGO]</w:t>
            </w:r>
          </w:p>
        </w:tc>
      </w:tr>
      <w:tr>
        <w:trPr>
          <w:trHeight w:val="331"/>
        </w:trPr>
        <w:tc>
          <w:tcPr>
            <w:tcW w:w="1940" w:type="dxa"/>
            <w:vAlign w:val="bottom"/>
          </w:tcPr>
          <w:p>
            <w:pPr>
              <w:spacing w:after="0"/>
              <w:rPr>
                <w:sz w:val="24"/>
                <w:szCs w:val="24"/>
                <w:color w:val="auto"/>
              </w:rPr>
            </w:pP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QUARTERLY SUPPLEMENTAL DISCLOSURE</w:t>
            </w:r>
          </w:p>
        </w:tc>
        <w:tc>
          <w:tcPr>
            <w:tcW w:w="5780" w:type="dxa"/>
            <w:vAlign w:val="bottom"/>
          </w:tcPr>
          <w:p>
            <w:pPr>
              <w:spacing w:after="0"/>
              <w:rPr>
                <w:sz w:val="24"/>
                <w:szCs w:val="24"/>
                <w:color w:val="auto"/>
              </w:rPr>
            </w:pPr>
          </w:p>
        </w:tc>
      </w:tr>
      <w:tr>
        <w:trPr>
          <w:trHeight w:val="166"/>
        </w:trPr>
        <w:tc>
          <w:tcPr>
            <w:tcW w:w="1940" w:type="dxa"/>
            <w:vAlign w:val="bottom"/>
          </w:tcPr>
          <w:p>
            <w:pPr>
              <w:spacing w:after="0"/>
              <w:rPr>
                <w:sz w:val="14"/>
                <w:szCs w:val="14"/>
                <w:color w:val="auto"/>
              </w:rPr>
            </w:pPr>
          </w:p>
        </w:tc>
        <w:tc>
          <w:tcPr>
            <w:tcW w:w="3660" w:type="dxa"/>
            <w:vAlign w:val="bottom"/>
          </w:tcPr>
          <w:p>
            <w:pPr>
              <w:ind w:left="740"/>
              <w:spacing w:after="0"/>
              <w:rPr>
                <w:sz w:val="20"/>
                <w:szCs w:val="20"/>
                <w:color w:val="auto"/>
              </w:rPr>
            </w:pPr>
            <w:r>
              <w:rPr>
                <w:rFonts w:ascii="Courier New" w:cs="Courier New" w:eastAsia="Courier New" w:hAnsi="Courier New"/>
                <w:sz w:val="14"/>
                <w:szCs w:val="14"/>
                <w:color w:val="auto"/>
              </w:rPr>
              <w:t>SEPTEMBER 30, 2001</w:t>
            </w:r>
          </w:p>
        </w:tc>
        <w:tc>
          <w:tcPr>
            <w:tcW w:w="5780" w:type="dxa"/>
            <w:vAlign w:val="bottom"/>
          </w:tcPr>
          <w:p>
            <w:pPr>
              <w:spacing w:after="0"/>
              <w:rPr>
                <w:sz w:val="14"/>
                <w:szCs w:val="14"/>
                <w:color w:val="auto"/>
              </w:rPr>
            </w:pPr>
          </w:p>
        </w:tc>
      </w:tr>
      <w:tr>
        <w:trPr>
          <w:trHeight w:val="497"/>
        </w:trPr>
        <w:tc>
          <w:tcPr>
            <w:tcW w:w="1940" w:type="dxa"/>
            <w:vAlign w:val="bottom"/>
          </w:tcPr>
          <w:p>
            <w:pPr>
              <w:spacing w:after="0"/>
              <w:rPr>
                <w:sz w:val="24"/>
                <w:szCs w:val="24"/>
                <w:color w:val="auto"/>
              </w:rPr>
            </w:pPr>
          </w:p>
        </w:tc>
        <w:tc>
          <w:tcPr>
            <w:tcW w:w="3660" w:type="dxa"/>
            <w:vAlign w:val="bottom"/>
          </w:tcPr>
          <w:p>
            <w:pPr>
              <w:ind w:left="480"/>
              <w:spacing w:after="0"/>
              <w:rPr>
                <w:sz w:val="20"/>
                <w:szCs w:val="20"/>
                <w:color w:val="auto"/>
              </w:rPr>
            </w:pPr>
            <w:r>
              <w:rPr>
                <w:rFonts w:ascii="Courier New" w:cs="Courier New" w:eastAsia="Courier New" w:hAnsi="Courier New"/>
                <w:sz w:val="14"/>
                <w:szCs w:val="14"/>
                <w:color w:val="auto"/>
              </w:rPr>
              <w:t>Executive Management Team</w:t>
            </w:r>
          </w:p>
        </w:tc>
        <w:tc>
          <w:tcPr>
            <w:tcW w:w="5780" w:type="dxa"/>
            <w:vAlign w:val="bottom"/>
          </w:tcPr>
          <w:p>
            <w:pPr>
              <w:spacing w:after="0"/>
              <w:rPr>
                <w:sz w:val="24"/>
                <w:szCs w:val="24"/>
                <w:color w:val="auto"/>
              </w:rPr>
            </w:pPr>
          </w:p>
        </w:tc>
      </w:tr>
      <w:tr>
        <w:trPr>
          <w:trHeight w:val="166"/>
        </w:trPr>
        <w:tc>
          <w:tcPr>
            <w:tcW w:w="1940" w:type="dxa"/>
            <w:vAlign w:val="bottom"/>
          </w:tcPr>
          <w:p>
            <w:pPr>
              <w:spacing w:after="0"/>
              <w:rPr>
                <w:sz w:val="14"/>
                <w:szCs w:val="14"/>
                <w:color w:val="auto"/>
              </w:rPr>
            </w:pPr>
          </w:p>
        </w:tc>
        <w:tc>
          <w:tcPr>
            <w:tcW w:w="36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578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Ross Dworman</w:t>
            </w:r>
          </w:p>
        </w:tc>
        <w:tc>
          <w:tcPr>
            <w:tcW w:w="3660" w:type="dxa"/>
            <w:vAlign w:val="bottom"/>
          </w:tcPr>
          <w:p>
            <w:pPr>
              <w:ind w:left="1260"/>
              <w:spacing w:after="0"/>
              <w:rPr>
                <w:sz w:val="20"/>
                <w:szCs w:val="20"/>
                <w:color w:val="auto"/>
              </w:rPr>
            </w:pPr>
            <w:r>
              <w:rPr>
                <w:rFonts w:ascii="Courier New" w:cs="Courier New" w:eastAsia="Courier New" w:hAnsi="Courier New"/>
                <w:sz w:val="14"/>
                <w:szCs w:val="14"/>
                <w:color w:val="auto"/>
              </w:rPr>
              <w:t>Chairman of the Board</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Mr. Dworman assists with long-term strategic planning for the</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Company. Mr. Dworman was President and Chief Executive Officer</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of RD Capital, Inc. from 1987 until the merger of RD Capital</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with Mark Centers Trust in August of 1998, forming Acadia</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Realty Trust. From 1984 to 1987, Mr. Dworman was an associate</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at Odyssey Partners, L.P., a hedge fund engaged in leveraged</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buy-outs and real estate investment, and from 1981 until 1984,</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he was a Financial Analyst for Salomon, Inc. Mr. Dworman</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received his Bachelor of Arts Degree from the University of</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Pennsylvania.</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Kenneth F. Bernstein</w:t>
            </w:r>
          </w:p>
        </w:tc>
        <w:tc>
          <w:tcPr>
            <w:tcW w:w="3660" w:type="dxa"/>
            <w:vAlign w:val="bottom"/>
          </w:tcPr>
          <w:p>
            <w:pPr>
              <w:ind w:left="1000"/>
              <w:spacing w:after="0"/>
              <w:rPr>
                <w:sz w:val="20"/>
                <w:szCs w:val="20"/>
                <w:color w:val="auto"/>
              </w:rPr>
            </w:pPr>
            <w:r>
              <w:rPr>
                <w:rFonts w:ascii="Courier New" w:cs="Courier New" w:eastAsia="Courier New" w:hAnsi="Courier New"/>
                <w:sz w:val="14"/>
                <w:szCs w:val="14"/>
                <w:color w:val="auto"/>
              </w:rPr>
              <w:t>Chief Executive Officer and</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Mr. Bernstein is responsible for strategic planning as well as</w:t>
            </w:r>
          </w:p>
        </w:tc>
      </w:tr>
      <w:tr>
        <w:trPr>
          <w:trHeight w:val="166"/>
        </w:trPr>
        <w:tc>
          <w:tcPr>
            <w:tcW w:w="1940" w:type="dxa"/>
            <w:vAlign w:val="bottom"/>
          </w:tcPr>
          <w:p>
            <w:pPr>
              <w:spacing w:after="0"/>
              <w:rPr>
                <w:sz w:val="14"/>
                <w:szCs w:val="14"/>
                <w:color w:val="auto"/>
              </w:rPr>
            </w:pPr>
          </w:p>
        </w:tc>
        <w:tc>
          <w:tcPr>
            <w:tcW w:w="3660" w:type="dxa"/>
            <w:vAlign w:val="bottom"/>
          </w:tcPr>
          <w:p>
            <w:pPr>
              <w:ind w:left="1080"/>
              <w:spacing w:after="0"/>
              <w:rPr>
                <w:sz w:val="20"/>
                <w:szCs w:val="20"/>
                <w:color w:val="auto"/>
              </w:rPr>
            </w:pPr>
            <w:r>
              <w:rPr>
                <w:rFonts w:ascii="Courier New" w:cs="Courier New" w:eastAsia="Courier New" w:hAnsi="Courier New"/>
                <w:sz w:val="14"/>
                <w:szCs w:val="14"/>
                <w:color w:val="auto"/>
              </w:rPr>
              <w:t>President</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overseeing all day to day activities of the Company including</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operations, acquisitions and capital markets. Mr. Bernstein</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served as the Chief Operating Officer of RD Capital, Inc. from</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1990 until the merger of RD Capital with Mark Centers Trust in</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August of 1998, forming Acadia Realty Trust. In such capacity,</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he was responsible for overseeing the day-to-day operations of</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RD Capital and its management companies, Acadia Management</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Company LLC and Sound View Management LLC. Prior to joining RD</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Capital, Mr. Bernstein was an associate with the New York law</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firm of Battle Fowler, LLP, from 1986 to 1990. Mr. Bernstein</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received his Bachelor of Arts Degree from the University of</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Vermont and his Juris Doctorate from Boston University School</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of Law.</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Joel Braun</w:t>
            </w:r>
          </w:p>
        </w:tc>
        <w:tc>
          <w:tcPr>
            <w:tcW w:w="3660" w:type="dxa"/>
            <w:vAlign w:val="bottom"/>
          </w:tcPr>
          <w:p>
            <w:pPr>
              <w:ind w:left="1260"/>
              <w:spacing w:after="0"/>
              <w:rPr>
                <w:sz w:val="20"/>
                <w:szCs w:val="20"/>
                <w:color w:val="auto"/>
              </w:rPr>
            </w:pPr>
            <w:r>
              <w:rPr>
                <w:rFonts w:ascii="Courier New" w:cs="Courier New" w:eastAsia="Courier New" w:hAnsi="Courier New"/>
                <w:sz w:val="14"/>
                <w:szCs w:val="14"/>
                <w:color w:val="auto"/>
              </w:rPr>
              <w:t>Senior Vice President,</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Mr. Braun is responsible for the sourcing and financial</w:t>
            </w:r>
          </w:p>
        </w:tc>
      </w:tr>
      <w:tr>
        <w:trPr>
          <w:trHeight w:val="166"/>
        </w:trPr>
        <w:tc>
          <w:tcPr>
            <w:tcW w:w="1940" w:type="dxa"/>
            <w:vAlign w:val="bottom"/>
          </w:tcPr>
          <w:p>
            <w:pPr>
              <w:spacing w:after="0"/>
              <w:rPr>
                <w:sz w:val="14"/>
                <w:szCs w:val="14"/>
                <w:color w:val="auto"/>
              </w:rPr>
            </w:pPr>
          </w:p>
        </w:tc>
        <w:tc>
          <w:tcPr>
            <w:tcW w:w="3660" w:type="dxa"/>
            <w:vAlign w:val="bottom"/>
          </w:tcPr>
          <w:p>
            <w:pPr>
              <w:ind w:left="1340"/>
              <w:spacing w:after="0"/>
              <w:rPr>
                <w:sz w:val="20"/>
                <w:szCs w:val="20"/>
                <w:color w:val="auto"/>
              </w:rPr>
            </w:pPr>
            <w:r>
              <w:rPr>
                <w:rFonts w:ascii="Courier New" w:cs="Courier New" w:eastAsia="Courier New" w:hAnsi="Courier New"/>
                <w:sz w:val="14"/>
                <w:szCs w:val="14"/>
                <w:color w:val="auto"/>
              </w:rPr>
              <w:t>Acquisitions</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analysis of acquisition properties for Acadia. Previously, Mr.</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Braun was Director of Acquisitions and Finance for Rosenshein</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Associates, a regional shopping center developer based in New</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Rochelle, New York. During this time, Mr. Braun was</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instrumental in the initiation and formation of Kranzco Realty</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Trust, a publicly traded REIT. Mr. Braun holds a Bachelor's in</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Business Administration from Boston University and a Master's</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Degree in Planning from John Hopkins University.</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Timothy J. Bruce</w:t>
            </w:r>
          </w:p>
        </w:tc>
        <w:tc>
          <w:tcPr>
            <w:tcW w:w="3660" w:type="dxa"/>
            <w:vAlign w:val="bottom"/>
          </w:tcPr>
          <w:p>
            <w:pPr>
              <w:ind w:left="1260"/>
              <w:spacing w:after="0"/>
              <w:rPr>
                <w:sz w:val="20"/>
                <w:szCs w:val="20"/>
                <w:color w:val="auto"/>
              </w:rPr>
            </w:pPr>
            <w:r>
              <w:rPr>
                <w:rFonts w:ascii="Courier New" w:cs="Courier New" w:eastAsia="Courier New" w:hAnsi="Courier New"/>
                <w:sz w:val="14"/>
                <w:szCs w:val="14"/>
                <w:color w:val="auto"/>
              </w:rPr>
              <w:t>Senior Vice President,</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Mr. Bruce joined Acadia Realty Trust in December 1998 as Senior</w:t>
            </w:r>
          </w:p>
        </w:tc>
      </w:tr>
      <w:tr>
        <w:trPr>
          <w:trHeight w:val="166"/>
        </w:trPr>
        <w:tc>
          <w:tcPr>
            <w:tcW w:w="1940" w:type="dxa"/>
            <w:vAlign w:val="bottom"/>
          </w:tcPr>
          <w:p>
            <w:pPr>
              <w:spacing w:after="0"/>
              <w:rPr>
                <w:sz w:val="14"/>
                <w:szCs w:val="14"/>
                <w:color w:val="auto"/>
              </w:rPr>
            </w:pP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Director of Leasing</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Vice President, Director of Leasing. Mr. Bruce has more than 14</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years of redevelopment and leasing experience. From April 1996</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until joining Acadia Realty in December 1998, Mr. Bruce served</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as Vice President of the Strip Center Leasing Department at</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Pennsylvania Real Estate Trust where he was responsible for</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coordinating all leasing activity for the 4.5 million square</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foot strip center portfolio. From 1985 to 1996, Mr. Bruce was</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with Equity Properties and Development, L.P. as Senior Vice</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President, Real Estate, his responsibilities included the</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management of the day-to-day activities of the Real Estate,</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Construction, and Merchant Coordination Departments. Mr. Bruce</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received a Bachelor of Arts Degree from the University of</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Illinois at Chicago School of Architecture and a Masters of</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Management from the J. L. Kellogg Graduate School of Business</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at Northwestern University.</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Joseph Hogan</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Senior Vice President,</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Most recently, Mr. Hogan served as Vice President with Kimco</w:t>
            </w:r>
          </w:p>
        </w:tc>
      </w:tr>
      <w:tr>
        <w:trPr>
          <w:trHeight w:val="166"/>
        </w:trPr>
        <w:tc>
          <w:tcPr>
            <w:tcW w:w="1940" w:type="dxa"/>
            <w:vAlign w:val="bottom"/>
          </w:tcPr>
          <w:p>
            <w:pPr>
              <w:spacing w:after="0"/>
              <w:rPr>
                <w:sz w:val="14"/>
                <w:szCs w:val="14"/>
                <w:color w:val="auto"/>
              </w:rPr>
            </w:pPr>
          </w:p>
        </w:tc>
        <w:tc>
          <w:tcPr>
            <w:tcW w:w="3660" w:type="dxa"/>
            <w:vAlign w:val="bottom"/>
          </w:tcPr>
          <w:p>
            <w:pPr>
              <w:ind w:left="1160"/>
              <w:spacing w:after="0"/>
              <w:rPr>
                <w:sz w:val="20"/>
                <w:szCs w:val="20"/>
                <w:color w:val="auto"/>
              </w:rPr>
            </w:pPr>
            <w:r>
              <w:rPr>
                <w:rFonts w:ascii="Courier New" w:cs="Courier New" w:eastAsia="Courier New" w:hAnsi="Courier New"/>
                <w:sz w:val="14"/>
                <w:szCs w:val="14"/>
                <w:color w:val="auto"/>
              </w:rPr>
              <w:t>Director of Construction</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Realty Corporation (NYSE:KIM), where he was responsible for</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business development and management of all retail and</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commercial construction projects for Kimco, in addition to</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outside customers and development companies. Prior to joining</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Kimco, he was with Konover Construction Company, a subsidiary</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of Konover &amp; Associates located in West Hartford, Connecticut,</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where he was responsible for construction projects throughout</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the eastern half of the United States.</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Perry Kamerman</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Senior Vice President,</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Mr. Kamerman oversees all the financial activities and asset</w:t>
            </w:r>
          </w:p>
        </w:tc>
      </w:tr>
      <w:tr>
        <w:trPr>
          <w:trHeight w:val="166"/>
        </w:trPr>
        <w:tc>
          <w:tcPr>
            <w:tcW w:w="1940" w:type="dxa"/>
            <w:vAlign w:val="bottom"/>
          </w:tcPr>
          <w:p>
            <w:pPr>
              <w:spacing w:after="0"/>
              <w:rPr>
                <w:sz w:val="14"/>
                <w:szCs w:val="14"/>
                <w:color w:val="auto"/>
              </w:rPr>
            </w:pPr>
          </w:p>
        </w:tc>
        <w:tc>
          <w:tcPr>
            <w:tcW w:w="3660" w:type="dxa"/>
            <w:vAlign w:val="bottom"/>
          </w:tcPr>
          <w:p>
            <w:pPr>
              <w:ind w:left="1160"/>
              <w:spacing w:after="0"/>
              <w:rPr>
                <w:sz w:val="20"/>
                <w:szCs w:val="20"/>
                <w:color w:val="auto"/>
              </w:rPr>
            </w:pPr>
            <w:r>
              <w:rPr>
                <w:rFonts w:ascii="Courier New" w:cs="Courier New" w:eastAsia="Courier New" w:hAnsi="Courier New"/>
                <w:sz w:val="14"/>
                <w:szCs w:val="14"/>
                <w:color w:val="auto"/>
              </w:rPr>
              <w:t>Chief Financial Officer</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management functions. Previously, he was the Chief Financial</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Officer of RD Capital, Inc. and its affiliates from 1995 until</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the merger of RD Capital with Mark Centers Trust in August of</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1998, forming Acadia Realty Trust. From 1984 to 1994, Mr.</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Kamerman served as the Controller and the Director of Asset</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Management for the American Continental Properties Group, an</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international real estate investment and development firm whose</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assets exceeded $1 billion. Prior to this, he was an audit</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manager at E&amp;Y Kenneth Leventhal Real Estate Group. Mr.</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Kamerman is a Certified Public Accountant and received a</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Bachelor of Science in Accounting from the City University of</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New York in 1977.</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Robert Masters, Esq.</w:t>
            </w:r>
          </w:p>
        </w:tc>
        <w:tc>
          <w:tcPr>
            <w:tcW w:w="3660" w:type="dxa"/>
            <w:vAlign w:val="bottom"/>
          </w:tcPr>
          <w:p>
            <w:pPr>
              <w:ind w:left="1260"/>
              <w:spacing w:after="0"/>
              <w:rPr>
                <w:sz w:val="20"/>
                <w:szCs w:val="20"/>
                <w:color w:val="auto"/>
              </w:rPr>
            </w:pPr>
            <w:r>
              <w:rPr>
                <w:rFonts w:ascii="Courier New" w:cs="Courier New" w:eastAsia="Courier New" w:hAnsi="Courier New"/>
                <w:sz w:val="14"/>
                <w:szCs w:val="14"/>
                <w:color w:val="auto"/>
              </w:rPr>
              <w:t>Senior Vice President,</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Prior to joining Acadia in December 1994, Mr. Masters was</w:t>
            </w:r>
          </w:p>
        </w:tc>
      </w:tr>
      <w:tr>
        <w:trPr>
          <w:trHeight w:val="166"/>
        </w:trPr>
        <w:tc>
          <w:tcPr>
            <w:tcW w:w="1940" w:type="dxa"/>
            <w:vAlign w:val="bottom"/>
          </w:tcPr>
          <w:p>
            <w:pPr>
              <w:spacing w:after="0"/>
              <w:rPr>
                <w:sz w:val="14"/>
                <w:szCs w:val="14"/>
                <w:color w:val="auto"/>
              </w:rPr>
            </w:pPr>
          </w:p>
        </w:tc>
        <w:tc>
          <w:tcPr>
            <w:tcW w:w="3660" w:type="dxa"/>
            <w:vAlign w:val="bottom"/>
          </w:tcPr>
          <w:p>
            <w:pPr>
              <w:ind w:left="1340"/>
              <w:spacing w:after="0"/>
              <w:rPr>
                <w:sz w:val="20"/>
                <w:szCs w:val="20"/>
                <w:color w:val="auto"/>
              </w:rPr>
            </w:pPr>
            <w:r>
              <w:rPr>
                <w:rFonts w:ascii="Courier New" w:cs="Courier New" w:eastAsia="Courier New" w:hAnsi="Courier New"/>
                <w:sz w:val="14"/>
                <w:szCs w:val="14"/>
                <w:color w:val="auto"/>
              </w:rPr>
              <w:t>General Counsel,</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General Counsel for API Asset Management for over five years,</w:t>
            </w:r>
          </w:p>
        </w:tc>
      </w:tr>
      <w:tr>
        <w:trPr>
          <w:trHeight w:val="166"/>
        </w:trPr>
        <w:tc>
          <w:tcPr>
            <w:tcW w:w="1940" w:type="dxa"/>
            <w:vAlign w:val="bottom"/>
          </w:tcPr>
          <w:p>
            <w:pPr>
              <w:spacing w:after="0"/>
              <w:rPr>
                <w:sz w:val="14"/>
                <w:szCs w:val="14"/>
                <w:color w:val="auto"/>
              </w:rPr>
            </w:pPr>
          </w:p>
        </w:tc>
        <w:tc>
          <w:tcPr>
            <w:tcW w:w="3660" w:type="dxa"/>
            <w:vAlign w:val="bottom"/>
          </w:tcPr>
          <w:p>
            <w:pPr>
              <w:ind w:left="1260"/>
              <w:spacing w:after="0"/>
              <w:rPr>
                <w:sz w:val="20"/>
                <w:szCs w:val="20"/>
                <w:color w:val="auto"/>
              </w:rPr>
            </w:pPr>
            <w:r>
              <w:rPr>
                <w:rFonts w:ascii="Courier New" w:cs="Courier New" w:eastAsia="Courier New" w:hAnsi="Courier New"/>
                <w:sz w:val="14"/>
                <w:szCs w:val="14"/>
                <w:color w:val="auto"/>
              </w:rPr>
              <w:t>Corporate Secretary</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Senior Vice President Deputy General Counsel for European</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American Bank from 1985 to 1990, and Vice President and Counsel</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for National Westminster Bank from 1977 to 1985. Mr. Masters</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received his Bachelor of Arts from the City University of New</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York and a J.D. from New York University Law School. Mr.</w:t>
            </w:r>
          </w:p>
        </w:tc>
      </w:tr>
      <w:tr>
        <w:trPr>
          <w:trHeight w:val="166"/>
        </w:trPr>
        <w:tc>
          <w:tcPr>
            <w:tcW w:w="19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Masters is also a member of the New York Bar.</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Joseph M. Napolitano,</w:t>
            </w:r>
          </w:p>
        </w:tc>
        <w:tc>
          <w:tcPr>
            <w:tcW w:w="3660" w:type="dxa"/>
            <w:vAlign w:val="bottom"/>
          </w:tcPr>
          <w:p>
            <w:pPr>
              <w:ind w:left="1260"/>
              <w:spacing w:after="0"/>
              <w:rPr>
                <w:sz w:val="20"/>
                <w:szCs w:val="20"/>
                <w:color w:val="auto"/>
              </w:rPr>
            </w:pPr>
            <w:r>
              <w:rPr>
                <w:rFonts w:ascii="Courier New" w:cs="Courier New" w:eastAsia="Courier New" w:hAnsi="Courier New"/>
                <w:sz w:val="14"/>
                <w:szCs w:val="14"/>
                <w:color w:val="auto"/>
              </w:rPr>
              <w:t>Senior Vice President,</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Mr. Napolitano is responsible for overseeing the retail</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CPM</w:t>
            </w: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Director of Retail</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property management department for Acadia Realty Trust.</w:t>
            </w:r>
          </w:p>
        </w:tc>
      </w:tr>
      <w:tr>
        <w:trPr>
          <w:trHeight w:val="166"/>
        </w:trPr>
        <w:tc>
          <w:tcPr>
            <w:tcW w:w="1940" w:type="dxa"/>
            <w:vAlign w:val="bottom"/>
          </w:tcPr>
          <w:p>
            <w:pPr>
              <w:spacing w:after="0"/>
              <w:rPr>
                <w:sz w:val="14"/>
                <w:szCs w:val="14"/>
                <w:color w:val="auto"/>
              </w:rPr>
            </w:pPr>
          </w:p>
        </w:tc>
        <w:tc>
          <w:tcPr>
            <w:tcW w:w="3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Property Management</w:t>
            </w:r>
          </w:p>
        </w:tc>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Prior to joining Acadia in 1995, Mr. Napolitano was employed by</w:t>
            </w:r>
          </w:p>
        </w:tc>
      </w:tr>
    </w:tbl>
    <w:p>
      <w:pPr>
        <w:sectPr>
          <w:pgSz w:w="11900" w:h="16880" w:orient="portrait"/>
          <w:cols w:equalWidth="0" w:num="1">
            <w:col w:w="11380"/>
          </w:cols>
          <w:pgMar w:left="220" w:top="451" w:right="299" w:bottom="0" w:gutter="0" w:footer="0" w:header="0"/>
        </w:sectPr>
      </w:pPr>
    </w:p>
    <w:bookmarkStart w:id="9" w:name="page10"/>
    <w:bookmarkEnd w:id="9"/>
    <w:p>
      <w:pPr>
        <w:ind w:left="4740"/>
        <w:spacing w:after="0" w:line="251" w:lineRule="auto"/>
        <w:rPr>
          <w:sz w:val="20"/>
          <w:szCs w:val="20"/>
          <w:color w:val="auto"/>
        </w:rPr>
      </w:pPr>
      <w:r>
        <w:rPr>
          <w:rFonts w:ascii="Courier New" w:cs="Courier New" w:eastAsia="Courier New" w:hAnsi="Courier New"/>
          <w:sz w:val="14"/>
          <w:szCs w:val="14"/>
          <w:color w:val="auto"/>
        </w:rPr>
        <w:t>Rosen Associates Management Corp. as a Senior Property Manager overseeing a national portfolio of community shopping centers, and Roebling Management Co. as a Property Manager responsible for neighborhood and community shopping centers nationally. Mr. Napolitano holds a Bachelor's in Business Administration from Adelphi University, Garden City, NY; and is a Certified Property Manager by the Institute of Property Management (IREM). Mr. Napolitano is also a member of the New York State Association of Realtors (NYSAR) International Council of Shopping Center (ICSC), Commercial Investment Real Estate Institute (CIREI), and the Building Owners and Managers Institute (BOMI).</w:t>
      </w:r>
    </w:p>
    <w:p>
      <w:pPr>
        <w:sectPr>
          <w:pgSz w:w="11900" w:h="16838" w:orient="portrait"/>
          <w:cols w:equalWidth="0" w:num="1">
            <w:col w:w="10160"/>
          </w:cols>
          <w:pgMar w:left="1440" w:top="141" w:right="299" w:bottom="1440" w:gutter="0" w:footer="0" w:header="0"/>
        </w:sectPr>
      </w:pPr>
    </w:p>
    <w:bookmarkStart w:id="10" w:name="page11"/>
    <w:bookmarkEnd w:id="10"/>
    <w:p>
      <w:pPr>
        <w:ind w:left="638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ANNUAL SUPPLEMENTAL DISCLOSURE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ind w:left="2760"/>
              <w:spacing w:after="0"/>
              <w:rPr>
                <w:sz w:val="20"/>
                <w:szCs w:val="20"/>
                <w:color w:val="auto"/>
              </w:rPr>
            </w:pPr>
            <w:r>
              <w:rPr>
                <w:rFonts w:ascii="Courier New" w:cs="Courier New" w:eastAsia="Courier New" w:hAnsi="Courier New"/>
                <w:sz w:val="14"/>
                <w:szCs w:val="14"/>
                <w:color w:val="auto"/>
              </w:rPr>
              <w:t>DECEMBER 31, 2000</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3"/>
        </w:trPr>
        <w:tc>
          <w:tcPr>
            <w:tcW w:w="4480" w:type="dxa"/>
            <w:vAlign w:val="bottom"/>
          </w:tcPr>
          <w:p>
            <w:pPr>
              <w:ind w:left="2500"/>
              <w:spacing w:after="0"/>
              <w:rPr>
                <w:sz w:val="20"/>
                <w:szCs w:val="20"/>
                <w:color w:val="auto"/>
              </w:rPr>
            </w:pPr>
            <w:r>
              <w:rPr>
                <w:rFonts w:ascii="Courier New" w:cs="Courier New" w:eastAsia="Courier New" w:hAnsi="Courier New"/>
                <w:sz w:val="14"/>
                <w:szCs w:val="14"/>
                <w:color w:val="auto"/>
              </w:rPr>
              <w:t>PORTFOLIO BREAKDOWN AND</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5600" w:type="dxa"/>
            <w:vAlign w:val="bottom"/>
            <w:gridSpan w:val="2"/>
          </w:tcPr>
          <w:p>
            <w:pPr>
              <w:ind w:left="2080"/>
              <w:spacing w:after="0"/>
              <w:rPr>
                <w:sz w:val="20"/>
                <w:szCs w:val="20"/>
                <w:color w:val="auto"/>
              </w:rPr>
            </w:pPr>
            <w:r>
              <w:rPr>
                <w:rFonts w:ascii="Courier New" w:cs="Courier New" w:eastAsia="Courier New" w:hAnsi="Courier New"/>
                <w:sz w:val="14"/>
                <w:szCs w:val="14"/>
                <w:color w:val="auto"/>
              </w:rPr>
              <w:t>NET ASSET VALUE ('NAV') ANALYSIS</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5600" w:type="dxa"/>
            <w:vAlign w:val="bottom"/>
            <w:gridSpan w:val="2"/>
          </w:tcPr>
          <w:p>
            <w:pPr>
              <w:ind w:left="20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97"/>
        </w:trPr>
        <w:tc>
          <w:tcPr>
            <w:tcW w:w="4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Private Basis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4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040" w:type="dxa"/>
            <w:vAlign w:val="bottom"/>
          </w:tcPr>
          <w:p>
            <w:pPr>
              <w:spacing w:after="0"/>
              <w:rPr>
                <w:sz w:val="14"/>
                <w:szCs w:val="14"/>
                <w:color w:val="auto"/>
              </w:rPr>
            </w:pPr>
          </w:p>
        </w:tc>
        <w:tc>
          <w:tcPr>
            <w:tcW w:w="17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Composite</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Properties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of GLA</w:t>
            </w:r>
          </w:p>
        </w:tc>
        <w:tc>
          <w:tcPr>
            <w:tcW w:w="1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Cap Rate Range(B)</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of GAV</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of NAV</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of Debt</w:t>
            </w:r>
          </w:p>
        </w:tc>
      </w:tr>
      <w:tr>
        <w:trPr>
          <w:trHeight w:val="166"/>
        </w:trPr>
        <w:tc>
          <w:tcPr>
            <w:tcW w:w="4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Core Retail Portfolio</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Stabilized</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9.50%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62%</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Redevelopments(C)</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n/a</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n/a</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6"/>
        </w:trPr>
        <w:tc>
          <w:tcPr>
            <w:tcW w:w="4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1820"/>
              <w:spacing w:after="0"/>
              <w:rPr>
                <w:sz w:val="20"/>
                <w:szCs w:val="20"/>
                <w:color w:val="auto"/>
              </w:rPr>
            </w:pPr>
            <w:r>
              <w:rPr>
                <w:rFonts w:ascii="Courier New" w:cs="Courier New" w:eastAsia="Courier New" w:hAnsi="Courier New"/>
                <w:sz w:val="14"/>
                <w:szCs w:val="14"/>
                <w:color w:val="auto"/>
              </w:rPr>
              <w:t>Total Core Portfolio</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1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9.50%  to  10.50%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64%</w:t>
            </w:r>
          </w:p>
        </w:tc>
      </w:tr>
      <w:tr>
        <w:trPr>
          <w:trHeight w:val="166"/>
        </w:trPr>
        <w:tc>
          <w:tcPr>
            <w:tcW w:w="44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497"/>
        </w:trPr>
        <w:tc>
          <w:tcPr>
            <w:tcW w:w="4480" w:type="dxa"/>
            <w:vAlign w:val="bottom"/>
          </w:tcPr>
          <w:p>
            <w:pPr>
              <w:spacing w:after="0"/>
              <w:rPr>
                <w:sz w:val="20"/>
                <w:szCs w:val="20"/>
                <w:color w:val="auto"/>
              </w:rPr>
            </w:pPr>
            <w:r>
              <w:rPr>
                <w:rFonts w:ascii="Courier New" w:cs="Courier New" w:eastAsia="Courier New" w:hAnsi="Courier New"/>
                <w:sz w:val="14"/>
                <w:szCs w:val="14"/>
                <w:color w:val="auto"/>
              </w:rPr>
              <w:t>Non-Core Portfolio(D)</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Retail</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22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12.00%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16%</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Residential</w:t>
            </w: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8.50%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20%</w:t>
            </w:r>
          </w:p>
        </w:tc>
      </w:tr>
      <w:tr>
        <w:trPr>
          <w:trHeight w:val="166"/>
        </w:trPr>
        <w:tc>
          <w:tcPr>
            <w:tcW w:w="44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1820"/>
              <w:spacing w:after="0"/>
              <w:rPr>
                <w:sz w:val="20"/>
                <w:szCs w:val="20"/>
                <w:color w:val="auto"/>
              </w:rPr>
            </w:pPr>
            <w:r>
              <w:rPr>
                <w:rFonts w:ascii="Courier New" w:cs="Courier New" w:eastAsia="Courier New" w:hAnsi="Courier New"/>
                <w:sz w:val="14"/>
                <w:szCs w:val="14"/>
                <w:color w:val="auto"/>
              </w:rPr>
              <w:t>Total Non-Core Portfolio(A)</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27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10.00%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36%</w:t>
            </w:r>
          </w:p>
        </w:tc>
      </w:tr>
      <w:tr>
        <w:trPr>
          <w:trHeight w:val="166"/>
        </w:trPr>
        <w:tc>
          <w:tcPr>
            <w:tcW w:w="44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Portfolio</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57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9.75%</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48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Equivalent Public Basis</w:t>
            </w: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10.76%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11.87%</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4480" w:hanging="352"/>
        <w:spacing w:after="0" w:line="251"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core portfolio ("Core Portfolio") is comprised of 26 stabilized and four redevelopment retail properties located in the Northeast, Midwest and Mid-Atlantic regions. The remaining 22 retail and four multi-family assets are considered non-core ("Non-Core Portfolio") and are either currently being marketed or are slated for future disposition (see note D for update on non-core dispositions).</w:t>
      </w:r>
    </w:p>
    <w:p>
      <w:pPr>
        <w:spacing w:after="0" w:line="164" w:lineRule="exact"/>
        <w:rPr>
          <w:rFonts w:ascii="Courier New" w:cs="Courier New" w:eastAsia="Courier New" w:hAnsi="Courier New"/>
          <w:sz w:val="14"/>
          <w:szCs w:val="14"/>
          <w:color w:val="auto"/>
        </w:rPr>
      </w:pPr>
    </w:p>
    <w:p>
      <w:pPr>
        <w:ind w:left="360" w:right="4400" w:hanging="352"/>
        <w:spacing w:after="0" w:line="251"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Private capitalization rates are based on private-basis NOI's. Private-basis NOI's are equal to public-basis NOI's less: (1) straight-line rents, (2) structural reserves of $0.15 per square foot for retail properties and $300 per unit reserve for residential properties and (3) 4% imputed management fees on effective rents. The above capitalization rates are based on those currently in place and are subject to future changes.</w:t>
      </w:r>
    </w:p>
    <w:p>
      <w:pPr>
        <w:spacing w:after="0" w:line="164" w:lineRule="exact"/>
        <w:rPr>
          <w:rFonts w:ascii="Courier New" w:cs="Courier New" w:eastAsia="Courier New" w:hAnsi="Courier New"/>
          <w:sz w:val="14"/>
          <w:szCs w:val="14"/>
          <w:color w:val="auto"/>
        </w:rPr>
      </w:pPr>
    </w:p>
    <w:p>
      <w:pPr>
        <w:ind w:left="360" w:right="5080" w:hanging="352"/>
        <w:spacing w:after="0" w:line="255"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Redevelopment properties (see discussion of these properties in this supplement) are valued at 110% of net book value.</w:t>
      </w:r>
    </w:p>
    <w:p>
      <w:pPr>
        <w:spacing w:after="0" w:line="159" w:lineRule="exact"/>
        <w:rPr>
          <w:rFonts w:ascii="Courier New" w:cs="Courier New" w:eastAsia="Courier New" w:hAnsi="Courier New"/>
          <w:sz w:val="14"/>
          <w:szCs w:val="14"/>
          <w:color w:val="auto"/>
        </w:rPr>
      </w:pPr>
    </w:p>
    <w:p>
      <w:pPr>
        <w:ind w:left="360" w:right="5080"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valuation has not been adjusted in this 2001 Supplement to reflect the disposition of:</w:t>
      </w:r>
    </w:p>
    <w:p>
      <w:pPr>
        <w:ind w:left="960" w:right="4480" w:hanging="435"/>
        <w:spacing w:after="0" w:line="250" w:lineRule="auto"/>
        <w:tabs>
          <w:tab w:leader="none" w:pos="9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Marley Run Apartment complex which was sold during June 2001 for a gross sales price of $27,400,000. The associated debt as of December 31, 2000 was $14,230,000.</w:t>
      </w:r>
    </w:p>
    <w:p>
      <w:pPr>
        <w:spacing w:after="0" w:line="1" w:lineRule="exact"/>
        <w:rPr>
          <w:rFonts w:ascii="Courier New" w:cs="Courier New" w:eastAsia="Courier New" w:hAnsi="Courier New"/>
          <w:sz w:val="14"/>
          <w:szCs w:val="14"/>
          <w:color w:val="auto"/>
        </w:rPr>
      </w:pPr>
    </w:p>
    <w:p>
      <w:pPr>
        <w:ind w:left="960" w:right="4400" w:hanging="435"/>
        <w:spacing w:after="0" w:line="250" w:lineRule="auto"/>
        <w:tabs>
          <w:tab w:leader="none" w:pos="9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Wesmark Plaza which was sold during August 2001 for a gross sales price of $5,750,000 with no associated debt.</w:t>
      </w:r>
    </w:p>
    <w:p>
      <w:pPr>
        <w:ind w:left="960" w:right="4400" w:hanging="435"/>
        <w:spacing w:after="0" w:line="255" w:lineRule="auto"/>
        <w:tabs>
          <w:tab w:leader="none" w:pos="9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Tioga West shopping center which was sold during October 2001 for a gross sales price of $3,200,000 with no associated debt.</w:t>
      </w:r>
    </w:p>
    <w:p>
      <w:pPr>
        <w:spacing w:after="0" w:line="160" w:lineRule="exact"/>
        <w:rPr>
          <w:sz w:val="20"/>
          <w:szCs w:val="20"/>
          <w:color w:val="auto"/>
        </w:rPr>
      </w:pPr>
    </w:p>
    <w:p>
      <w:pPr>
        <w:ind w:right="4920"/>
        <w:spacing w:after="0" w:line="255" w:lineRule="auto"/>
        <w:rPr>
          <w:sz w:val="20"/>
          <w:szCs w:val="20"/>
          <w:color w:val="auto"/>
        </w:rPr>
      </w:pPr>
      <w:r>
        <w:rPr>
          <w:rFonts w:ascii="Courier New" w:cs="Courier New" w:eastAsia="Courier New" w:hAnsi="Courier New"/>
          <w:sz w:val="14"/>
          <w:szCs w:val="14"/>
          <w:color w:val="auto"/>
        </w:rPr>
        <w:t>Reference the following page for additional notes related to the portfolio valuation.</w:t>
      </w:r>
    </w:p>
    <w:p>
      <w:pPr>
        <w:sectPr>
          <w:pgSz w:w="11900" w:h="16838" w:orient="portrait"/>
          <w:cols w:equalWidth="0" w:num="1">
            <w:col w:w="11300"/>
          </w:cols>
          <w:pgMar w:left="220" w:top="451"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6900" w:type="dxa"/>
            <w:vAlign w:val="bottom"/>
          </w:tcPr>
          <w:p>
            <w:pPr>
              <w:ind w:left="6380"/>
              <w:spacing w:after="0"/>
              <w:rPr>
                <w:sz w:val="20"/>
                <w:szCs w:val="20"/>
                <w:color w:val="auto"/>
              </w:rPr>
            </w:pPr>
            <w:r>
              <w:rPr>
                <w:rFonts w:ascii="Courier New" w:cs="Courier New" w:eastAsia="Courier New" w:hAnsi="Courier New"/>
                <w:sz w:val="14"/>
                <w:szCs w:val="14"/>
                <w:color w:val="auto"/>
                <w:w w:val="99"/>
              </w:rPr>
              <w:t>[LOGO]</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97"/>
        </w:trPr>
        <w:tc>
          <w:tcPr>
            <w:tcW w:w="6900" w:type="dxa"/>
            <w:vAlign w:val="bottom"/>
          </w:tcPr>
          <w:p>
            <w:pPr>
              <w:jc w:val="center"/>
              <w:spacing w:after="0"/>
              <w:rPr>
                <w:sz w:val="20"/>
                <w:szCs w:val="20"/>
                <w:color w:val="auto"/>
              </w:rPr>
            </w:pPr>
            <w:r>
              <w:rPr>
                <w:rFonts w:ascii="Courier New" w:cs="Courier New" w:eastAsia="Courier New" w:hAnsi="Courier New"/>
                <w:sz w:val="14"/>
                <w:szCs w:val="14"/>
                <w:color w:val="auto"/>
              </w:rPr>
              <w:t>ANNUAL SUPPLEMENTAL DISCLOSURE</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6900" w:type="dxa"/>
            <w:vAlign w:val="bottom"/>
          </w:tcPr>
          <w:p>
            <w:pPr>
              <w:jc w:val="center"/>
              <w:spacing w:after="0"/>
              <w:rPr>
                <w:sz w:val="20"/>
                <w:szCs w:val="20"/>
                <w:color w:val="auto"/>
              </w:rPr>
            </w:pPr>
            <w:r>
              <w:rPr>
                <w:rFonts w:ascii="Courier New" w:cs="Courier New" w:eastAsia="Courier New" w:hAnsi="Courier New"/>
                <w:sz w:val="14"/>
                <w:szCs w:val="14"/>
                <w:color w:val="auto"/>
              </w:rPr>
              <w:t>DECEMBER 31, 2000(1)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1"/>
        </w:trPr>
        <w:tc>
          <w:tcPr>
            <w:tcW w:w="6900" w:type="dxa"/>
            <w:vAlign w:val="bottom"/>
          </w:tcPr>
          <w:p>
            <w:pPr>
              <w:ind w:left="1980"/>
              <w:spacing w:after="0"/>
              <w:rPr>
                <w:sz w:val="20"/>
                <w:szCs w:val="20"/>
                <w:color w:val="auto"/>
              </w:rPr>
            </w:pPr>
            <w:r>
              <w:rPr>
                <w:rFonts w:ascii="Courier New" w:cs="Courier New" w:eastAsia="Courier New" w:hAnsi="Courier New"/>
                <w:sz w:val="14"/>
                <w:szCs w:val="14"/>
                <w:color w:val="auto"/>
              </w:rPr>
              <w:t>Net Asset Value ('NAV') Calculation</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690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6900" w:type="dxa"/>
            <w:vAlign w:val="bottom"/>
          </w:tcPr>
          <w:p>
            <w:pPr>
              <w:jc w:val="center"/>
              <w:spacing w:after="0"/>
              <w:rPr>
                <w:sz w:val="20"/>
                <w:szCs w:val="20"/>
                <w:color w:val="auto"/>
              </w:rPr>
            </w:pPr>
            <w:r>
              <w:rPr>
                <w:rFonts w:ascii="Courier New" w:cs="Courier New" w:eastAsia="Courier New" w:hAnsi="Courier New"/>
                <w:sz w:val="14"/>
                <w:szCs w:val="14"/>
                <w:color w:val="auto"/>
              </w:rPr>
              <w:t>(amounts in thousands)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97"/>
        </w:trPr>
        <w:tc>
          <w:tcPr>
            <w:tcW w:w="6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All</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Properties</w:t>
            </w:r>
          </w:p>
        </w:tc>
      </w:tr>
      <w:tr>
        <w:trPr>
          <w:trHeight w:val="166"/>
        </w:trPr>
        <w:tc>
          <w:tcPr>
            <w:tcW w:w="6900" w:type="dxa"/>
            <w:vAlign w:val="bottom"/>
          </w:tcPr>
          <w:p>
            <w:pPr>
              <w:spacing w:after="0"/>
              <w:rPr>
                <w:sz w:val="14"/>
                <w:szCs w:val="14"/>
                <w:color w:val="auto"/>
              </w:rPr>
            </w:pP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331"/>
        </w:trPr>
        <w:tc>
          <w:tcPr>
            <w:tcW w:w="6900" w:type="dxa"/>
            <w:vAlign w:val="bottom"/>
          </w:tcPr>
          <w:p>
            <w:pPr>
              <w:ind w:left="4840"/>
              <w:spacing w:after="0"/>
              <w:rPr>
                <w:sz w:val="20"/>
                <w:szCs w:val="20"/>
                <w:color w:val="auto"/>
              </w:rPr>
            </w:pPr>
            <w:r>
              <w:rPr>
                <w:rFonts w:ascii="Courier New" w:cs="Courier New" w:eastAsia="Courier New" w:hAnsi="Courier New"/>
                <w:sz w:val="14"/>
                <w:szCs w:val="14"/>
                <w:color w:val="auto"/>
              </w:rPr>
              <w:t>Number of Properties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57</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Net Operating income ("NOI") for the quarter ended December 31, 2000</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("Quarterly NOI"):</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31"/>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Consolidated Properties</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15,476</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Unconsolidated Joint Ventures</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686</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ind w:left="2340"/>
              <w:spacing w:after="0"/>
              <w:rPr>
                <w:sz w:val="20"/>
                <w:szCs w:val="20"/>
                <w:color w:val="auto"/>
              </w:rPr>
            </w:pPr>
            <w:r>
              <w:rPr>
                <w:rFonts w:ascii="Courier New" w:cs="Courier New" w:eastAsia="Courier New" w:hAnsi="Courier New"/>
                <w:sz w:val="14"/>
                <w:szCs w:val="14"/>
                <w:color w:val="auto"/>
              </w:rPr>
              <w:t>Total Quarterly NOI</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16,162</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Less adjustments to Quarterly NOI:</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(a) Current quarter disposition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(926)</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(b) Redevelopment properties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(512)</w:t>
            </w:r>
          </w:p>
        </w:tc>
      </w:tr>
      <w:tr>
        <w:trPr>
          <w:trHeight w:val="166"/>
        </w:trPr>
        <w:tc>
          <w:tcPr>
            <w:tcW w:w="6900" w:type="dxa"/>
            <w:vAlign w:val="bottom"/>
          </w:tcPr>
          <w:p>
            <w:pPr>
              <w:ind w:left="180"/>
              <w:spacing w:after="0"/>
              <w:rPr>
                <w:sz w:val="20"/>
                <w:szCs w:val="20"/>
                <w:color w:val="auto"/>
              </w:rPr>
            </w:pPr>
            <w:r>
              <w:rPr>
                <w:rFonts w:ascii="Courier New" w:cs="Courier New" w:eastAsia="Courier New" w:hAnsi="Courier New"/>
                <w:sz w:val="14"/>
                <w:szCs w:val="14"/>
                <w:color w:val="auto"/>
              </w:rPr>
              <w:t>(c) Other adjustments to quarterly NOI</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(574)</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Adjusted quarterly NOI</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14,150</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x4</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PUBLIC BASIS ANNUALIZED NOI (Excluding S/L rents, dispostions and</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66"/>
        </w:trPr>
        <w:tc>
          <w:tcPr>
            <w:tcW w:w="6900" w:type="dxa"/>
            <w:vAlign w:val="bottom"/>
          </w:tcPr>
          <w:p>
            <w:pPr>
              <w:ind w:left="100"/>
              <w:spacing w:after="0"/>
              <w:rPr>
                <w:sz w:val="20"/>
                <w:szCs w:val="20"/>
                <w:color w:val="auto"/>
              </w:rPr>
            </w:pPr>
            <w:r>
              <w:rPr>
                <w:rFonts w:ascii="Courier New" w:cs="Courier New" w:eastAsia="Courier New" w:hAnsi="Courier New"/>
                <w:sz w:val="14"/>
                <w:szCs w:val="14"/>
                <w:color w:val="auto"/>
              </w:rPr>
              <w:t>redevelopments)</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(4,7)</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56,600</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Structural reserves</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(1,872)</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Imputed management fees (4%)</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(3,447)</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497"/>
        </w:trPr>
        <w:tc>
          <w:tcPr>
            <w:tcW w:w="6900" w:type="dxa"/>
            <w:vAlign w:val="bottom"/>
          </w:tcPr>
          <w:p>
            <w:pPr>
              <w:spacing w:after="0"/>
              <w:rPr>
                <w:sz w:val="20"/>
                <w:szCs w:val="20"/>
                <w:color w:val="auto"/>
              </w:rPr>
            </w:pPr>
            <w:r>
              <w:rPr>
                <w:rFonts w:ascii="Courier New" w:cs="Courier New" w:eastAsia="Courier New" w:hAnsi="Courier New"/>
                <w:sz w:val="14"/>
                <w:szCs w:val="14"/>
                <w:color w:val="auto"/>
              </w:rPr>
              <w:t>PRIVATE BASIS ANNUALIZED NOI (Excluding S/L rents, dispostions and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redevelopments)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51,281</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4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828"/>
        </w:trPr>
        <w:tc>
          <w:tcPr>
            <w:tcW w:w="6900" w:type="dxa"/>
            <w:vAlign w:val="bottom"/>
          </w:tcPr>
          <w:p>
            <w:pPr>
              <w:spacing w:after="0"/>
              <w:rPr>
                <w:sz w:val="20"/>
                <w:szCs w:val="20"/>
                <w:color w:val="auto"/>
              </w:rPr>
            </w:pPr>
            <w:r>
              <w:rPr>
                <w:rFonts w:ascii="Courier New" w:cs="Courier New" w:eastAsia="Courier New" w:hAnsi="Courier New"/>
                <w:sz w:val="14"/>
                <w:szCs w:val="14"/>
                <w:color w:val="auto"/>
              </w:rPr>
              <w:t>CAP RATE RANGES USED FOR VALUATION (Excluding Redevelopments):</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6900" w:type="dxa"/>
            <w:vAlign w:val="bottom"/>
          </w:tcPr>
          <w:p>
            <w:pPr>
              <w:ind w:left="260"/>
              <w:spacing w:after="0"/>
              <w:rPr>
                <w:sz w:val="20"/>
                <w:szCs w:val="20"/>
                <w:color w:val="auto"/>
              </w:rPr>
            </w:pPr>
            <w:r>
              <w:rPr>
                <w:rFonts w:ascii="Courier New" w:cs="Courier New" w:eastAsia="Courier New" w:hAnsi="Courier New"/>
                <w:sz w:val="14"/>
                <w:szCs w:val="14"/>
                <w:color w:val="auto"/>
              </w:rPr>
              <w:t>Private Basis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w:t>
            </w:r>
          </w:p>
        </w:tc>
        <w:tc>
          <w:tcPr>
            <w:tcW w:w="38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9.75%</w:t>
            </w:r>
          </w:p>
        </w:tc>
      </w:tr>
      <w:tr>
        <w:trPr>
          <w:trHeight w:val="166"/>
        </w:trPr>
        <w:tc>
          <w:tcPr>
            <w:tcW w:w="6900" w:type="dxa"/>
            <w:vAlign w:val="bottom"/>
          </w:tcPr>
          <w:p>
            <w:pPr>
              <w:ind w:left="260"/>
              <w:spacing w:after="0"/>
              <w:rPr>
                <w:sz w:val="20"/>
                <w:szCs w:val="20"/>
                <w:color w:val="auto"/>
              </w:rPr>
            </w:pPr>
            <w:r>
              <w:rPr>
                <w:rFonts w:ascii="Courier New" w:cs="Courier New" w:eastAsia="Courier New" w:hAnsi="Courier New"/>
                <w:sz w:val="14"/>
                <w:szCs w:val="14"/>
                <w:color w:val="auto"/>
              </w:rPr>
              <w:t>Equivalent Public Basis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11.87%</w:t>
            </w:r>
          </w:p>
        </w:tc>
        <w:tc>
          <w:tcPr>
            <w:tcW w:w="38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10.76%</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Gross market value of real estate (excluding redevelopments)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477,033</w:t>
            </w:r>
          </w:p>
        </w:tc>
        <w:tc>
          <w:tcPr>
            <w:tcW w:w="380" w:type="dxa"/>
            <w:vAlign w:val="bottom"/>
          </w:tcPr>
          <w:p>
            <w:pPr>
              <w:spacing w:after="0"/>
              <w:rPr>
                <w:sz w:val="24"/>
                <w:szCs w:val="2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525,959</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Redevelopment properties</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35,000</w:t>
            </w:r>
          </w:p>
        </w:tc>
        <w:tc>
          <w:tcPr>
            <w:tcW w:w="380" w:type="dxa"/>
            <w:vAlign w:val="bottom"/>
          </w:tcPr>
          <w:p>
            <w:pPr>
              <w:spacing w:after="0"/>
              <w:rPr>
                <w:sz w:val="14"/>
                <w:szCs w:val="1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35,000</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Value of other net assets</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21,186</w:t>
            </w:r>
          </w:p>
        </w:tc>
        <w:tc>
          <w:tcPr>
            <w:tcW w:w="380" w:type="dxa"/>
            <w:vAlign w:val="bottom"/>
          </w:tcPr>
          <w:p>
            <w:pPr>
              <w:spacing w:after="0"/>
              <w:rPr>
                <w:sz w:val="14"/>
                <w:szCs w:val="1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21,186</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GROSS MARKET VALUE OF ASSETS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533,219</w:t>
            </w:r>
          </w:p>
        </w:tc>
        <w:tc>
          <w:tcPr>
            <w:tcW w:w="380" w:type="dxa"/>
            <w:vAlign w:val="bottom"/>
          </w:tcPr>
          <w:p>
            <w:pPr>
              <w:spacing w:after="0"/>
              <w:rPr>
                <w:sz w:val="14"/>
                <w:szCs w:val="1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582,145</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Mortgage debt - Consolidated properties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(277,113)</w:t>
            </w:r>
          </w:p>
        </w:tc>
        <w:tc>
          <w:tcPr>
            <w:tcW w:w="38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(277,113)</w:t>
            </w:r>
          </w:p>
        </w:tc>
      </w:tr>
      <w:tr>
        <w:trPr>
          <w:trHeight w:val="166"/>
        </w:trPr>
        <w:tc>
          <w:tcPr>
            <w:tcW w:w="6900" w:type="dxa"/>
            <w:vAlign w:val="bottom"/>
          </w:tcPr>
          <w:p>
            <w:pPr>
              <w:ind w:left="1220"/>
              <w:spacing w:after="0"/>
              <w:rPr>
                <w:sz w:val="20"/>
                <w:szCs w:val="20"/>
                <w:color w:val="auto"/>
              </w:rPr>
            </w:pPr>
            <w:r>
              <w:rPr>
                <w:rFonts w:ascii="Courier New" w:cs="Courier New" w:eastAsia="Courier New" w:hAnsi="Courier New"/>
                <w:sz w:val="14"/>
                <w:szCs w:val="14"/>
                <w:color w:val="auto"/>
              </w:rPr>
              <w:t>- Unconsolidated Joint Ventures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(16,974)</w:t>
            </w:r>
          </w:p>
        </w:tc>
        <w:tc>
          <w:tcPr>
            <w:tcW w:w="38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(16,974)</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Preferred equity and Minority interest in majority owned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6"/>
        </w:trPr>
        <w:tc>
          <w:tcPr>
            <w:tcW w:w="6900" w:type="dxa"/>
            <w:vAlign w:val="bottom"/>
          </w:tcPr>
          <w:p>
            <w:pPr>
              <w:ind w:left="260"/>
              <w:spacing w:after="0"/>
              <w:rPr>
                <w:sz w:val="20"/>
                <w:szCs w:val="20"/>
                <w:color w:val="auto"/>
              </w:rPr>
            </w:pPr>
            <w:r>
              <w:rPr>
                <w:rFonts w:ascii="Courier New" w:cs="Courier New" w:eastAsia="Courier New" w:hAnsi="Courier New"/>
                <w:sz w:val="14"/>
                <w:szCs w:val="14"/>
                <w:color w:val="auto"/>
              </w:rPr>
              <w:t>partnerships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(4,712)</w:t>
            </w:r>
          </w:p>
        </w:tc>
        <w:tc>
          <w:tcPr>
            <w:tcW w:w="38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4"/>
                <w:szCs w:val="14"/>
                <w:color w:val="auto"/>
              </w:rPr>
              <w:t>(4,712)</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NET MARKET VALUE OF ASSETS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234,420</w:t>
            </w:r>
          </w:p>
        </w:tc>
        <w:tc>
          <w:tcPr>
            <w:tcW w:w="380" w:type="dxa"/>
            <w:vAlign w:val="bottom"/>
          </w:tcPr>
          <w:p>
            <w:pPr>
              <w:spacing w:after="0"/>
              <w:rPr>
                <w:sz w:val="24"/>
                <w:szCs w:val="2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283,346</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Common shares and units outstanding as of December 31, 2000</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34,955</w:t>
            </w:r>
          </w:p>
        </w:tc>
        <w:tc>
          <w:tcPr>
            <w:tcW w:w="380" w:type="dxa"/>
            <w:vAlign w:val="bottom"/>
          </w:tcPr>
          <w:p>
            <w:pPr>
              <w:spacing w:after="0"/>
              <w:rPr>
                <w:sz w:val="24"/>
                <w:szCs w:val="2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34,955</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900" w:type="dxa"/>
            <w:vAlign w:val="bottom"/>
          </w:tcPr>
          <w:p>
            <w:pPr>
              <w:spacing w:after="0"/>
              <w:rPr>
                <w:sz w:val="20"/>
                <w:szCs w:val="20"/>
                <w:color w:val="auto"/>
              </w:rPr>
            </w:pPr>
            <w:r>
              <w:rPr>
                <w:rFonts w:ascii="Courier New" w:cs="Courier New" w:eastAsia="Courier New" w:hAnsi="Courier New"/>
                <w:sz w:val="14"/>
                <w:szCs w:val="14"/>
                <w:color w:val="auto"/>
              </w:rPr>
              <w:t>NAV PER COMMON SHARE</w:t>
            </w:r>
          </w:p>
        </w:tc>
        <w:tc>
          <w:tcPr>
            <w:tcW w:w="6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6.71</w:t>
            </w:r>
          </w:p>
        </w:tc>
        <w:tc>
          <w:tcPr>
            <w:tcW w:w="380" w:type="dxa"/>
            <w:vAlign w:val="bottom"/>
          </w:tcPr>
          <w:p>
            <w:pPr>
              <w:spacing w:after="0"/>
              <w:rPr>
                <w:sz w:val="24"/>
                <w:szCs w:val="2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8.11</w:t>
            </w:r>
          </w:p>
        </w:tc>
      </w:tr>
      <w:tr>
        <w:trPr>
          <w:trHeight w:val="166"/>
        </w:trPr>
        <w:tc>
          <w:tcPr>
            <w:tcW w:w="6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200"/>
          </w:cols>
          <w:pgMar w:left="220" w:top="451" w:right="479" w:bottom="1440" w:gutter="0" w:footer="0" w:header="0"/>
        </w:sectPr>
      </w:pPr>
    </w:p>
    <w:bookmarkStart w:id="12" w:name="page13"/>
    <w:bookmarkEnd w:id="12"/>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Core Properties</w:t>
            </w:r>
          </w:p>
        </w:tc>
        <w:tc>
          <w:tcPr>
            <w:tcW w:w="1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Non-Core Properties</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w:t>
            </w: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1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spacing w:after="0"/>
              <w:rPr>
                <w:sz w:val="14"/>
                <w:szCs w:val="14"/>
                <w:color w:val="auto"/>
              </w:rPr>
            </w:pPr>
          </w:p>
        </w:tc>
        <w:tc>
          <w:tcPr>
            <w:tcW w:w="104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4"/>
              </w:rPr>
              <w:t>26</w:t>
            </w:r>
          </w:p>
        </w:tc>
        <w:tc>
          <w:tcPr>
            <w:tcW w:w="780" w:type="dxa"/>
            <w:vAlign w:val="bottom"/>
          </w:tcPr>
          <w:p>
            <w:pPr>
              <w:spacing w:after="0"/>
              <w:rPr>
                <w:sz w:val="14"/>
                <w:szCs w:val="14"/>
                <w:color w:val="auto"/>
              </w:rPr>
            </w:pPr>
          </w:p>
        </w:tc>
        <w:tc>
          <w:tcPr>
            <w:tcW w:w="14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4</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spacing w:after="0"/>
              <w:rPr>
                <w:sz w:val="14"/>
                <w:szCs w:val="14"/>
                <w:color w:val="auto"/>
              </w:rPr>
            </w:pPr>
          </w:p>
        </w:tc>
        <w:tc>
          <w:tcPr>
            <w:tcW w:w="11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9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Stabilized</w:t>
            </w:r>
          </w:p>
        </w:tc>
        <w:tc>
          <w:tcPr>
            <w:tcW w:w="2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Redevelopments</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Retail</w:t>
            </w:r>
          </w:p>
        </w:tc>
        <w:tc>
          <w:tcPr>
            <w:tcW w:w="242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Residential</w:t>
            </w:r>
          </w:p>
        </w:tc>
        <w:tc>
          <w:tcPr>
            <w:tcW w:w="1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Sold in 2000</w:t>
            </w:r>
          </w:p>
        </w:tc>
      </w:tr>
      <w:tr>
        <w:trPr>
          <w:trHeight w:val="166"/>
        </w:trPr>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9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8,886</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512</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$2,826</w:t>
            </w:r>
          </w:p>
        </w:tc>
        <w:tc>
          <w:tcPr>
            <w:tcW w:w="126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2,326</w:t>
            </w:r>
          </w:p>
        </w:tc>
        <w:tc>
          <w:tcPr>
            <w:tcW w:w="560" w:type="dxa"/>
            <w:vAlign w:val="bottom"/>
          </w:tcPr>
          <w:p>
            <w:pPr>
              <w:spacing w:after="0"/>
              <w:rPr>
                <w:sz w:val="24"/>
                <w:szCs w:val="2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$ 926</w:t>
            </w:r>
          </w:p>
        </w:tc>
      </w:tr>
      <w:tr>
        <w:trPr>
          <w:trHeight w:val="166"/>
        </w:trPr>
        <w:tc>
          <w:tcPr>
            <w:tcW w:w="9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686</w:t>
            </w:r>
          </w:p>
        </w:tc>
        <w:tc>
          <w:tcPr>
            <w:tcW w:w="7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9,572</w:t>
            </w:r>
          </w:p>
        </w:tc>
        <w:tc>
          <w:tcPr>
            <w:tcW w:w="7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512</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2,826</w:t>
            </w:r>
          </w:p>
        </w:tc>
        <w:tc>
          <w:tcPr>
            <w:tcW w:w="126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2,326</w:t>
            </w:r>
          </w:p>
        </w:tc>
        <w:tc>
          <w:tcPr>
            <w:tcW w:w="5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926</w:t>
            </w:r>
          </w:p>
        </w:tc>
      </w:tr>
      <w:tr>
        <w:trPr>
          <w:trHeight w:val="497"/>
        </w:trPr>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(926)</w:t>
            </w:r>
          </w:p>
        </w:tc>
      </w:tr>
      <w:tr>
        <w:trPr>
          <w:trHeight w:val="166"/>
        </w:trPr>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(512)</w:t>
            </w:r>
          </w:p>
        </w:tc>
        <w:tc>
          <w:tcPr>
            <w:tcW w:w="2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9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(414)</w:t>
            </w:r>
          </w:p>
        </w:tc>
        <w:tc>
          <w:tcPr>
            <w:tcW w:w="7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w:t>
            </w:r>
          </w:p>
        </w:tc>
        <w:tc>
          <w:tcPr>
            <w:tcW w:w="126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94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9,158</w:t>
            </w:r>
          </w:p>
        </w:tc>
        <w:tc>
          <w:tcPr>
            <w:tcW w:w="78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2,663</w:t>
            </w:r>
          </w:p>
        </w:tc>
        <w:tc>
          <w:tcPr>
            <w:tcW w:w="1260" w:type="dxa"/>
            <w:vAlign w:val="bottom"/>
          </w:tcPr>
          <w:p>
            <w:pPr>
              <w:spacing w:after="0"/>
              <w:rPr>
                <w:sz w:val="24"/>
                <w:szCs w:val="2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2,329</w:t>
            </w:r>
          </w:p>
        </w:tc>
        <w:tc>
          <w:tcPr>
            <w:tcW w:w="560" w:type="dxa"/>
            <w:vAlign w:val="bottom"/>
          </w:tcPr>
          <w:p>
            <w:pPr>
              <w:spacing w:after="0"/>
              <w:rPr>
                <w:sz w:val="24"/>
                <w:szCs w:val="2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x4</w:t>
            </w:r>
          </w:p>
        </w:tc>
        <w:tc>
          <w:tcPr>
            <w:tcW w:w="7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x4</w:t>
            </w:r>
          </w:p>
        </w:tc>
        <w:tc>
          <w:tcPr>
            <w:tcW w:w="126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x4</w:t>
            </w:r>
          </w:p>
        </w:tc>
        <w:tc>
          <w:tcPr>
            <w:tcW w:w="5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36,632</w:t>
            </w:r>
          </w:p>
        </w:tc>
        <w:tc>
          <w:tcPr>
            <w:tcW w:w="7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10,652</w:t>
            </w:r>
          </w:p>
        </w:tc>
        <w:tc>
          <w:tcPr>
            <w:tcW w:w="1260" w:type="dxa"/>
            <w:vAlign w:val="bottom"/>
          </w:tcPr>
          <w:p>
            <w:pPr>
              <w:spacing w:after="0"/>
              <w:rPr>
                <w:sz w:val="14"/>
                <w:szCs w:val="14"/>
                <w:color w:val="auto"/>
              </w:rPr>
            </w:pP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9,316</w:t>
            </w:r>
          </w:p>
        </w:tc>
        <w:tc>
          <w:tcPr>
            <w:tcW w:w="5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940" w:type="dxa"/>
            <w:vAlign w:val="bottom"/>
          </w:tcPr>
          <w:p>
            <w:pPr>
              <w:spacing w:after="0"/>
              <w:rPr>
                <w:sz w:val="24"/>
                <w:szCs w:val="2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(722)</w:t>
            </w:r>
          </w:p>
        </w:tc>
        <w:tc>
          <w:tcPr>
            <w:tcW w:w="780" w:type="dxa"/>
            <w:vAlign w:val="bottom"/>
          </w:tcPr>
          <w:p>
            <w:pPr>
              <w:spacing w:after="0"/>
              <w:rPr>
                <w:sz w:val="24"/>
                <w:szCs w:val="2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w:t>
            </w:r>
          </w:p>
        </w:tc>
        <w:tc>
          <w:tcPr>
            <w:tcW w:w="1260" w:type="dxa"/>
            <w:vAlign w:val="bottom"/>
          </w:tcPr>
          <w:p>
            <w:pPr>
              <w:spacing w:after="0"/>
              <w:rPr>
                <w:sz w:val="24"/>
                <w:szCs w:val="2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(682)</w:t>
            </w:r>
          </w:p>
        </w:tc>
        <w:tc>
          <w:tcPr>
            <w:tcW w:w="560" w:type="dxa"/>
            <w:vAlign w:val="bottom"/>
          </w:tcPr>
          <w:p>
            <w:pPr>
              <w:spacing w:after="0"/>
              <w:rPr>
                <w:sz w:val="24"/>
                <w:szCs w:val="2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(2,165)</w:t>
            </w:r>
          </w:p>
        </w:tc>
        <w:tc>
          <w:tcPr>
            <w:tcW w:w="780" w:type="dxa"/>
            <w:vAlign w:val="bottom"/>
          </w:tcPr>
          <w:p>
            <w:pPr>
              <w:spacing w:after="0"/>
              <w:rPr>
                <w:sz w:val="14"/>
                <w:szCs w:val="14"/>
                <w:color w:val="auto"/>
              </w:rPr>
            </w:pP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(659)</w:t>
            </w:r>
          </w:p>
        </w:tc>
        <w:tc>
          <w:tcPr>
            <w:tcW w:w="1260" w:type="dxa"/>
            <w:vAlign w:val="bottom"/>
          </w:tcPr>
          <w:p>
            <w:pPr>
              <w:spacing w:after="0"/>
              <w:rPr>
                <w:sz w:val="14"/>
                <w:szCs w:val="14"/>
                <w:color w:val="auto"/>
              </w:rPr>
            </w:pP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(623)</w:t>
            </w:r>
          </w:p>
        </w:tc>
        <w:tc>
          <w:tcPr>
            <w:tcW w:w="56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94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33,745</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$9,525</w:t>
            </w:r>
          </w:p>
        </w:tc>
        <w:tc>
          <w:tcPr>
            <w:tcW w:w="126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8,011</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2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3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3620" w:hanging="352"/>
        <w:spacing w:after="0" w:line="252"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enclosed Net Asset Value ("NAV") calculation is computed as of December 31, 2000. NAV is computed at the end of each year and will be updated during the year only if a significant change in any determinant of NAV occurs.</w:t>
      </w:r>
    </w:p>
    <w:p>
      <w:pPr>
        <w:spacing w:after="0" w:line="162" w:lineRule="exact"/>
        <w:rPr>
          <w:rFonts w:ascii="Courier New" w:cs="Courier New" w:eastAsia="Courier New" w:hAnsi="Courier New"/>
          <w:sz w:val="14"/>
          <w:szCs w:val="14"/>
          <w:color w:val="auto"/>
        </w:rPr>
      </w:pPr>
    </w:p>
    <w:p>
      <w:pPr>
        <w:ind w:left="360" w:right="4480" w:hanging="352"/>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NOI's exclude an aggreagate $321 of straight-line rents and $35 of non-recurring items.</w:t>
      </w:r>
    </w:p>
    <w:p>
      <w:pPr>
        <w:spacing w:after="0" w:line="159" w:lineRule="exact"/>
        <w:rPr>
          <w:rFonts w:ascii="Courier New" w:cs="Courier New" w:eastAsia="Courier New" w:hAnsi="Courier New"/>
          <w:sz w:val="14"/>
          <w:szCs w:val="14"/>
          <w:color w:val="auto"/>
        </w:rPr>
      </w:pPr>
    </w:p>
    <w:p>
      <w:pPr>
        <w:ind w:left="360" w:right="3700" w:hanging="352"/>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Structural reserves represent a $0.15 per square foot replacement reserve for retail properties and $300 per unit reserve for residential properties.</w:t>
      </w:r>
    </w:p>
    <w:p>
      <w:pPr>
        <w:spacing w:after="0" w:line="159" w:lineRule="exact"/>
        <w:rPr>
          <w:rFonts w:ascii="Courier New" w:cs="Courier New" w:eastAsia="Courier New" w:hAnsi="Courier New"/>
          <w:sz w:val="14"/>
          <w:szCs w:val="14"/>
          <w:color w:val="auto"/>
        </w:rPr>
      </w:pPr>
    </w:p>
    <w:p>
      <w:pPr>
        <w:ind w:left="360" w:right="3620" w:hanging="352"/>
        <w:spacing w:after="0" w:line="25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values exclude the value of third party management contracts, anticipated profits from redevelopments and any transaction costs associated with liquidating the properties. Transaction costs associated with the disposition of non-core properties are estimated to range from $0.10 to $0.15 per share</w:t>
      </w:r>
    </w:p>
    <w:p>
      <w:pPr>
        <w:spacing w:after="0" w:line="164" w:lineRule="exact"/>
        <w:rPr>
          <w:rFonts w:ascii="Courier New" w:cs="Courier New" w:eastAsia="Courier New" w:hAnsi="Courier New"/>
          <w:sz w:val="14"/>
          <w:szCs w:val="14"/>
          <w:color w:val="auto"/>
        </w:rPr>
      </w:pPr>
    </w:p>
    <w:p>
      <w:pPr>
        <w:ind w:left="360" w:right="3620" w:hanging="352"/>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capitalization rates are based on those currently in place and are subject to future changes.</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Redevelopment properties are valued at 110% of their net book value</w:t>
      </w:r>
    </w:p>
    <w:p>
      <w:pPr>
        <w:spacing w:after="0" w:line="172" w:lineRule="exact"/>
        <w:rPr>
          <w:rFonts w:ascii="Courier New" w:cs="Courier New" w:eastAsia="Courier New" w:hAnsi="Courier New"/>
          <w:sz w:val="14"/>
          <w:szCs w:val="14"/>
          <w:color w:val="auto"/>
        </w:rPr>
      </w:pPr>
    </w:p>
    <w:p>
      <w:pPr>
        <w:ind w:left="360" w:right="4480" w:hanging="352"/>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upon annualization of 4th quarter NOI, adjusted downward for seasonality and certain non-recurring items.</w:t>
      </w:r>
    </w:p>
    <w:p>
      <w:pPr>
        <w:spacing w:after="0" w:line="159" w:lineRule="exact"/>
        <w:rPr>
          <w:rFonts w:ascii="Courier New" w:cs="Courier New" w:eastAsia="Courier New" w:hAnsi="Courier New"/>
          <w:sz w:val="14"/>
          <w:szCs w:val="14"/>
          <w:color w:val="auto"/>
        </w:rPr>
      </w:pPr>
    </w:p>
    <w:p>
      <w:pPr>
        <w:ind w:left="360" w:right="4480" w:hanging="352"/>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other net assets at December 31, 2000 is comprised of the following:</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1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$ 22,167</w:t>
            </w:r>
          </w:p>
        </w:tc>
      </w:tr>
      <w:tr>
        <w:trPr>
          <w:trHeight w:val="166"/>
        </w:trPr>
        <w:tc>
          <w:tcPr>
            <w:tcW w:w="5120" w:type="dxa"/>
            <w:vAlign w:val="bottom"/>
          </w:tcPr>
          <w:p>
            <w:pPr>
              <w:spacing w:after="0"/>
              <w:rPr>
                <w:sz w:val="20"/>
                <w:szCs w:val="20"/>
                <w:color w:val="auto"/>
              </w:rPr>
            </w:pPr>
            <w:r>
              <w:rPr>
                <w:rFonts w:ascii="Courier New" w:cs="Courier New" w:eastAsia="Courier New" w:hAnsi="Courier New"/>
                <w:sz w:val="14"/>
                <w:szCs w:val="14"/>
                <w:color w:val="auto"/>
              </w:rPr>
              <w:t>Cash in escrow</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5,213</w:t>
            </w:r>
          </w:p>
        </w:tc>
      </w:tr>
      <w:tr>
        <w:trPr>
          <w:trHeight w:val="166"/>
        </w:trPr>
        <w:tc>
          <w:tcPr>
            <w:tcW w:w="5120" w:type="dxa"/>
            <w:vAlign w:val="bottom"/>
          </w:tcPr>
          <w:p>
            <w:pPr>
              <w:spacing w:after="0"/>
              <w:rPr>
                <w:sz w:val="20"/>
                <w:szCs w:val="20"/>
                <w:color w:val="auto"/>
              </w:rPr>
            </w:pPr>
            <w:r>
              <w:rPr>
                <w:rFonts w:ascii="Courier New" w:cs="Courier New" w:eastAsia="Courier New" w:hAnsi="Courier New"/>
                <w:sz w:val="14"/>
                <w:szCs w:val="14"/>
                <w:color w:val="auto"/>
              </w:rPr>
              <w:t>Rents receivable, net of allowance and unbilled</w:t>
            </w:r>
          </w:p>
        </w:tc>
        <w:tc>
          <w:tcPr>
            <w:tcW w:w="1240" w:type="dxa"/>
            <w:vAlign w:val="bottom"/>
          </w:tcPr>
          <w:p>
            <w:pPr>
              <w:spacing w:after="0"/>
              <w:rPr>
                <w:sz w:val="14"/>
                <w:szCs w:val="14"/>
                <w:color w:val="auto"/>
              </w:rPr>
            </w:pPr>
          </w:p>
        </w:tc>
      </w:tr>
      <w:tr>
        <w:trPr>
          <w:trHeight w:val="166"/>
        </w:trPr>
        <w:tc>
          <w:tcPr>
            <w:tcW w:w="5120" w:type="dxa"/>
            <w:vAlign w:val="bottom"/>
          </w:tcPr>
          <w:p>
            <w:pPr>
              <w:ind w:left="80"/>
              <w:spacing w:after="0"/>
              <w:rPr>
                <w:sz w:val="20"/>
                <w:szCs w:val="20"/>
                <w:color w:val="auto"/>
              </w:rPr>
            </w:pPr>
            <w:r>
              <w:rPr>
                <w:rFonts w:ascii="Courier New" w:cs="Courier New" w:eastAsia="Courier New" w:hAnsi="Courier New"/>
                <w:sz w:val="14"/>
                <w:szCs w:val="14"/>
                <w:color w:val="auto"/>
              </w:rPr>
              <w:t>(straight-line) rent of $4,098</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5,569</w:t>
            </w:r>
          </w:p>
        </w:tc>
      </w:tr>
      <w:tr>
        <w:trPr>
          <w:trHeight w:val="166"/>
        </w:trPr>
        <w:tc>
          <w:tcPr>
            <w:tcW w:w="512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2,905</w:t>
            </w:r>
          </w:p>
        </w:tc>
      </w:tr>
      <w:tr>
        <w:trPr>
          <w:trHeight w:val="166"/>
        </w:trPr>
        <w:tc>
          <w:tcPr>
            <w:tcW w:w="5120" w:type="dxa"/>
            <w:vAlign w:val="bottom"/>
          </w:tcPr>
          <w:p>
            <w:pPr>
              <w:spacing w:after="0"/>
              <w:rPr>
                <w:sz w:val="20"/>
                <w:szCs w:val="20"/>
                <w:color w:val="auto"/>
              </w:rPr>
            </w:pPr>
            <w:r>
              <w:rPr>
                <w:rFonts w:ascii="Courier New" w:cs="Courier New" w:eastAsia="Courier New" w:hAnsi="Courier New"/>
                <w:sz w:val="14"/>
                <w:szCs w:val="14"/>
                <w:color w:val="auto"/>
              </w:rPr>
              <w:t>Other Assets (Less Furn. &amp; Fixt. And other intangible)</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1,568</w:t>
            </w:r>
          </w:p>
        </w:tc>
      </w:tr>
      <w:tr>
        <w:trPr>
          <w:trHeight w:val="166"/>
        </w:trPr>
        <w:tc>
          <w:tcPr>
            <w:tcW w:w="5120" w:type="dxa"/>
            <w:vAlign w:val="bottom"/>
          </w:tcPr>
          <w:p>
            <w:pPr>
              <w:spacing w:after="0"/>
              <w:rPr>
                <w:sz w:val="20"/>
                <w:szCs w:val="20"/>
                <w:color w:val="auto"/>
              </w:rPr>
            </w:pPr>
            <w:r>
              <w:rPr>
                <w:rFonts w:ascii="Courier New" w:cs="Courier New" w:eastAsia="Courier New" w:hAnsi="Courier New"/>
                <w:sz w:val="14"/>
                <w:szCs w:val="14"/>
                <w:color w:val="auto"/>
              </w:rPr>
              <w:t>Due to related parties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166"/>
        </w:trPr>
        <w:tc>
          <w:tcPr>
            <w:tcW w:w="512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(7,705)</w:t>
            </w:r>
          </w:p>
        </w:tc>
      </w:tr>
      <w:tr>
        <w:trPr>
          <w:trHeight w:val="166"/>
        </w:trPr>
        <w:tc>
          <w:tcPr>
            <w:tcW w:w="5120" w:type="dxa"/>
            <w:vAlign w:val="bottom"/>
          </w:tcPr>
          <w:p>
            <w:pPr>
              <w:spacing w:after="0"/>
              <w:rPr>
                <w:sz w:val="20"/>
                <w:szCs w:val="20"/>
                <w:color w:val="auto"/>
              </w:rPr>
            </w:pPr>
            <w:r>
              <w:rPr>
                <w:rFonts w:ascii="Courier New" w:cs="Courier New" w:eastAsia="Courier New" w:hAnsi="Courier New"/>
                <w:sz w:val="14"/>
                <w:szCs w:val="14"/>
                <w:color w:val="auto"/>
              </w:rPr>
              <w:t>Distributions payable</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(4,241)</w:t>
            </w:r>
          </w:p>
        </w:tc>
      </w:tr>
      <w:tr>
        <w:trPr>
          <w:trHeight w:val="166"/>
        </w:trPr>
        <w:tc>
          <w:tcPr>
            <w:tcW w:w="51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(4,179)</w:t>
            </w:r>
          </w:p>
        </w:tc>
      </w:tr>
      <w:tr>
        <w:trPr>
          <w:trHeight w:val="166"/>
        </w:trPr>
        <w:tc>
          <w:tcPr>
            <w:tcW w:w="512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2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$ 21,186</w:t>
            </w:r>
          </w:p>
        </w:tc>
      </w:tr>
      <w:tr>
        <w:trPr>
          <w:trHeight w:val="166"/>
        </w:trPr>
        <w:tc>
          <w:tcPr>
            <w:tcW w:w="512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360" w:right="3620" w:hanging="352"/>
        <w:spacing w:after="0" w:line="251" w:lineRule="auto"/>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valuation has not been adjusted in this 2001 Supplement to reflect the 2001 dispositions of i) the Marley Run apartment complex sold during June 2001 for a gross sales price of $27,400,000 (the associated debt as of December 31, 2000 was $14,230,000) and ii) the Wesmark Plaza in August 2001 for a gross sales price of $5,750,000 (no associated debt) and iii) the Tioga West shopping center which was sold during October 2001 for a gross sales price of $3,200,000 (no associated debt).</w:t>
      </w:r>
    </w:p>
    <w:p>
      <w:pPr>
        <w:spacing w:after="0" w:line="16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520"/>
          </w:cols>
          <w:pgMar w:left="220" w:top="948" w:right="1159" w:bottom="1088"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200" w:type="dxa"/>
            <w:vAlign w:val="bottom"/>
          </w:tcPr>
          <w:p>
            <w:pPr>
              <w:ind w:left="940"/>
              <w:spacing w:after="0"/>
              <w:rPr>
                <w:sz w:val="20"/>
                <w:szCs w:val="20"/>
                <w:color w:val="auto"/>
              </w:rPr>
            </w:pPr>
            <w:r>
              <w:rPr>
                <w:rFonts w:ascii="Courier New" w:cs="Courier New" w:eastAsia="Courier New" w:hAnsi="Courier New"/>
                <w:sz w:val="14"/>
                <w:szCs w:val="14"/>
                <w:color w:val="auto"/>
              </w:rPr>
              <w:t>[LOGO]</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5440" w:type="dxa"/>
            <w:vAlign w:val="bottom"/>
          </w:tcPr>
          <w:p>
            <w:pPr>
              <w:ind w:left="2080"/>
              <w:spacing w:after="0"/>
              <w:rPr>
                <w:sz w:val="20"/>
                <w:szCs w:val="20"/>
                <w:color w:val="auto"/>
              </w:rPr>
            </w:pPr>
            <w:r>
              <w:rPr>
                <w:rFonts w:ascii="Courier New" w:cs="Courier New" w:eastAsia="Courier New" w:hAnsi="Courier New"/>
                <w:sz w:val="14"/>
                <w:szCs w:val="14"/>
                <w:color w:val="auto"/>
              </w:rPr>
              <w:t>QUARTERLY SUPPLEMENTAL DISCLOSURE</w:t>
            </w: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5440" w:type="dxa"/>
            <w:vAlign w:val="bottom"/>
          </w:tcPr>
          <w:p>
            <w:pPr>
              <w:ind w:left="2680"/>
              <w:spacing w:after="0"/>
              <w:rPr>
                <w:sz w:val="20"/>
                <w:szCs w:val="20"/>
                <w:color w:val="auto"/>
              </w:rPr>
            </w:pPr>
            <w:r>
              <w:rPr>
                <w:rFonts w:ascii="Courier New" w:cs="Courier New" w:eastAsia="Courier New" w:hAnsi="Courier New"/>
                <w:sz w:val="14"/>
                <w:szCs w:val="14"/>
                <w:color w:val="auto"/>
              </w:rPr>
              <w:t>SEPTEMBER 30, 2001</w:t>
            </w: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5440" w:type="dxa"/>
            <w:vAlign w:val="bottom"/>
          </w:tcPr>
          <w:p>
            <w:pPr>
              <w:ind w:left="2340"/>
              <w:spacing w:after="0"/>
              <w:rPr>
                <w:sz w:val="20"/>
                <w:szCs w:val="20"/>
                <w:color w:val="auto"/>
              </w:rPr>
            </w:pPr>
            <w:r>
              <w:rPr>
                <w:rFonts w:ascii="Courier New" w:cs="Courier New" w:eastAsia="Courier New" w:hAnsi="Courier New"/>
                <w:sz w:val="14"/>
                <w:szCs w:val="14"/>
                <w:color w:val="auto"/>
              </w:rPr>
              <w:t>Total Market Capitalization</w:t>
            </w: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544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97"/>
        </w:trPr>
        <w:tc>
          <w:tcPr>
            <w:tcW w:w="5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5440" w:type="dxa"/>
            <w:vAlign w:val="bottom"/>
          </w:tcPr>
          <w:p>
            <w:pPr>
              <w:spacing w:after="0"/>
              <w:rPr>
                <w:sz w:val="14"/>
                <w:szCs w:val="14"/>
                <w:color w:val="auto"/>
              </w:rPr>
            </w:pPr>
          </w:p>
        </w:tc>
        <w:tc>
          <w:tcPr>
            <w:tcW w:w="22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Percent of</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center"/>
              <w:ind w:left="8"/>
              <w:spacing w:after="0"/>
              <w:rPr>
                <w:sz w:val="20"/>
                <w:szCs w:val="20"/>
                <w:color w:val="auto"/>
              </w:rPr>
            </w:pPr>
            <w:r>
              <w:rPr>
                <w:rFonts w:ascii="Courier New" w:cs="Courier New" w:eastAsia="Courier New" w:hAnsi="Courier New"/>
                <w:sz w:val="14"/>
                <w:szCs w:val="14"/>
                <w:color w:val="auto"/>
              </w:rPr>
              <w:t>Total Market</w:t>
            </w:r>
          </w:p>
        </w:tc>
      </w:tr>
      <w:tr>
        <w:trPr>
          <w:trHeight w:val="166"/>
        </w:trPr>
        <w:tc>
          <w:tcPr>
            <w:tcW w:w="5440" w:type="dxa"/>
            <w:vAlign w:val="bottom"/>
          </w:tcPr>
          <w:p>
            <w:pPr>
              <w:spacing w:after="0"/>
              <w:rPr>
                <w:sz w:val="14"/>
                <w:szCs w:val="14"/>
                <w:color w:val="auto"/>
              </w:rPr>
            </w:pPr>
          </w:p>
        </w:tc>
        <w:tc>
          <w:tcPr>
            <w:tcW w:w="22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Total Equity</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center"/>
              <w:ind w:left="8"/>
              <w:spacing w:after="0"/>
              <w:rPr>
                <w:sz w:val="20"/>
                <w:szCs w:val="20"/>
                <w:color w:val="auto"/>
              </w:rPr>
            </w:pPr>
            <w:r>
              <w:rPr>
                <w:rFonts w:ascii="Courier New" w:cs="Courier New" w:eastAsia="Courier New" w:hAnsi="Courier New"/>
                <w:sz w:val="14"/>
                <w:szCs w:val="14"/>
                <w:color w:val="auto"/>
              </w:rPr>
              <w:t>Capitalization</w:t>
            </w:r>
          </w:p>
        </w:tc>
      </w:tr>
      <w:tr>
        <w:trPr>
          <w:trHeight w:val="166"/>
        </w:trPr>
        <w:tc>
          <w:tcPr>
            <w:tcW w:w="5440" w:type="dxa"/>
            <w:vAlign w:val="bottom"/>
          </w:tcPr>
          <w:p>
            <w:pPr>
              <w:spacing w:after="0"/>
              <w:rPr>
                <w:sz w:val="14"/>
                <w:szCs w:val="14"/>
                <w:color w:val="auto"/>
              </w:rPr>
            </w:pPr>
          </w:p>
        </w:tc>
        <w:tc>
          <w:tcPr>
            <w:tcW w:w="22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Total Common Shares Outstanding</w:t>
            </w:r>
          </w:p>
        </w:tc>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82.8%</w:t>
            </w:r>
          </w:p>
        </w:tc>
        <w:tc>
          <w:tcPr>
            <w:tcW w:w="72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28,448,699(1)</w:t>
            </w:r>
          </w:p>
        </w:tc>
        <w:tc>
          <w:tcPr>
            <w:tcW w:w="1280" w:type="dxa"/>
            <w:vAlign w:val="bottom"/>
          </w:tcPr>
          <w:p>
            <w:pPr>
              <w:spacing w:after="0"/>
              <w:rPr>
                <w:sz w:val="24"/>
                <w:szCs w:val="2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Common O.P. Units</w:t>
            </w:r>
          </w:p>
        </w:tc>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16.3%</w:t>
            </w:r>
          </w:p>
        </w:tc>
        <w:tc>
          <w:tcPr>
            <w:tcW w:w="7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5,625,950</w:t>
            </w:r>
          </w:p>
        </w:tc>
        <w:tc>
          <w:tcPr>
            <w:tcW w:w="128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Combined Common Shares and O.P. Units</w:t>
            </w: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34,074,649</w:t>
            </w:r>
          </w:p>
        </w:tc>
        <w:tc>
          <w:tcPr>
            <w:tcW w:w="1280" w:type="dxa"/>
            <w:vAlign w:val="bottom"/>
          </w:tcPr>
          <w:p>
            <w:pPr>
              <w:spacing w:after="0"/>
              <w:rPr>
                <w:sz w:val="14"/>
                <w:szCs w:val="1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Market Price as September 30, 2001</w:t>
            </w:r>
          </w:p>
        </w:tc>
        <w:tc>
          <w:tcPr>
            <w:tcW w:w="2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w:t>
            </w:r>
          </w:p>
        </w:tc>
        <w:tc>
          <w:tcPr>
            <w:tcW w:w="1280" w:type="dxa"/>
            <w:vAlign w:val="bottom"/>
          </w:tcPr>
          <w:p>
            <w:pPr>
              <w:spacing w:after="0"/>
              <w:rPr>
                <w:sz w:val="24"/>
                <w:szCs w:val="24"/>
                <w:color w:val="auto"/>
              </w:rPr>
            </w:pPr>
          </w:p>
        </w:tc>
      </w:tr>
      <w:tr>
        <w:trPr>
          <w:trHeight w:val="166"/>
        </w:trPr>
        <w:tc>
          <w:tcPr>
            <w:tcW w:w="5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Equity Capitalization - Common Shares and O.P. Units</w:t>
            </w: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221,144,472</w:t>
            </w:r>
          </w:p>
        </w:tc>
        <w:tc>
          <w:tcPr>
            <w:tcW w:w="1280" w:type="dxa"/>
            <w:vAlign w:val="bottom"/>
          </w:tcPr>
          <w:p>
            <w:pPr>
              <w:spacing w:after="0"/>
              <w:rPr>
                <w:sz w:val="24"/>
                <w:szCs w:val="2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Preferred O.P. Units - at cost (2)</w:t>
            </w:r>
          </w:p>
        </w:tc>
        <w:tc>
          <w:tcPr>
            <w:tcW w:w="22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0.9%</w:t>
            </w:r>
          </w:p>
        </w:tc>
        <w:tc>
          <w:tcPr>
            <w:tcW w:w="720" w:type="dxa"/>
            <w:vAlign w:val="bottom"/>
          </w:tcPr>
          <w:p>
            <w:pPr>
              <w:spacing w:after="0"/>
              <w:rPr>
                <w:sz w:val="24"/>
                <w:szCs w:val="2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2,212,000</w:t>
            </w:r>
          </w:p>
        </w:tc>
        <w:tc>
          <w:tcPr>
            <w:tcW w:w="1280" w:type="dxa"/>
            <w:vAlign w:val="bottom"/>
          </w:tcPr>
          <w:p>
            <w:pPr>
              <w:spacing w:after="0"/>
              <w:rPr>
                <w:sz w:val="24"/>
                <w:szCs w:val="24"/>
                <w:color w:val="auto"/>
              </w:rPr>
            </w:pPr>
          </w:p>
        </w:tc>
      </w:tr>
      <w:tr>
        <w:trPr>
          <w:trHeight w:val="166"/>
        </w:trPr>
        <w:tc>
          <w:tcPr>
            <w:tcW w:w="544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Total Equity Capitalization</w:t>
            </w:r>
          </w:p>
        </w:tc>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100.0%</w:t>
            </w:r>
          </w:p>
        </w:tc>
        <w:tc>
          <w:tcPr>
            <w:tcW w:w="720" w:type="dxa"/>
            <w:vAlign w:val="bottom"/>
          </w:tcPr>
          <w:p>
            <w:pPr>
              <w:spacing w:after="0"/>
              <w:rPr>
                <w:sz w:val="24"/>
                <w:szCs w:val="2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223,356,472</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47.0%</w:t>
            </w:r>
          </w:p>
        </w:tc>
      </w:tr>
      <w:tr>
        <w:trPr>
          <w:trHeight w:val="166"/>
        </w:trPr>
        <w:tc>
          <w:tcPr>
            <w:tcW w:w="5440" w:type="dxa"/>
            <w:vAlign w:val="bottom"/>
          </w:tcPr>
          <w:p>
            <w:pPr>
              <w:spacing w:after="0"/>
              <w:rPr>
                <w:sz w:val="14"/>
                <w:szCs w:val="14"/>
                <w:color w:val="auto"/>
              </w:rPr>
            </w:pPr>
          </w:p>
        </w:tc>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Debt Capitalization</w:t>
            </w:r>
          </w:p>
        </w:tc>
        <w:tc>
          <w:tcPr>
            <w:tcW w:w="2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251,897,322</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53.0%</w:t>
            </w:r>
          </w:p>
        </w:tc>
      </w:tr>
      <w:tr>
        <w:trPr>
          <w:trHeight w:val="166"/>
        </w:trPr>
        <w:tc>
          <w:tcPr>
            <w:tcW w:w="5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Total Market Capitalization</w:t>
            </w:r>
          </w:p>
        </w:tc>
        <w:tc>
          <w:tcPr>
            <w:tcW w:w="2200" w:type="dxa"/>
            <w:vAlign w:val="bottom"/>
          </w:tcPr>
          <w:p>
            <w:pPr>
              <w:spacing w:after="0"/>
              <w:rPr>
                <w:sz w:val="24"/>
                <w:szCs w:val="24"/>
                <w:color w:val="auto"/>
              </w:rPr>
            </w:pP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$475,253,794</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5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Outstanding Common Shares and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O.P. Units</w:t>
            </w:r>
          </w:p>
        </w:tc>
        <w:tc>
          <w:tcPr>
            <w:tcW w:w="2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2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497"/>
        </w:trPr>
        <w:tc>
          <w:tcPr>
            <w:tcW w:w="2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Common</w:t>
            </w:r>
          </w:p>
        </w:tc>
        <w:tc>
          <w:tcPr>
            <w:tcW w:w="1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Shares(1)</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O.P. Units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Quarter ended September 30, 2001</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 Primary and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28,488,712</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5,628,091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34,116,803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Year-to-date September 30, 2001</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 Primary and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28,224,716</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6,227,938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34,452,654</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Quarter ended September 30, 2000</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 Primary and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26,789,666</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8,754,294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35,543,960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Year-to-date September 30, 2000</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 Primary and</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20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25,839,334</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9,903,318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35,742,652</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360" w:right="4040" w:hanging="352"/>
        <w:spacing w:after="0" w:line="255"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September 30, 2001, the Company had purchased 1,840,042 shares (net of reissuance of 86,063 shares) under its Stock Repurchase Program</w:t>
      </w:r>
    </w:p>
    <w:p>
      <w:pPr>
        <w:spacing w:after="0" w:line="159" w:lineRule="exact"/>
        <w:rPr>
          <w:rFonts w:ascii="Courier New" w:cs="Courier New" w:eastAsia="Courier New" w:hAnsi="Courier New"/>
          <w:sz w:val="14"/>
          <w:szCs w:val="14"/>
          <w:color w:val="auto"/>
        </w:rPr>
      </w:pPr>
    </w:p>
    <w:p>
      <w:pPr>
        <w:jc w:val="both"/>
        <w:ind w:left="360" w:right="4220" w:hanging="352"/>
        <w:spacing w:after="0" w:line="252"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acquisition of the Pacesetter Park Shopping Center, the Company issued 2,212 Preferred O.P. Units which are reflected above at their stated cost of $1,000 per unit</w:t>
      </w:r>
    </w:p>
    <w:p>
      <w:pPr>
        <w:spacing w:after="0" w:line="329"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Total Market Capitalization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Debt *</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16.4%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38.8%</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[GRAPHIC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Fixed-Rate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Debt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36.6%</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 Units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0.5%</w:t>
      </w:r>
    </w:p>
    <w:p>
      <w:pPr>
        <w:spacing w:after="0" w:line="173" w:lineRule="exact"/>
        <w:rPr>
          <w:sz w:val="20"/>
          <w:szCs w:val="20"/>
          <w:color w:val="auto"/>
        </w:rPr>
      </w:pPr>
    </w:p>
    <w:p>
      <w:pPr>
        <w:jc w:val="center"/>
        <w:ind w:right="10060"/>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jc w:val="center"/>
        <w:ind w:right="10060"/>
        <w:spacing w:after="0"/>
        <w:rPr>
          <w:sz w:val="20"/>
          <w:szCs w:val="20"/>
          <w:color w:val="auto"/>
        </w:rPr>
      </w:pPr>
      <w:r>
        <w:rPr>
          <w:rFonts w:ascii="Courier New" w:cs="Courier New" w:eastAsia="Courier New" w:hAnsi="Courier New"/>
          <w:sz w:val="14"/>
          <w:szCs w:val="14"/>
          <w:color w:val="auto"/>
        </w:rPr>
        <w:t>O.P. Units</w:t>
      </w:r>
    </w:p>
    <w:p>
      <w:pPr>
        <w:spacing w:after="0" w:line="7" w:lineRule="exact"/>
        <w:rPr>
          <w:sz w:val="20"/>
          <w:szCs w:val="20"/>
          <w:color w:val="auto"/>
        </w:rPr>
      </w:pPr>
    </w:p>
    <w:p>
      <w:pPr>
        <w:jc w:val="center"/>
        <w:ind w:right="10060"/>
        <w:spacing w:after="0"/>
        <w:rPr>
          <w:sz w:val="20"/>
          <w:szCs w:val="20"/>
          <w:color w:val="auto"/>
        </w:rPr>
      </w:pPr>
      <w:r>
        <w:rPr>
          <w:rFonts w:ascii="Courier New" w:cs="Courier New" w:eastAsia="Courier New" w:hAnsi="Courier New"/>
          <w:sz w:val="14"/>
          <w:szCs w:val="14"/>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0" w:right="4120" w:hanging="172"/>
        <w:spacing w:after="0" w:line="255"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Fixed-rate debt includes $50 million of notional principal fixed through swap transactions and conversely, variable-rate debt excludes this amount.</w:t>
      </w:r>
    </w:p>
    <w:p>
      <w:pPr>
        <w:sectPr>
          <w:pgSz w:w="11900" w:h="16838" w:orient="portrait"/>
          <w:cols w:equalWidth="0" w:num="1">
            <w:col w:w="10940"/>
          </w:cols>
          <w:pgMar w:left="220" w:top="782" w:right="739" w:bottom="0" w:gutter="0" w:footer="0" w:header="0"/>
        </w:sectPr>
      </w:pPr>
    </w:p>
    <w:bookmarkStart w:id="14" w:name="page15"/>
    <w:bookmarkEnd w:id="14"/>
    <w:p>
      <w:pPr>
        <w:spacing w:after="0" w:line="255" w:lineRule="auto"/>
        <w:tabs>
          <w:tab w:leader="none" w:pos="180" w:val="left"/>
        </w:tabs>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[LOGO]</w:t>
            </w: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497"/>
        </w:trPr>
        <w:tc>
          <w:tcPr>
            <w:tcW w:w="600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QUARTERLY SUPPLEMENTAL DISCLOSURE</w:t>
            </w: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6000" w:type="dxa"/>
            <w:vAlign w:val="bottom"/>
          </w:tcPr>
          <w:p>
            <w:pPr>
              <w:ind w:left="2680"/>
              <w:spacing w:after="0"/>
              <w:rPr>
                <w:sz w:val="20"/>
                <w:szCs w:val="20"/>
                <w:color w:val="auto"/>
              </w:rPr>
            </w:pPr>
            <w:r>
              <w:rPr>
                <w:rFonts w:ascii="Courier New" w:cs="Courier New" w:eastAsia="Courier New" w:hAnsi="Courier New"/>
                <w:sz w:val="14"/>
                <w:szCs w:val="14"/>
                <w:color w:val="auto"/>
              </w:rPr>
              <w:t>SEPTEMBER 30, 2001</w:t>
            </w:r>
          </w:p>
        </w:tc>
        <w:tc>
          <w:tcPr>
            <w:tcW w:w="1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1"/>
        </w:trPr>
        <w:tc>
          <w:tcPr>
            <w:tcW w:w="600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Shareholder Information</w:t>
            </w: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600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663"/>
        </w:trPr>
        <w:tc>
          <w:tcPr>
            <w:tcW w:w="600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Twelve Largest Institutional/Non-Retail Shareholders(1)</w:t>
            </w: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 of Out-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Shareholder</w:t>
            </w:r>
          </w:p>
        </w:tc>
        <w:tc>
          <w:tcPr>
            <w:tcW w:w="11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Shares Held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standing Shares</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Yale University</w:t>
            </w:r>
          </w:p>
        </w:tc>
        <w:tc>
          <w:tcPr>
            <w:tcW w:w="1120" w:type="dxa"/>
            <w:vAlign w:val="bottom"/>
          </w:tcPr>
          <w:p>
            <w:pPr>
              <w:spacing w:after="0"/>
              <w:rPr>
                <w:sz w:val="24"/>
                <w:szCs w:val="2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6,155,092</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Rothschild Realty Investors II L.L.C.</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3,266,667</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11.5%</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Howard Hughes Medical Institute</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2,266,667</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8.0%</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Stanford University</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2,133,333</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7.5%</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Harvard Private Capital Realty, Inc.</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2,000,000</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The Vanderbilt University</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1,346,647</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4.7%</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TRW Master Trust</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1,200,000</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4.2%</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Carnegie Corporation of New York</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942,653</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Brown University</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687,823</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CS First Boston Inc.</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426,000</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Yale University Retirement Plan</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403,994</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First Manhattan Capital Management</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348,555</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r>
      <w:tr>
        <w:trPr>
          <w:trHeight w:val="166"/>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Total of Twelve Largest Institutional/Non-Retail Shareholders</w:t>
            </w: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21,177,431</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74.4%</w:t>
            </w:r>
          </w:p>
        </w:tc>
      </w:tr>
      <w:tr>
        <w:trPr>
          <w:trHeight w:val="166"/>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Total of all Institutional/Non-Retail Shareholders</w:t>
            </w:r>
          </w:p>
        </w:tc>
        <w:tc>
          <w:tcPr>
            <w:tcW w:w="1120" w:type="dxa"/>
            <w:vAlign w:val="bottom"/>
          </w:tcPr>
          <w:p>
            <w:pPr>
              <w:spacing w:after="0"/>
              <w:rPr>
                <w:sz w:val="24"/>
                <w:szCs w:val="2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22,223,769</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78.1%</w:t>
            </w:r>
          </w:p>
        </w:tc>
      </w:tr>
      <w:tr>
        <w:trPr>
          <w:trHeight w:val="166"/>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663"/>
        </w:trPr>
        <w:tc>
          <w:tcPr>
            <w:tcW w:w="600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Operating Partnership</w:t>
            </w:r>
          </w:p>
        </w:tc>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6000" w:type="dxa"/>
            <w:vAlign w:val="bottom"/>
          </w:tcPr>
          <w:p>
            <w:pPr>
              <w:ind w:left="2760"/>
              <w:spacing w:after="0"/>
              <w:rPr>
                <w:sz w:val="20"/>
                <w:szCs w:val="20"/>
                <w:color w:val="auto"/>
              </w:rPr>
            </w:pPr>
            <w:r>
              <w:rPr>
                <w:rFonts w:ascii="Courier New" w:cs="Courier New" w:eastAsia="Courier New" w:hAnsi="Courier New"/>
                <w:sz w:val="14"/>
                <w:szCs w:val="14"/>
                <w:color w:val="auto"/>
              </w:rPr>
              <w:t>Unit Information</w:t>
            </w:r>
          </w:p>
        </w:tc>
        <w:tc>
          <w:tcPr>
            <w:tcW w:w="1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6000" w:type="dxa"/>
            <w:vAlign w:val="bottom"/>
          </w:tcPr>
          <w:p>
            <w:pPr>
              <w:ind w:left="27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497"/>
        </w:trPr>
        <w:tc>
          <w:tcPr>
            <w:tcW w:w="6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Percent</w:t>
            </w:r>
          </w:p>
        </w:tc>
        <w:tc>
          <w:tcPr>
            <w:tcW w:w="1640" w:type="dxa"/>
            <w:vAlign w:val="bottom"/>
          </w:tcPr>
          <w:p>
            <w:pPr>
              <w:spacing w:after="0"/>
              <w:rPr>
                <w:sz w:val="24"/>
                <w:szCs w:val="24"/>
                <w:color w:val="auto"/>
              </w:rPr>
            </w:pPr>
          </w:p>
        </w:tc>
      </w:tr>
      <w:tr>
        <w:trPr>
          <w:trHeight w:val="166"/>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of Total O.P. Units</w:t>
            </w:r>
          </w:p>
        </w:tc>
        <w:tc>
          <w:tcPr>
            <w:tcW w:w="1640" w:type="dxa"/>
            <w:vAlign w:val="bottom"/>
          </w:tcPr>
          <w:p>
            <w:pPr>
              <w:spacing w:after="0"/>
              <w:rPr>
                <w:sz w:val="14"/>
                <w:szCs w:val="14"/>
                <w:color w:val="auto"/>
              </w:rPr>
            </w:pPr>
          </w:p>
        </w:tc>
      </w:tr>
      <w:tr>
        <w:trPr>
          <w:trHeight w:val="166"/>
        </w:trPr>
        <w:tc>
          <w:tcPr>
            <w:tcW w:w="6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Institutional/Non-Retail O.P. Unit Holders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2,972,488</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52.8%</w:t>
            </w:r>
          </w:p>
        </w:tc>
        <w:tc>
          <w:tcPr>
            <w:tcW w:w="1640" w:type="dxa"/>
            <w:vAlign w:val="bottom"/>
          </w:tcPr>
          <w:p>
            <w:pPr>
              <w:spacing w:after="0"/>
              <w:rPr>
                <w:sz w:val="24"/>
                <w:szCs w:val="2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Employee/Director O.P. Unit Holders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1,722,662</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30.6%</w:t>
            </w:r>
          </w:p>
        </w:tc>
        <w:tc>
          <w:tcPr>
            <w:tcW w:w="1640" w:type="dxa"/>
            <w:vAlign w:val="bottom"/>
          </w:tcPr>
          <w:p>
            <w:pPr>
              <w:spacing w:after="0"/>
              <w:rPr>
                <w:sz w:val="14"/>
                <w:szCs w:val="1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Other O.P. Unit Holders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930,800</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w:t>
            </w:r>
          </w:p>
        </w:tc>
        <w:tc>
          <w:tcPr>
            <w:tcW w:w="1640" w:type="dxa"/>
            <w:vAlign w:val="bottom"/>
          </w:tcPr>
          <w:p>
            <w:pPr>
              <w:spacing w:after="0"/>
              <w:rPr>
                <w:sz w:val="14"/>
                <w:szCs w:val="14"/>
                <w:color w:val="auto"/>
              </w:rPr>
            </w:pPr>
          </w:p>
        </w:tc>
      </w:tr>
      <w:tr>
        <w:trPr>
          <w:trHeight w:val="166"/>
        </w:trPr>
        <w:tc>
          <w:tcPr>
            <w:tcW w:w="600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Total O.P. Units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5,625,950</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1640" w:type="dxa"/>
            <w:vAlign w:val="bottom"/>
          </w:tcPr>
          <w:p>
            <w:pPr>
              <w:spacing w:after="0"/>
              <w:rPr>
                <w:sz w:val="14"/>
                <w:szCs w:val="14"/>
                <w:color w:val="auto"/>
              </w:rPr>
            </w:pPr>
          </w:p>
        </w:tc>
      </w:tr>
      <w:tr>
        <w:trPr>
          <w:trHeight w:val="166"/>
        </w:trPr>
        <w:tc>
          <w:tcPr>
            <w:tcW w:w="600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right="4480" w:hanging="352"/>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Schedule 13F filings with the U.S. Securities and Exchange Commission</w:t>
      </w:r>
    </w:p>
    <w:p>
      <w:pPr>
        <w:spacing w:after="0" w:line="200" w:lineRule="exact"/>
        <w:rPr>
          <w:sz w:val="20"/>
          <w:szCs w:val="20"/>
          <w:color w:val="auto"/>
        </w:rPr>
      </w:pPr>
    </w:p>
    <w:p>
      <w:pPr>
        <w:spacing w:after="0" w:line="291"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Total Share/O.P. Unit Ownership (Combined)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 Institutional/Non-Retail Share &amp;</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 Unit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Retail Shareholders</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5%</w:t>
        <w:tab/>
        <w:t>Employee/Director O.P.</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Unitholders</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3%</w:t>
        <w:tab/>
        <w:t>Other O.P. Unitholders</w:t>
      </w:r>
    </w:p>
    <w:p>
      <w:pPr>
        <w:sectPr>
          <w:pgSz w:w="11900" w:h="16838" w:orient="portrait"/>
          <w:cols w:equalWidth="0" w:num="1">
            <w:col w:w="10600"/>
          </w:cols>
          <w:pgMar w:left="220" w:top="451" w:right="1079" w:bottom="1440" w:gutter="0" w:footer="0" w:header="0"/>
        </w:sectPr>
      </w:pPr>
    </w:p>
    <w:bookmarkStart w:id="16" w:name="page17"/>
    <w:bookmarkEnd w:id="16"/>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ind w:left="2680"/>
              <w:spacing w:after="0"/>
              <w:rPr>
                <w:sz w:val="20"/>
                <w:szCs w:val="20"/>
                <w:color w:val="auto"/>
              </w:rPr>
            </w:pPr>
            <w:r>
              <w:rPr>
                <w:rFonts w:ascii="Courier New" w:cs="Courier New" w:eastAsia="Courier New" w:hAnsi="Courier New"/>
                <w:sz w:val="14"/>
                <w:szCs w:val="14"/>
                <w:color w:val="auto"/>
              </w:rPr>
              <w:t>SEPTEMBER 30, 2001</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Statements of Operations - Including Joint Venture Activity 1</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300" w:type="dxa"/>
            <w:vAlign w:val="bottom"/>
          </w:tcPr>
          <w:p>
            <w:pPr>
              <w:ind w:left="2080"/>
              <w:spacing w:after="0"/>
              <w:rPr>
                <w:sz w:val="20"/>
                <w:szCs w:val="20"/>
                <w:color w:val="auto"/>
              </w:rPr>
            </w:pPr>
            <w:r>
              <w:rPr>
                <w:rFonts w:ascii="Courier New" w:cs="Courier New" w:eastAsia="Courier New" w:hAnsi="Courier New"/>
                <w:sz w:val="14"/>
                <w:szCs w:val="14"/>
                <w:color w:val="auto"/>
              </w:rPr>
              <w:t>Current Year-to-Date - by Quarter</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30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6300" w:type="dxa"/>
            <w:vAlign w:val="bottom"/>
          </w:tcPr>
          <w:p>
            <w:pPr>
              <w:spacing w:after="0"/>
              <w:rPr>
                <w:sz w:val="24"/>
                <w:szCs w:val="24"/>
                <w:color w:val="auto"/>
              </w:rPr>
            </w:pPr>
          </w:p>
        </w:tc>
        <w:tc>
          <w:tcPr>
            <w:tcW w:w="50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Year-to-Date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 months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ended September 30,</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300" w:type="dxa"/>
            <w:vAlign w:val="bottom"/>
          </w:tcPr>
          <w:p>
            <w:pPr>
              <w:spacing w:after="0"/>
              <w:rPr>
                <w:sz w:val="14"/>
                <w:szCs w:val="14"/>
                <w:color w:val="auto"/>
              </w:rPr>
            </w:pPr>
          </w:p>
        </w:tc>
        <w:tc>
          <w:tcPr>
            <w:tcW w:w="50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4"/>
                <w:szCs w:val="24"/>
                <w:color w:val="auto"/>
              </w:rPr>
            </w:pPr>
          </w:p>
        </w:tc>
        <w:tc>
          <w:tcPr>
            <w:tcW w:w="19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Wholly Owned</w:t>
            </w:r>
          </w:p>
        </w:tc>
        <w:tc>
          <w:tcPr>
            <w:tcW w:w="21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JV</w:t>
            </w:r>
          </w:p>
        </w:tc>
        <w:tc>
          <w:tcPr>
            <w:tcW w:w="30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6300" w:type="dxa"/>
            <w:vAlign w:val="bottom"/>
          </w:tcPr>
          <w:p>
            <w:pPr>
              <w:spacing w:after="0"/>
              <w:rPr>
                <w:sz w:val="14"/>
                <w:szCs w:val="14"/>
                <w:color w:val="auto"/>
              </w:rPr>
            </w:pP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50,191</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$1,816</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$ 52,007</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1,381</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70</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1,451</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10,305</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752</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11,057</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554</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37</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w:t>
            </w:r>
          </w:p>
        </w:tc>
      </w:tr>
      <w:tr>
        <w:trPr>
          <w:trHeight w:val="166"/>
        </w:trPr>
        <w:tc>
          <w:tcPr>
            <w:tcW w:w="6300" w:type="dxa"/>
            <w:vAlign w:val="bottom"/>
          </w:tcPr>
          <w:p>
            <w:pPr>
              <w:spacing w:after="0"/>
              <w:rPr>
                <w:sz w:val="14"/>
                <w:szCs w:val="14"/>
                <w:color w:val="auto"/>
              </w:rPr>
            </w:pP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62,431</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2,675</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65,106</w:t>
            </w:r>
          </w:p>
        </w:tc>
      </w:tr>
      <w:tr>
        <w:trPr>
          <w:trHeight w:val="166"/>
        </w:trPr>
        <w:tc>
          <w:tcPr>
            <w:tcW w:w="6300" w:type="dxa"/>
            <w:vAlign w:val="bottom"/>
          </w:tcPr>
          <w:p>
            <w:pPr>
              <w:spacing w:after="0"/>
              <w:rPr>
                <w:sz w:val="14"/>
                <w:szCs w:val="14"/>
                <w:color w:val="auto"/>
              </w:rPr>
            </w:pP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12,981</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330</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13,311</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8,458</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456</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8,914</w:t>
            </w:r>
          </w:p>
        </w:tc>
      </w:tr>
      <w:tr>
        <w:trPr>
          <w:trHeight w:val="166"/>
        </w:trPr>
        <w:tc>
          <w:tcPr>
            <w:tcW w:w="6300" w:type="dxa"/>
            <w:vAlign w:val="bottom"/>
          </w:tcPr>
          <w:p>
            <w:pPr>
              <w:spacing w:after="0"/>
              <w:rPr>
                <w:sz w:val="14"/>
                <w:szCs w:val="14"/>
                <w:color w:val="auto"/>
              </w:rPr>
            </w:pP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21,439</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786</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22,225</w:t>
            </w:r>
          </w:p>
        </w:tc>
      </w:tr>
      <w:tr>
        <w:trPr>
          <w:trHeight w:val="166"/>
        </w:trPr>
        <w:tc>
          <w:tcPr>
            <w:tcW w:w="6300" w:type="dxa"/>
            <w:vAlign w:val="bottom"/>
          </w:tcPr>
          <w:p>
            <w:pPr>
              <w:spacing w:after="0"/>
              <w:rPr>
                <w:sz w:val="14"/>
                <w:szCs w:val="14"/>
                <w:color w:val="auto"/>
              </w:rPr>
            </w:pP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94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40,992</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1,889</w:t>
            </w:r>
          </w:p>
        </w:tc>
        <w:tc>
          <w:tcPr>
            <w:tcW w:w="3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42,881</w:t>
            </w:r>
          </w:p>
        </w:tc>
      </w:tr>
      <w:tr>
        <w:trPr>
          <w:trHeight w:val="497"/>
        </w:trPr>
        <w:tc>
          <w:tcPr>
            <w:tcW w:w="63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9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(2,791)</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(2,791)</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9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(3,697)</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(3,697)</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667</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667</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401</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604</w:t>
            </w:r>
          </w:p>
        </w:tc>
        <w:tc>
          <w:tcPr>
            <w:tcW w:w="21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585</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r>
      <w:tr>
        <w:trPr>
          <w:trHeight w:val="166"/>
        </w:trPr>
        <w:tc>
          <w:tcPr>
            <w:tcW w:w="6300" w:type="dxa"/>
            <w:vAlign w:val="bottom"/>
          </w:tcPr>
          <w:p>
            <w:pPr>
              <w:spacing w:after="0"/>
              <w:rPr>
                <w:sz w:val="14"/>
                <w:szCs w:val="14"/>
                <w:color w:val="auto"/>
              </w:rPr>
            </w:pP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94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36,193</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1,870</w:t>
            </w:r>
          </w:p>
        </w:tc>
        <w:tc>
          <w:tcPr>
            <w:tcW w:w="3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38,063</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94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(14,737)</w:t>
            </w:r>
          </w:p>
        </w:tc>
        <w:tc>
          <w:tcPr>
            <w:tcW w:w="21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(492)</w:t>
            </w:r>
          </w:p>
        </w:tc>
        <w:tc>
          <w:tcPr>
            <w:tcW w:w="3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(15,229)</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9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(14,441)</w:t>
            </w:r>
          </w:p>
        </w:tc>
        <w:tc>
          <w:tcPr>
            <w:tcW w:w="21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(964)</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(15,405)</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9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(14,756)</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(14,756)</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8,280</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8,280</w:t>
            </w:r>
          </w:p>
        </w:tc>
      </w:tr>
      <w:tr>
        <w:trPr>
          <w:trHeight w:val="166"/>
        </w:trPr>
        <w:tc>
          <w:tcPr>
            <w:tcW w:w="6300" w:type="dxa"/>
            <w:vAlign w:val="bottom"/>
          </w:tcPr>
          <w:p>
            <w:pPr>
              <w:spacing w:after="0"/>
              <w:rPr>
                <w:sz w:val="14"/>
                <w:szCs w:val="14"/>
                <w:color w:val="auto"/>
              </w:rPr>
            </w:pP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9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539</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414</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953</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94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9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9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6300" w:type="dxa"/>
            <w:vAlign w:val="bottom"/>
          </w:tcPr>
          <w:p>
            <w:pPr>
              <w:spacing w:after="0"/>
              <w:rPr>
                <w:sz w:val="14"/>
                <w:szCs w:val="14"/>
                <w:color w:val="auto"/>
              </w:rPr>
            </w:pP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414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6300" w:type="dxa"/>
            <w:vAlign w:val="bottom"/>
          </w:tcPr>
          <w:p>
            <w:pPr>
              <w:spacing w:after="0"/>
              <w:rPr>
                <w:sz w:val="14"/>
                <w:szCs w:val="14"/>
                <w:color w:val="auto"/>
              </w:rPr>
            </w:pPr>
          </w:p>
        </w:tc>
        <w:tc>
          <w:tcPr>
            <w:tcW w:w="19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616" w:right="2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ind w:left="2680"/>
              <w:spacing w:after="0"/>
              <w:rPr>
                <w:sz w:val="20"/>
                <w:szCs w:val="20"/>
                <w:color w:val="auto"/>
              </w:rPr>
            </w:pPr>
            <w:r>
              <w:rPr>
                <w:rFonts w:ascii="Courier New" w:cs="Courier New" w:eastAsia="Courier New" w:hAnsi="Courier New"/>
                <w:sz w:val="14"/>
                <w:szCs w:val="14"/>
                <w:color w:val="auto"/>
              </w:rPr>
              <w:t>[RESTUBBED TABLE]</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6000" w:type="dxa"/>
            <w:vAlign w:val="bottom"/>
          </w:tcPr>
          <w:p>
            <w:pPr>
              <w:spacing w:after="0"/>
              <w:rPr>
                <w:sz w:val="24"/>
                <w:szCs w:val="24"/>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Current Quarter</w:t>
            </w:r>
          </w:p>
        </w:tc>
        <w:tc>
          <w:tcPr>
            <w:tcW w:w="860" w:type="dxa"/>
            <w:vAlign w:val="bottom"/>
          </w:tcPr>
          <w:p>
            <w:pPr>
              <w:spacing w:after="0"/>
              <w:rPr>
                <w:sz w:val="14"/>
                <w:szCs w:val="14"/>
                <w:color w:val="auto"/>
              </w:rPr>
            </w:pPr>
          </w:p>
        </w:tc>
      </w:tr>
      <w:tr>
        <w:trPr>
          <w:trHeight w:val="166"/>
        </w:trPr>
        <w:tc>
          <w:tcPr>
            <w:tcW w:w="6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 months</w:t>
            </w:r>
          </w:p>
        </w:tc>
        <w:tc>
          <w:tcPr>
            <w:tcW w:w="860" w:type="dxa"/>
            <w:vAlign w:val="bottom"/>
          </w:tcPr>
          <w:p>
            <w:pPr>
              <w:spacing w:after="0"/>
              <w:rPr>
                <w:sz w:val="14"/>
                <w:szCs w:val="14"/>
                <w:color w:val="auto"/>
              </w:rPr>
            </w:pPr>
          </w:p>
        </w:tc>
      </w:tr>
      <w:tr>
        <w:trPr>
          <w:trHeight w:val="166"/>
        </w:trPr>
        <w:tc>
          <w:tcPr>
            <w:tcW w:w="6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ended September 30,</w:t>
            </w:r>
          </w:p>
        </w:tc>
        <w:tc>
          <w:tcPr>
            <w:tcW w:w="860" w:type="dxa"/>
            <w:vAlign w:val="bottom"/>
          </w:tcPr>
          <w:p>
            <w:pPr>
              <w:spacing w:after="0"/>
              <w:rPr>
                <w:sz w:val="14"/>
                <w:szCs w:val="14"/>
                <w:color w:val="auto"/>
              </w:rPr>
            </w:pPr>
          </w:p>
        </w:tc>
      </w:tr>
      <w:tr>
        <w:trPr>
          <w:trHeight w:val="166"/>
        </w:trPr>
        <w:tc>
          <w:tcPr>
            <w:tcW w:w="6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spacing w:after="0"/>
              <w:rPr>
                <w:sz w:val="14"/>
                <w:szCs w:val="14"/>
                <w:color w:val="auto"/>
              </w:rPr>
            </w:pPr>
          </w:p>
        </w:tc>
      </w:tr>
      <w:tr>
        <w:trPr>
          <w:trHeight w:val="166"/>
        </w:trPr>
        <w:tc>
          <w:tcPr>
            <w:tcW w:w="6000" w:type="dxa"/>
            <w:vAlign w:val="bottom"/>
          </w:tcPr>
          <w:p>
            <w:pPr>
              <w:spacing w:after="0"/>
              <w:rPr>
                <w:sz w:val="14"/>
                <w:szCs w:val="14"/>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4"/>
                <w:szCs w:val="24"/>
                <w:color w:val="auto"/>
              </w:rPr>
            </w:pPr>
          </w:p>
        </w:tc>
        <w:tc>
          <w:tcPr>
            <w:tcW w:w="2540" w:type="dxa"/>
            <w:vAlign w:val="bottom"/>
            <w:gridSpan w:val="2"/>
          </w:tcPr>
          <w:p>
            <w:pPr>
              <w:ind w:left="1160"/>
              <w:spacing w:after="0"/>
              <w:rPr>
                <w:sz w:val="20"/>
                <w:szCs w:val="20"/>
                <w:color w:val="auto"/>
              </w:rPr>
            </w:pPr>
            <w:r>
              <w:rPr>
                <w:rFonts w:ascii="Courier New" w:cs="Courier New" w:eastAsia="Courier New" w:hAnsi="Courier New"/>
                <w:sz w:val="14"/>
                <w:szCs w:val="14"/>
                <w:color w:val="auto"/>
              </w:rPr>
              <w:t>Wholly Owned</w:t>
            </w:r>
          </w:p>
        </w:tc>
        <w:tc>
          <w:tcPr>
            <w:tcW w:w="19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JV</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6000" w:type="dxa"/>
            <w:vAlign w:val="bottom"/>
          </w:tcPr>
          <w:p>
            <w:pPr>
              <w:spacing w:after="0"/>
              <w:rPr>
                <w:sz w:val="14"/>
                <w:szCs w:val="1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1580" w:type="dxa"/>
            <w:vAlign w:val="bottom"/>
          </w:tcPr>
          <w:p>
            <w:pPr>
              <w:ind w:left="1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16,351</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$ 598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$ 16,949</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3,258</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3,513</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6000" w:type="dxa"/>
            <w:vAlign w:val="bottom"/>
          </w:tcPr>
          <w:p>
            <w:pPr>
              <w:spacing w:after="0"/>
              <w:rPr>
                <w:sz w:val="14"/>
                <w:szCs w:val="1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20,061</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867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20,928</w:t>
            </w:r>
          </w:p>
        </w:tc>
      </w:tr>
      <w:tr>
        <w:trPr>
          <w:trHeight w:val="166"/>
        </w:trPr>
        <w:tc>
          <w:tcPr>
            <w:tcW w:w="6000" w:type="dxa"/>
            <w:vAlign w:val="bottom"/>
          </w:tcPr>
          <w:p>
            <w:pPr>
              <w:spacing w:after="0"/>
              <w:rPr>
                <w:sz w:val="14"/>
                <w:szCs w:val="1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4,013</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4,115</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2,840</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2,992</w:t>
            </w:r>
          </w:p>
        </w:tc>
      </w:tr>
      <w:tr>
        <w:trPr>
          <w:trHeight w:val="166"/>
        </w:trPr>
        <w:tc>
          <w:tcPr>
            <w:tcW w:w="6000" w:type="dxa"/>
            <w:vAlign w:val="bottom"/>
          </w:tcPr>
          <w:p>
            <w:pPr>
              <w:spacing w:after="0"/>
              <w:rPr>
                <w:sz w:val="14"/>
                <w:szCs w:val="1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6,853</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7,107</w:t>
            </w:r>
          </w:p>
        </w:tc>
      </w:tr>
      <w:tr>
        <w:trPr>
          <w:trHeight w:val="166"/>
        </w:trPr>
        <w:tc>
          <w:tcPr>
            <w:tcW w:w="6000" w:type="dxa"/>
            <w:vAlign w:val="bottom"/>
          </w:tcPr>
          <w:p>
            <w:pPr>
              <w:spacing w:after="0"/>
              <w:rPr>
                <w:sz w:val="14"/>
                <w:szCs w:val="1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158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13,208</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613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13,821</w:t>
            </w:r>
          </w:p>
        </w:tc>
      </w:tr>
      <w:tr>
        <w:trPr>
          <w:trHeight w:val="497"/>
        </w:trPr>
        <w:tc>
          <w:tcPr>
            <w:tcW w:w="60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15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(804)</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(804)</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5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(1,156)</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(1,156)</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261</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158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11,700</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12,304</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58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(4,837)</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(5,001)</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(4,382)</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(4,697)</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15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(14,756)</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(14,756)</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1,245</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1,245</w:t>
            </w:r>
          </w:p>
        </w:tc>
      </w:tr>
      <w:tr>
        <w:trPr>
          <w:trHeight w:val="166"/>
        </w:trPr>
        <w:tc>
          <w:tcPr>
            <w:tcW w:w="6000" w:type="dxa"/>
            <w:vAlign w:val="bottom"/>
          </w:tcPr>
          <w:p>
            <w:pPr>
              <w:spacing w:after="0"/>
              <w:rPr>
                <w:sz w:val="14"/>
                <w:szCs w:val="1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15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(11,030)</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(10,905)</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158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58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1,636</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1,636</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158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80" w:type="dxa"/>
            <w:vAlign w:val="bottom"/>
          </w:tcPr>
          <w:p>
            <w:pPr>
              <w:ind w:left="1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(9,394)</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(9,269)</w:t>
            </w:r>
          </w:p>
        </w:tc>
      </w:tr>
      <w:tr>
        <w:trPr>
          <w:trHeight w:val="166"/>
        </w:trPr>
        <w:tc>
          <w:tcPr>
            <w:tcW w:w="6000" w:type="dxa"/>
            <w:vAlign w:val="bottom"/>
          </w:tcPr>
          <w:p>
            <w:pPr>
              <w:spacing w:after="0"/>
              <w:rPr>
                <w:sz w:val="14"/>
                <w:szCs w:val="14"/>
                <w:color w:val="auto"/>
              </w:rPr>
            </w:pPr>
          </w:p>
        </w:tc>
        <w:tc>
          <w:tcPr>
            <w:tcW w:w="2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782" w:right="2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ind w:left="2680"/>
              <w:spacing w:after="0"/>
              <w:rPr>
                <w:sz w:val="20"/>
                <w:szCs w:val="20"/>
                <w:color w:val="auto"/>
              </w:rPr>
            </w:pPr>
            <w:r>
              <w:rPr>
                <w:rFonts w:ascii="Courier New" w:cs="Courier New" w:eastAsia="Courier New" w:hAnsi="Courier New"/>
                <w:sz w:val="14"/>
                <w:szCs w:val="14"/>
                <w:color w:val="auto"/>
              </w:rPr>
              <w:t>[RESTUBBED TABLE]</w:t>
            </w: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6160" w:type="dxa"/>
            <w:vAlign w:val="bottom"/>
          </w:tcPr>
          <w:p>
            <w:pPr>
              <w:spacing w:after="0"/>
              <w:rPr>
                <w:sz w:val="24"/>
                <w:szCs w:val="24"/>
                <w:color w:val="auto"/>
              </w:rPr>
            </w:pPr>
          </w:p>
        </w:tc>
        <w:tc>
          <w:tcPr>
            <w:tcW w:w="5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Previous Quarters</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 months</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ended June 30,</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5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4"/>
                <w:szCs w:val="24"/>
                <w:color w:val="auto"/>
              </w:rPr>
            </w:pPr>
          </w:p>
        </w:tc>
        <w:tc>
          <w:tcPr>
            <w:tcW w:w="234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Wholly Owned</w:t>
            </w:r>
          </w:p>
        </w:tc>
        <w:tc>
          <w:tcPr>
            <w:tcW w:w="18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JV</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616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152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16,631</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$ 609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$ 17,240</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3,138</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3,399</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616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20,290</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884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21,174</w:t>
            </w:r>
          </w:p>
        </w:tc>
      </w:tr>
      <w:tr>
        <w:trPr>
          <w:trHeight w:val="166"/>
        </w:trPr>
        <w:tc>
          <w:tcPr>
            <w:tcW w:w="616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3,675</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3,778</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2,818</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2,970</w:t>
            </w:r>
          </w:p>
        </w:tc>
      </w:tr>
      <w:tr>
        <w:trPr>
          <w:trHeight w:val="166"/>
        </w:trPr>
        <w:tc>
          <w:tcPr>
            <w:tcW w:w="616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6,493</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6,748</w:t>
            </w:r>
          </w:p>
        </w:tc>
      </w:tr>
      <w:tr>
        <w:trPr>
          <w:trHeight w:val="166"/>
        </w:trPr>
        <w:tc>
          <w:tcPr>
            <w:tcW w:w="616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15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13,797</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629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14,426</w:t>
            </w:r>
          </w:p>
        </w:tc>
      </w:tr>
      <w:tr>
        <w:trPr>
          <w:trHeight w:val="497"/>
        </w:trPr>
        <w:tc>
          <w:tcPr>
            <w:tcW w:w="61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1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(1,082)</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(1,082)</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(1,352)</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(1,352)</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w:t>
            </w:r>
          </w:p>
        </w:tc>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6"/>
        </w:trPr>
        <w:tc>
          <w:tcPr>
            <w:tcW w:w="616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15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12,091</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622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12,713</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5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(4,936)</w:t>
            </w:r>
          </w:p>
        </w:tc>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(4,781)</w:t>
            </w:r>
          </w:p>
        </w:tc>
        <w:tc>
          <w:tcPr>
            <w:tcW w:w="18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(5,102)</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7,035</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7,035</w:t>
            </w:r>
          </w:p>
        </w:tc>
      </w:tr>
      <w:tr>
        <w:trPr>
          <w:trHeight w:val="166"/>
        </w:trPr>
        <w:tc>
          <w:tcPr>
            <w:tcW w:w="616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9,409</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9,546</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15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5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(1,746)</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(1,746)</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15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7,663</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$ 137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7,800</w:t>
            </w:r>
          </w:p>
        </w:tc>
      </w:tr>
      <w:tr>
        <w:trPr>
          <w:trHeight w:val="166"/>
        </w:trPr>
        <w:tc>
          <w:tcPr>
            <w:tcW w:w="616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782" w:right="2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60" w:type="dxa"/>
            <w:vAlign w:val="bottom"/>
          </w:tcPr>
          <w:p>
            <w:pPr>
              <w:ind w:left="2680"/>
              <w:spacing w:after="0"/>
              <w:rPr>
                <w:sz w:val="20"/>
                <w:szCs w:val="20"/>
                <w:color w:val="auto"/>
              </w:rPr>
            </w:pPr>
            <w:r>
              <w:rPr>
                <w:rFonts w:ascii="Courier New" w:cs="Courier New" w:eastAsia="Courier New" w:hAnsi="Courier New"/>
                <w:sz w:val="14"/>
                <w:szCs w:val="14"/>
                <w:color w:val="auto"/>
              </w:rPr>
              <w:t>[RESTUBBED TABLE]</w:t>
            </w: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6160" w:type="dxa"/>
            <w:vAlign w:val="bottom"/>
          </w:tcPr>
          <w:p>
            <w:pPr>
              <w:spacing w:after="0"/>
              <w:rPr>
                <w:sz w:val="24"/>
                <w:szCs w:val="24"/>
                <w:color w:val="auto"/>
              </w:rPr>
            </w:pPr>
          </w:p>
        </w:tc>
        <w:tc>
          <w:tcPr>
            <w:tcW w:w="5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Previous Quarters</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 months</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ended March 31,</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52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4"/>
                <w:szCs w:val="24"/>
                <w:color w:val="auto"/>
              </w:rPr>
            </w:pPr>
          </w:p>
        </w:tc>
        <w:tc>
          <w:tcPr>
            <w:tcW w:w="228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Wholly Owned</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JV</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6160" w:type="dxa"/>
            <w:vAlign w:val="bottom"/>
          </w:tcPr>
          <w:p>
            <w:pPr>
              <w:spacing w:after="0"/>
              <w:rPr>
                <w:sz w:val="14"/>
                <w:szCs w:val="14"/>
                <w:color w:val="auto"/>
              </w:rPr>
            </w:pPr>
          </w:p>
        </w:tc>
        <w:tc>
          <w:tcPr>
            <w:tcW w:w="2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152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17,209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$ 609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$ 17,818</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732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3,909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4,145</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r>
      <w:tr>
        <w:trPr>
          <w:trHeight w:val="166"/>
        </w:trPr>
        <w:tc>
          <w:tcPr>
            <w:tcW w:w="6160" w:type="dxa"/>
            <w:vAlign w:val="bottom"/>
          </w:tcPr>
          <w:p>
            <w:pPr>
              <w:spacing w:after="0"/>
              <w:rPr>
                <w:sz w:val="14"/>
                <w:szCs w:val="14"/>
                <w:color w:val="auto"/>
              </w:rPr>
            </w:pPr>
          </w:p>
        </w:tc>
        <w:tc>
          <w:tcPr>
            <w:tcW w:w="2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22,080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924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23,004</w:t>
            </w:r>
          </w:p>
        </w:tc>
      </w:tr>
      <w:tr>
        <w:trPr>
          <w:trHeight w:val="166"/>
        </w:trPr>
        <w:tc>
          <w:tcPr>
            <w:tcW w:w="6160" w:type="dxa"/>
            <w:vAlign w:val="bottom"/>
          </w:tcPr>
          <w:p>
            <w:pPr>
              <w:spacing w:after="0"/>
              <w:rPr>
                <w:sz w:val="14"/>
                <w:szCs w:val="14"/>
                <w:color w:val="auto"/>
              </w:rPr>
            </w:pPr>
          </w:p>
        </w:tc>
        <w:tc>
          <w:tcPr>
            <w:tcW w:w="2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5,293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5,418</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2,800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2,952</w:t>
            </w:r>
          </w:p>
        </w:tc>
      </w:tr>
      <w:tr>
        <w:trPr>
          <w:trHeight w:val="166"/>
        </w:trPr>
        <w:tc>
          <w:tcPr>
            <w:tcW w:w="6160" w:type="dxa"/>
            <w:vAlign w:val="bottom"/>
          </w:tcPr>
          <w:p>
            <w:pPr>
              <w:spacing w:after="0"/>
              <w:rPr>
                <w:sz w:val="14"/>
                <w:szCs w:val="14"/>
                <w:color w:val="auto"/>
              </w:rPr>
            </w:pPr>
          </w:p>
        </w:tc>
        <w:tc>
          <w:tcPr>
            <w:tcW w:w="2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8,093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8,370</w:t>
            </w:r>
          </w:p>
        </w:tc>
      </w:tr>
      <w:tr>
        <w:trPr>
          <w:trHeight w:val="166"/>
        </w:trPr>
        <w:tc>
          <w:tcPr>
            <w:tcW w:w="6160" w:type="dxa"/>
            <w:vAlign w:val="bottom"/>
          </w:tcPr>
          <w:p>
            <w:pPr>
              <w:spacing w:after="0"/>
              <w:rPr>
                <w:sz w:val="14"/>
                <w:szCs w:val="14"/>
                <w:color w:val="auto"/>
              </w:rPr>
            </w:pPr>
          </w:p>
        </w:tc>
        <w:tc>
          <w:tcPr>
            <w:tcW w:w="2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1520" w:type="dxa"/>
            <w:vAlign w:val="bottom"/>
          </w:tcPr>
          <w:p>
            <w:pPr>
              <w:spacing w:after="0"/>
              <w:rPr>
                <w:sz w:val="24"/>
                <w:szCs w:val="2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13,987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647</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14,634</w:t>
            </w:r>
          </w:p>
        </w:tc>
      </w:tr>
      <w:tr>
        <w:trPr>
          <w:trHeight w:val="497"/>
        </w:trPr>
        <w:tc>
          <w:tcPr>
            <w:tcW w:w="61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15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(905)</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15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(1,189)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(1,189)</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166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237</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2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1520" w:type="dxa"/>
            <w:vAlign w:val="bottom"/>
          </w:tcPr>
          <w:p>
            <w:pPr>
              <w:spacing w:after="0"/>
              <w:rPr>
                <w:sz w:val="24"/>
                <w:szCs w:val="2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12,402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644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13,046</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5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(4,964)</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(5,128)</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(5,278)</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(5,606)</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160" w:type="dxa"/>
            <w:vAlign w:val="bottom"/>
          </w:tcPr>
          <w:p>
            <w:pPr>
              <w:spacing w:after="0"/>
              <w:rPr>
                <w:sz w:val="14"/>
                <w:szCs w:val="14"/>
                <w:color w:val="auto"/>
              </w:rPr>
            </w:pPr>
          </w:p>
        </w:tc>
        <w:tc>
          <w:tcPr>
            <w:tcW w:w="2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61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152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2,160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2,312</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152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5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r>
      <w:tr>
        <w:trPr>
          <w:trHeight w:val="166"/>
        </w:trPr>
        <w:tc>
          <w:tcPr>
            <w:tcW w:w="616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15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r>
        <w:trPr>
          <w:trHeight w:val="166"/>
        </w:trPr>
        <w:tc>
          <w:tcPr>
            <w:tcW w:w="6160" w:type="dxa"/>
            <w:vAlign w:val="bottom"/>
          </w:tcPr>
          <w:p>
            <w:pPr>
              <w:spacing w:after="0"/>
              <w:rPr>
                <w:sz w:val="14"/>
                <w:szCs w:val="14"/>
                <w:color w:val="auto"/>
              </w:rPr>
            </w:pPr>
          </w:p>
        </w:tc>
        <w:tc>
          <w:tcPr>
            <w:tcW w:w="2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1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2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1,431</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$ 152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1,583</w:t>
            </w:r>
          </w:p>
        </w:tc>
      </w:tr>
      <w:tr>
        <w:trPr>
          <w:trHeight w:val="166"/>
        </w:trPr>
        <w:tc>
          <w:tcPr>
            <w:tcW w:w="6160" w:type="dxa"/>
            <w:vAlign w:val="bottom"/>
          </w:tcPr>
          <w:p>
            <w:pPr>
              <w:spacing w:after="0"/>
              <w:rPr>
                <w:sz w:val="14"/>
                <w:szCs w:val="14"/>
                <w:color w:val="auto"/>
              </w:rPr>
            </w:pPr>
          </w:p>
        </w:tc>
        <w:tc>
          <w:tcPr>
            <w:tcW w:w="2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60" w:right="4560" w:hanging="352"/>
        <w:spacing w:after="0" w:line="251"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results for 2001 are unaudited. Although they reflect all adjustments, which in the opinion of management, are necessary for a fair presentation of operating results for the interim period, they are subject to adjustment. The Company's equity in the earnings of unconsolidated partnerships is reflected separately for revenues and expenses by calculating it's pro-rata share for each of the above line items. In total, this agrees with the equity in earnings of unconsolidated partnerships as reported in the Company's Form 10Q's for the corresponding periods.</w:t>
      </w:r>
    </w:p>
    <w:p>
      <w:pPr>
        <w:sectPr>
          <w:pgSz w:w="11900" w:h="16838" w:orient="portrait"/>
          <w:cols w:equalWidth="0" w:num="1">
            <w:col w:w="11380"/>
          </w:cols>
          <w:pgMar w:left="220" w:top="782" w:right="299" w:bottom="1440" w:gutter="0" w:footer="0" w:header="0"/>
        </w:sectPr>
      </w:pPr>
    </w:p>
    <w:bookmarkStart w:id="20" w:name="page21"/>
    <w:bookmarkEnd w:id="20"/>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2001</w:t>
      </w:r>
    </w:p>
    <w:p>
      <w:pPr>
        <w:spacing w:after="0" w:line="338" w:lineRule="exact"/>
        <w:rPr>
          <w:sz w:val="20"/>
          <w:szCs w:val="20"/>
          <w:color w:val="auto"/>
        </w:rPr>
      </w:pPr>
    </w:p>
    <w:p>
      <w:pPr>
        <w:jc w:val="center"/>
        <w:ind w:right="3259"/>
        <w:spacing w:after="0" w:line="257" w:lineRule="auto"/>
        <w:rPr>
          <w:sz w:val="20"/>
          <w:szCs w:val="20"/>
          <w:color w:val="auto"/>
        </w:rPr>
      </w:pPr>
      <w:r>
        <w:rPr>
          <w:rFonts w:ascii="Courier New" w:cs="Courier New" w:eastAsia="Courier New" w:hAnsi="Courier New"/>
          <w:sz w:val="14"/>
          <w:szCs w:val="14"/>
          <w:color w:val="auto"/>
        </w:rPr>
        <w:t>Statements of Operations - Including Joint Venture Activity 1 Current Quarter and Year-to-Date v. Historical (in thousands)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Current Quarter</w:t>
            </w:r>
          </w:p>
        </w:tc>
        <w:tc>
          <w:tcPr>
            <w:tcW w:w="900" w:type="dxa"/>
            <w:vAlign w:val="bottom"/>
          </w:tcPr>
          <w:p>
            <w:pPr>
              <w:spacing w:after="0"/>
              <w:rPr>
                <w:sz w:val="14"/>
                <w:szCs w:val="14"/>
                <w:color w:val="auto"/>
              </w:rPr>
            </w:pPr>
          </w:p>
        </w:tc>
      </w:tr>
      <w:tr>
        <w:trPr>
          <w:trHeight w:val="331"/>
        </w:trPr>
        <w:tc>
          <w:tcPr>
            <w:tcW w:w="5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3 months</w:t>
            </w:r>
          </w:p>
        </w:tc>
        <w:tc>
          <w:tcPr>
            <w:tcW w:w="900" w:type="dxa"/>
            <w:vAlign w:val="bottom"/>
          </w:tcPr>
          <w:p>
            <w:pPr>
              <w:spacing w:after="0"/>
              <w:rPr>
                <w:sz w:val="24"/>
                <w:szCs w:val="24"/>
                <w:color w:val="auto"/>
              </w:rPr>
            </w:pP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ended September 30,</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900" w:type="dxa"/>
            <w:vAlign w:val="bottom"/>
          </w:tcPr>
          <w:p>
            <w:pPr>
              <w:spacing w:after="0"/>
              <w:rPr>
                <w:sz w:val="14"/>
                <w:szCs w:val="14"/>
                <w:color w:val="auto"/>
              </w:rPr>
            </w:pPr>
          </w:p>
        </w:tc>
      </w:tr>
      <w:tr>
        <w:trPr>
          <w:trHeight w:val="166"/>
        </w:trPr>
        <w:tc>
          <w:tcPr>
            <w:tcW w:w="86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4"/>
                <w:szCs w:val="2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Wholly Owned</w:t>
            </w:r>
          </w:p>
        </w:tc>
        <w:tc>
          <w:tcPr>
            <w:tcW w:w="260" w:type="dxa"/>
            <w:vAlign w:val="bottom"/>
          </w:tcPr>
          <w:p>
            <w:pPr>
              <w:spacing w:after="0"/>
              <w:rPr>
                <w:sz w:val="24"/>
                <w:szCs w:val="24"/>
                <w:color w:val="auto"/>
              </w:rPr>
            </w:pP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JV</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44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260" w:type="dxa"/>
            <w:vAlign w:val="bottom"/>
          </w:tcPr>
          <w:p>
            <w:pPr>
              <w:spacing w:after="0"/>
              <w:rPr>
                <w:sz w:val="14"/>
                <w:szCs w:val="14"/>
                <w:color w:val="auto"/>
              </w:rPr>
            </w:pPr>
          </w:p>
        </w:tc>
        <w:tc>
          <w:tcPr>
            <w:tcW w:w="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16,351</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$ 16,949</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3,258</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3,513</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544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20,061</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867</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20,928</w:t>
            </w:r>
          </w:p>
        </w:tc>
      </w:tr>
      <w:tr>
        <w:trPr>
          <w:trHeight w:val="166"/>
        </w:trPr>
        <w:tc>
          <w:tcPr>
            <w:tcW w:w="544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4,013</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4,115</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2,840</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2,992</w:t>
            </w:r>
          </w:p>
        </w:tc>
      </w:tr>
      <w:tr>
        <w:trPr>
          <w:trHeight w:val="166"/>
        </w:trPr>
        <w:tc>
          <w:tcPr>
            <w:tcW w:w="544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6,853</w:t>
            </w:r>
          </w:p>
        </w:tc>
        <w:tc>
          <w:tcPr>
            <w:tcW w:w="2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7,107</w:t>
            </w:r>
          </w:p>
        </w:tc>
      </w:tr>
      <w:tr>
        <w:trPr>
          <w:trHeight w:val="166"/>
        </w:trPr>
        <w:tc>
          <w:tcPr>
            <w:tcW w:w="544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3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13,208</w:t>
            </w:r>
          </w:p>
        </w:tc>
        <w:tc>
          <w:tcPr>
            <w:tcW w:w="26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13,821</w:t>
            </w:r>
          </w:p>
        </w:tc>
      </w:tr>
      <w:tr>
        <w:trPr>
          <w:trHeight w:val="497"/>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3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(804)</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(804)</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3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(1,156)</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Other income 2</w:t>
            </w:r>
          </w:p>
        </w:tc>
        <w:tc>
          <w:tcPr>
            <w:tcW w:w="34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3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11,700</w:t>
            </w:r>
          </w:p>
        </w:tc>
        <w:tc>
          <w:tcPr>
            <w:tcW w:w="26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604</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12,304</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(4,837)</w:t>
            </w:r>
          </w:p>
        </w:tc>
        <w:tc>
          <w:tcPr>
            <w:tcW w:w="26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(5,001)</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(4,382)</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(4,697)</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3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(14,756)</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(14,756)</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1,245</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1,245</w:t>
            </w:r>
          </w:p>
        </w:tc>
      </w:tr>
      <w:tr>
        <w:trPr>
          <w:trHeight w:val="166"/>
        </w:trPr>
        <w:tc>
          <w:tcPr>
            <w:tcW w:w="544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34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(11,030)</w:t>
            </w:r>
          </w:p>
        </w:tc>
        <w:tc>
          <w:tcPr>
            <w:tcW w:w="26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(10,905)</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340" w:type="dxa"/>
            <w:vAlign w:val="bottom"/>
          </w:tcPr>
          <w:p>
            <w:pPr>
              <w:spacing w:after="0"/>
              <w:rPr>
                <w:sz w:val="24"/>
                <w:szCs w:val="2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1,636</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1,636</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34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(9,394)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(9,269)</w:t>
            </w:r>
          </w:p>
        </w:tc>
      </w:tr>
      <w:tr>
        <w:trPr>
          <w:trHeight w:val="166"/>
        </w:trPr>
        <w:tc>
          <w:tcPr>
            <w:tcW w:w="544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21" w:name="page22"/>
    <w:bookmarkEnd w:id="21"/>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Historic Quarter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3 months</w:t>
            </w:r>
          </w:p>
        </w:tc>
        <w:tc>
          <w:tcPr>
            <w:tcW w:w="980" w:type="dxa"/>
            <w:vAlign w:val="bottom"/>
          </w:tcPr>
          <w:p>
            <w:pPr>
              <w:spacing w:after="0"/>
              <w:rPr>
                <w:sz w:val="14"/>
                <w:szCs w:val="14"/>
                <w:color w:val="auto"/>
              </w:rPr>
            </w:pP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ended September 30,</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980" w:type="dxa"/>
            <w:vAlign w:val="bottom"/>
          </w:tcPr>
          <w:p>
            <w:pPr>
              <w:spacing w:after="0"/>
              <w:rPr>
                <w:sz w:val="14"/>
                <w:szCs w:val="14"/>
                <w:color w:val="auto"/>
              </w:rPr>
            </w:pPr>
          </w:p>
        </w:tc>
      </w:tr>
      <w:tr>
        <w:trPr>
          <w:trHeight w:val="166"/>
        </w:trPr>
        <w:tc>
          <w:tcPr>
            <w:tcW w:w="86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Wholly Owned</w:t>
            </w:r>
          </w:p>
        </w:tc>
        <w:tc>
          <w:tcPr>
            <w:tcW w:w="260" w:type="dxa"/>
            <w:vAlign w:val="bottom"/>
          </w:tcPr>
          <w:p>
            <w:pPr>
              <w:spacing w:after="0"/>
              <w:rPr>
                <w:sz w:val="24"/>
                <w:szCs w:val="24"/>
                <w:color w:val="auto"/>
              </w:rPr>
            </w:pPr>
          </w:p>
        </w:tc>
        <w:tc>
          <w:tcPr>
            <w:tcW w:w="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JV</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4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18,161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611</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$ 18,772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3,498</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494</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w:t>
            </w:r>
          </w:p>
        </w:tc>
      </w:tr>
      <w:tr>
        <w:trPr>
          <w:trHeight w:val="166"/>
        </w:trPr>
        <w:tc>
          <w:tcPr>
            <w:tcW w:w="54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22,554</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851</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23,405</w:t>
            </w:r>
          </w:p>
        </w:tc>
      </w:tr>
      <w:tr>
        <w:trPr>
          <w:trHeight w:val="166"/>
        </w:trPr>
        <w:tc>
          <w:tcPr>
            <w:tcW w:w="54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4,810</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2,991</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3,141</w:t>
            </w:r>
          </w:p>
        </w:tc>
      </w:tr>
      <w:tr>
        <w:trPr>
          <w:trHeight w:val="166"/>
        </w:trPr>
        <w:tc>
          <w:tcPr>
            <w:tcW w:w="54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7,801</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8,049</w:t>
            </w:r>
          </w:p>
        </w:tc>
      </w:tr>
      <w:tr>
        <w:trPr>
          <w:trHeight w:val="166"/>
        </w:trPr>
        <w:tc>
          <w:tcPr>
            <w:tcW w:w="54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38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14,753</w:t>
            </w:r>
          </w:p>
        </w:tc>
        <w:tc>
          <w:tcPr>
            <w:tcW w:w="26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603</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15,356</w:t>
            </w:r>
          </w:p>
        </w:tc>
      </w:tr>
      <w:tr>
        <w:trPr>
          <w:trHeight w:val="497"/>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(758)</w:t>
            </w: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(1,168)</w:t>
            </w: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w:t>
            </w: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income 2</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w:t>
            </w: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54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38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13,762</w:t>
            </w:r>
          </w:p>
        </w:tc>
        <w:tc>
          <w:tcPr>
            <w:tcW w:w="26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605</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14,367</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8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(5,164)</w:t>
            </w:r>
          </w:p>
        </w:tc>
        <w:tc>
          <w:tcPr>
            <w:tcW w:w="26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(5,327)</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(6,334)</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(6,674)</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38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(839)</w:t>
            </w: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(839)</w:t>
            </w:r>
          </w:p>
        </w:tc>
      </w:tr>
      <w:tr>
        <w:trPr>
          <w:trHeight w:val="166"/>
        </w:trPr>
        <w:tc>
          <w:tcPr>
            <w:tcW w:w="54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380" w:type="dxa"/>
            <w:vAlign w:val="bottom"/>
          </w:tcPr>
          <w:p>
            <w:pPr>
              <w:spacing w:after="0"/>
              <w:rPr>
                <w:sz w:val="24"/>
                <w:szCs w:val="2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1,425</w:t>
            </w:r>
          </w:p>
        </w:tc>
        <w:tc>
          <w:tcPr>
            <w:tcW w:w="26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1,527</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380" w:type="dxa"/>
            <w:vAlign w:val="bottom"/>
          </w:tcPr>
          <w:p>
            <w:pPr>
              <w:spacing w:after="0"/>
              <w:rPr>
                <w:sz w:val="24"/>
                <w:szCs w:val="2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(422)</w:t>
            </w: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38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1,105</w:t>
            </w:r>
          </w:p>
        </w:tc>
      </w:tr>
      <w:tr>
        <w:trPr>
          <w:trHeight w:val="166"/>
        </w:trPr>
        <w:tc>
          <w:tcPr>
            <w:tcW w:w="54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279" w:right="1440"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Current Year-to-Date</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5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8"/>
              </w:rPr>
              <w:t>9 months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ended September 30,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5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Wholly Owned</w:t>
            </w:r>
          </w:p>
        </w:tc>
        <w:tc>
          <w:tcPr>
            <w:tcW w:w="260" w:type="dxa"/>
            <w:vAlign w:val="bottom"/>
          </w:tcPr>
          <w:p>
            <w:pPr>
              <w:spacing w:after="0"/>
              <w:rPr>
                <w:sz w:val="24"/>
                <w:szCs w:val="2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JV</w:t>
            </w:r>
          </w:p>
        </w:tc>
        <w:tc>
          <w:tcPr>
            <w:tcW w:w="80" w:type="dxa"/>
            <w:vAlign w:val="bottom"/>
          </w:tcPr>
          <w:p>
            <w:pPr>
              <w:spacing w:after="0"/>
              <w:rPr>
                <w:sz w:val="24"/>
                <w:szCs w:val="2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Total</w:t>
            </w:r>
          </w:p>
        </w:tc>
      </w:tr>
      <w:tr>
        <w:trPr>
          <w:trHeight w:val="166"/>
        </w:trPr>
        <w:tc>
          <w:tcPr>
            <w:tcW w:w="54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50,191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1,816</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$ 52,007</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1,381</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1,451</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10,305</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752</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11,057</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554</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591</w:t>
            </w:r>
          </w:p>
        </w:tc>
      </w:tr>
      <w:tr>
        <w:trPr>
          <w:trHeight w:val="166"/>
        </w:trPr>
        <w:tc>
          <w:tcPr>
            <w:tcW w:w="54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62,431</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2,675</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65,106</w:t>
            </w:r>
          </w:p>
        </w:tc>
      </w:tr>
      <w:tr>
        <w:trPr>
          <w:trHeight w:val="166"/>
        </w:trPr>
        <w:tc>
          <w:tcPr>
            <w:tcW w:w="54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12,981</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13,311</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8,458</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456</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8,914</w:t>
            </w:r>
          </w:p>
        </w:tc>
      </w:tr>
      <w:tr>
        <w:trPr>
          <w:trHeight w:val="166"/>
        </w:trPr>
        <w:tc>
          <w:tcPr>
            <w:tcW w:w="54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21,439</w:t>
            </w:r>
          </w:p>
        </w:tc>
        <w:tc>
          <w:tcPr>
            <w:tcW w:w="26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786</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22,225</w:t>
            </w:r>
          </w:p>
        </w:tc>
      </w:tr>
      <w:tr>
        <w:trPr>
          <w:trHeight w:val="166"/>
        </w:trPr>
        <w:tc>
          <w:tcPr>
            <w:tcW w:w="54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3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40,992</w:t>
            </w:r>
          </w:p>
        </w:tc>
        <w:tc>
          <w:tcPr>
            <w:tcW w:w="2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1,889</w:t>
            </w:r>
          </w:p>
        </w:tc>
        <w:tc>
          <w:tcPr>
            <w:tcW w:w="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42,881</w:t>
            </w:r>
          </w:p>
        </w:tc>
      </w:tr>
      <w:tr>
        <w:trPr>
          <w:trHeight w:val="497"/>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(2,791)</w:t>
            </w:r>
          </w:p>
        </w:tc>
        <w:tc>
          <w:tcPr>
            <w:tcW w:w="2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(2,791)</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(3,697)</w:t>
            </w:r>
          </w:p>
        </w:tc>
        <w:tc>
          <w:tcPr>
            <w:tcW w:w="2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(3,697)</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667</w:t>
            </w:r>
          </w:p>
        </w:tc>
        <w:tc>
          <w:tcPr>
            <w:tcW w:w="2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667</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401</w:t>
            </w:r>
          </w:p>
        </w:tc>
        <w:tc>
          <w:tcPr>
            <w:tcW w:w="2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401</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604</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585</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income 2</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6"/>
        </w:trPr>
        <w:tc>
          <w:tcPr>
            <w:tcW w:w="54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3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36,193</w:t>
            </w:r>
          </w:p>
        </w:tc>
        <w:tc>
          <w:tcPr>
            <w:tcW w:w="2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1,870</w:t>
            </w:r>
          </w:p>
        </w:tc>
        <w:tc>
          <w:tcPr>
            <w:tcW w:w="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38,063</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(14,737)</w:t>
            </w:r>
          </w:p>
        </w:tc>
        <w:tc>
          <w:tcPr>
            <w:tcW w:w="26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(492)</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(15,229)</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(14,441)</w:t>
            </w:r>
          </w:p>
        </w:tc>
        <w:tc>
          <w:tcPr>
            <w:tcW w:w="26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(964)</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(15,405)</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(14,756)</w:t>
            </w:r>
          </w:p>
        </w:tc>
        <w:tc>
          <w:tcPr>
            <w:tcW w:w="2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(14,756)</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8,280</w:t>
            </w:r>
          </w:p>
        </w:tc>
        <w:tc>
          <w:tcPr>
            <w:tcW w:w="2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8,280</w:t>
            </w:r>
          </w:p>
        </w:tc>
      </w:tr>
      <w:tr>
        <w:trPr>
          <w:trHeight w:val="166"/>
        </w:trPr>
        <w:tc>
          <w:tcPr>
            <w:tcW w:w="54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3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w:t>
            </w:r>
          </w:p>
        </w:tc>
        <w:tc>
          <w:tcPr>
            <w:tcW w:w="260" w:type="dxa"/>
            <w:vAlign w:val="bottom"/>
          </w:tcPr>
          <w:p>
            <w:pPr>
              <w:spacing w:after="0"/>
              <w:rPr>
                <w:sz w:val="24"/>
                <w:szCs w:val="2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414</w:t>
            </w:r>
          </w:p>
        </w:tc>
        <w:tc>
          <w:tcPr>
            <w:tcW w:w="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953</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3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w:t>
            </w:r>
          </w:p>
        </w:tc>
        <w:tc>
          <w:tcPr>
            <w:tcW w:w="260" w:type="dxa"/>
            <w:vAlign w:val="bottom"/>
          </w:tcPr>
          <w:p>
            <w:pPr>
              <w:spacing w:after="0"/>
              <w:rPr>
                <w:sz w:val="24"/>
                <w:szCs w:val="2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w:t>
            </w:r>
          </w:p>
        </w:tc>
        <w:tc>
          <w:tcPr>
            <w:tcW w:w="2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w:t>
            </w:r>
          </w:p>
        </w:tc>
        <w:tc>
          <w:tcPr>
            <w:tcW w:w="26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r>
        <w:trPr>
          <w:trHeight w:val="166"/>
        </w:trPr>
        <w:tc>
          <w:tcPr>
            <w:tcW w:w="54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548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bl>
    <w:p>
      <w:pPr>
        <w:sectPr>
          <w:pgSz w:w="11900" w:h="16838" w:orient="portrait"/>
          <w:cols w:equalWidth="0" w:num="1">
            <w:col w:w="10239"/>
          </w:cols>
          <w:pgMar w:left="220" w:top="1279" w:right="1440" w:bottom="1440" w:gutter="0" w:footer="0" w:header="0"/>
        </w:sectPr>
      </w:pPr>
    </w:p>
    <w:bookmarkStart w:id="23" w:name="page24"/>
    <w:bookmarkEnd w:id="23"/>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Historic Year-to-Date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9 months</w:t>
            </w:r>
          </w:p>
        </w:tc>
        <w:tc>
          <w:tcPr>
            <w:tcW w:w="900" w:type="dxa"/>
            <w:vAlign w:val="bottom"/>
          </w:tcPr>
          <w:p>
            <w:pPr>
              <w:spacing w:after="0"/>
              <w:rPr>
                <w:sz w:val="14"/>
                <w:szCs w:val="14"/>
                <w:color w:val="auto"/>
              </w:rPr>
            </w:pP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4"/>
          </w:tcPr>
          <w:p>
            <w:pPr>
              <w:jc w:val="right"/>
              <w:ind w:right="628"/>
              <w:spacing w:after="0"/>
              <w:rPr>
                <w:sz w:val="20"/>
                <w:szCs w:val="20"/>
                <w:color w:val="auto"/>
              </w:rPr>
            </w:pPr>
            <w:r>
              <w:rPr>
                <w:rFonts w:ascii="Courier New" w:cs="Courier New" w:eastAsia="Courier New" w:hAnsi="Courier New"/>
                <w:sz w:val="14"/>
                <w:szCs w:val="14"/>
                <w:color w:val="auto"/>
              </w:rPr>
              <w:t>ended September 30,</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spacing w:after="0"/>
              <w:rPr>
                <w:sz w:val="14"/>
                <w:szCs w:val="14"/>
                <w:color w:val="auto"/>
              </w:rPr>
            </w:pPr>
          </w:p>
        </w:tc>
      </w:tr>
      <w:tr>
        <w:trPr>
          <w:trHeight w:val="166"/>
        </w:trPr>
        <w:tc>
          <w:tcPr>
            <w:tcW w:w="8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4"/>
                <w:szCs w:val="2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Wholly Owned</w:t>
            </w:r>
          </w:p>
        </w:tc>
        <w:tc>
          <w:tcPr>
            <w:tcW w:w="220" w:type="dxa"/>
            <w:vAlign w:val="bottom"/>
          </w:tcPr>
          <w:p>
            <w:pPr>
              <w:spacing w:after="0"/>
              <w:rPr>
                <w:sz w:val="24"/>
                <w:szCs w:val="24"/>
                <w:color w:val="auto"/>
              </w:rPr>
            </w:pPr>
          </w:p>
        </w:tc>
        <w:tc>
          <w:tcPr>
            <w:tcW w:w="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JV</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54,652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1,833</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$ 56,485</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1,741</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10,541</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11,225</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1,005</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1,063</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67,939</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2,632</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70,571</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14,567</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14,831</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8,618</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9,066</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23,185</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712</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23,897</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30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44,754</w:t>
            </w:r>
          </w:p>
        </w:tc>
        <w:tc>
          <w:tcPr>
            <w:tcW w:w="22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1,920</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46,674</w:t>
            </w:r>
          </w:p>
        </w:tc>
      </w:tr>
      <w:tr>
        <w:trPr>
          <w:trHeight w:val="497"/>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(2,324)</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(2,324)</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(3,746)</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(3,746)</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888</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702</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820</w:t>
            </w:r>
          </w:p>
        </w:tc>
        <w:tc>
          <w:tcPr>
            <w:tcW w:w="2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834</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income 2</w:t>
            </w:r>
          </w:p>
        </w:tc>
        <w:tc>
          <w:tcPr>
            <w:tcW w:w="30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1,972</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1,972</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30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43,066</w:t>
            </w:r>
          </w:p>
        </w:tc>
        <w:tc>
          <w:tcPr>
            <w:tcW w:w="22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1,934</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45,000</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(15,264)</w:t>
            </w:r>
          </w:p>
        </w:tc>
        <w:tc>
          <w:tcPr>
            <w:tcW w:w="22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(15,753)</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(18,950)</w:t>
            </w:r>
          </w:p>
        </w:tc>
        <w:tc>
          <w:tcPr>
            <w:tcW w:w="2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(19,942)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(839)</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30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8,013</w:t>
            </w:r>
          </w:p>
        </w:tc>
        <w:tc>
          <w:tcPr>
            <w:tcW w:w="220" w:type="dxa"/>
            <w:vAlign w:val="bottom"/>
          </w:tcPr>
          <w:p>
            <w:pPr>
              <w:spacing w:after="0"/>
              <w:rPr>
                <w:sz w:val="24"/>
                <w:szCs w:val="2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453</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8,466</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300" w:type="dxa"/>
            <w:vAlign w:val="bottom"/>
          </w:tcPr>
          <w:p>
            <w:pPr>
              <w:spacing w:after="0"/>
              <w:rPr>
                <w:sz w:val="24"/>
                <w:szCs w:val="2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(2,523)</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(2,523)</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5,490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453</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5,943</w:t>
            </w:r>
          </w:p>
        </w:tc>
      </w:tr>
      <w:tr>
        <w:trPr>
          <w:trHeight w:val="166"/>
        </w:trPr>
        <w:tc>
          <w:tcPr>
            <w:tcW w:w="5480" w:type="dxa"/>
            <w:vAlign w:val="bottom"/>
          </w:tcPr>
          <w:p>
            <w:pPr>
              <w:spacing w:after="0"/>
              <w:rPr>
                <w:sz w:val="14"/>
                <w:szCs w:val="14"/>
                <w:color w:val="auto"/>
              </w:rPr>
            </w:pPr>
          </w:p>
        </w:tc>
        <w:tc>
          <w:tcPr>
            <w:tcW w:w="1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right="3339" w:hanging="352"/>
        <w:spacing w:after="0" w:line="251"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results for 2001 and 2000 are unaudited. Although they reflect all adjustments, which in the opinion of management, are necessary for a fair presentation of operating results for the interim period, they are subject to adjustment. The Company's equity in the earnings of unconsolidated partnerships is reflected separately for revenues and expenses by calculating it's pro-rata share for each of the above line items. In total, this agrees with the equity in earnings of unconsolidated partnerships as reported in the Company's Forms 10K and 10Q for the corresponding periods.</w:t>
      </w:r>
    </w:p>
    <w:p>
      <w:pPr>
        <w:spacing w:after="0" w:line="164" w:lineRule="exact"/>
        <w:rPr>
          <w:sz w:val="20"/>
          <w:szCs w:val="20"/>
          <w:color w:val="auto"/>
        </w:rPr>
      </w:pPr>
    </w:p>
    <w:p>
      <w:pPr>
        <w:ind w:left="360" w:right="3339" w:hanging="352"/>
        <w:spacing w:after="0" w:line="252" w:lineRule="auto"/>
        <w:tabs>
          <w:tab w:leader="none" w:pos="3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for the quarter and nine months ended September 30, 2000 includes $200 and $1,957 of lease termination income, respectively, received from former tenants at the Abington Towne Center in connection with the redevelopment of the entire property.</w:t>
      </w:r>
    </w:p>
    <w:p>
      <w:pPr>
        <w:sectPr>
          <w:pgSz w:w="11900" w:h="16838" w:orient="portrait"/>
          <w:cols w:equalWidth="0" w:num="1">
            <w:col w:w="10239"/>
          </w:cols>
          <w:pgMar w:left="220" w:top="1279" w:right="1440" w:bottom="1440" w:gutter="0" w:footer="0" w:header="0"/>
        </w:sectPr>
      </w:pPr>
    </w:p>
    <w:bookmarkStart w:id="24" w:name="page25"/>
    <w:bookmarkEnd w:id="24"/>
    <w:p>
      <w:pPr>
        <w:ind w:left="164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ind w:left="2340"/>
              <w:spacing w:after="0"/>
              <w:rPr>
                <w:sz w:val="20"/>
                <w:szCs w:val="20"/>
                <w:color w:val="auto"/>
              </w:rPr>
            </w:pPr>
            <w:r>
              <w:rPr>
                <w:rFonts w:ascii="Courier New" w:cs="Courier New" w:eastAsia="Courier New" w:hAnsi="Courier New"/>
                <w:sz w:val="14"/>
                <w:szCs w:val="14"/>
                <w:color w:val="auto"/>
              </w:rPr>
              <w:t>SEPTEMBER 30, 2001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5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Statements of Operations - by Segment 1</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60" w:type="dxa"/>
            <w:vAlign w:val="bottom"/>
          </w:tcPr>
          <w:p>
            <w:pPr>
              <w:ind w:left="1640"/>
              <w:spacing w:after="0"/>
              <w:rPr>
                <w:sz w:val="20"/>
                <w:szCs w:val="20"/>
                <w:color w:val="auto"/>
              </w:rPr>
            </w:pPr>
            <w:r>
              <w:rPr>
                <w:rFonts w:ascii="Courier New" w:cs="Courier New" w:eastAsia="Courier New" w:hAnsi="Courier New"/>
                <w:sz w:val="14"/>
                <w:szCs w:val="14"/>
                <w:color w:val="auto"/>
              </w:rPr>
              <w:t>Current Year-to-Date - by Quarter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60" w:type="dxa"/>
            <w:vAlign w:val="bottom"/>
          </w:tcPr>
          <w:p>
            <w:pPr>
              <w:ind w:left="2500"/>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60" w:type="dxa"/>
            <w:vAlign w:val="bottom"/>
            <w:gridSpan w:val="3"/>
          </w:tcPr>
          <w:p>
            <w:pPr>
              <w:jc w:val="right"/>
              <w:ind w:right="388"/>
              <w:spacing w:after="0"/>
              <w:rPr>
                <w:sz w:val="20"/>
                <w:szCs w:val="20"/>
                <w:color w:val="auto"/>
              </w:rPr>
            </w:pPr>
            <w:r>
              <w:rPr>
                <w:rFonts w:ascii="Courier New" w:cs="Courier New" w:eastAsia="Courier New" w:hAnsi="Courier New"/>
                <w:sz w:val="14"/>
                <w:szCs w:val="14"/>
                <w:color w:val="auto"/>
              </w:rPr>
              <w:t>Year-to-Date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months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ended September 30,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Multi-</w:t>
            </w: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Retail</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Family</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Corporate</w:t>
            </w:r>
          </w:p>
        </w:tc>
        <w:tc>
          <w:tcPr>
            <w:tcW w:w="2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Total</w:t>
            </w:r>
          </w:p>
        </w:tc>
      </w:tr>
      <w:tr>
        <w:trPr>
          <w:trHeight w:val="166"/>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$ 10,138</w:t>
            </w:r>
          </w:p>
        </w:tc>
        <w:tc>
          <w:tcPr>
            <w:tcW w:w="4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$ 52,007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11,057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11,057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481</w:t>
            </w:r>
          </w:p>
        </w:tc>
        <w:tc>
          <w:tcPr>
            <w:tcW w:w="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w:t>
            </w:r>
          </w:p>
        </w:tc>
      </w:tr>
      <w:tr>
        <w:trPr>
          <w:trHeight w:val="166"/>
        </w:trPr>
        <w:tc>
          <w:tcPr>
            <w:tcW w:w="55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54,487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10,619</w:t>
            </w:r>
          </w:p>
        </w:tc>
        <w:tc>
          <w:tcPr>
            <w:tcW w:w="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65,106</w:t>
            </w:r>
          </w:p>
        </w:tc>
      </w:tr>
      <w:tr>
        <w:trPr>
          <w:trHeight w:val="166"/>
        </w:trPr>
        <w:tc>
          <w:tcPr>
            <w:tcW w:w="55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3,985</w:t>
            </w:r>
          </w:p>
        </w:tc>
        <w:tc>
          <w:tcPr>
            <w:tcW w:w="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13,311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607</w:t>
            </w:r>
          </w:p>
        </w:tc>
        <w:tc>
          <w:tcPr>
            <w:tcW w:w="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8,914</w:t>
            </w:r>
          </w:p>
        </w:tc>
      </w:tr>
      <w:tr>
        <w:trPr>
          <w:trHeight w:val="166"/>
        </w:trPr>
        <w:tc>
          <w:tcPr>
            <w:tcW w:w="55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4,592</w:t>
            </w:r>
          </w:p>
        </w:tc>
        <w:tc>
          <w:tcPr>
            <w:tcW w:w="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22,225</w:t>
            </w:r>
          </w:p>
        </w:tc>
      </w:tr>
      <w:tr>
        <w:trPr>
          <w:trHeight w:val="166"/>
        </w:trPr>
        <w:tc>
          <w:tcPr>
            <w:tcW w:w="55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2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36,854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6,027</w:t>
            </w:r>
          </w:p>
        </w:tc>
        <w:tc>
          <w:tcPr>
            <w:tcW w:w="40" w:type="dxa"/>
            <w:vAlign w:val="bottom"/>
          </w:tcPr>
          <w:p>
            <w:pPr>
              <w:spacing w:after="0"/>
              <w:rPr>
                <w:sz w:val="24"/>
                <w:szCs w:val="2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42,881</w:t>
            </w:r>
          </w:p>
        </w:tc>
      </w:tr>
      <w:tr>
        <w:trPr>
          <w:trHeight w:val="497"/>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2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(2,791)</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2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(3,697)</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2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667</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2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2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55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2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37,439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6,027</w:t>
            </w:r>
          </w:p>
        </w:tc>
        <w:tc>
          <w:tcPr>
            <w:tcW w:w="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(5,403)</w:t>
            </w:r>
          </w:p>
        </w:tc>
        <w:tc>
          <w:tcPr>
            <w:tcW w:w="22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38,063</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(13,490)</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(1,474)</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w:t>
            </w:r>
          </w:p>
        </w:tc>
        <w:tc>
          <w:tcPr>
            <w:tcW w:w="2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(15,229)</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(12,444)</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(2,961)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(15,405)</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(14,756)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(14,756)</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6,946</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8,280</w:t>
            </w:r>
          </w:p>
        </w:tc>
      </w:tr>
      <w:tr>
        <w:trPr>
          <w:trHeight w:val="166"/>
        </w:trPr>
        <w:tc>
          <w:tcPr>
            <w:tcW w:w="55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22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8,538</w:t>
            </w:r>
          </w:p>
        </w:tc>
        <w:tc>
          <w:tcPr>
            <w:tcW w:w="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(5,579)</w:t>
            </w:r>
          </w:p>
        </w:tc>
        <w:tc>
          <w:tcPr>
            <w:tcW w:w="22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953</w:t>
            </w:r>
          </w:p>
        </w:tc>
      </w:tr>
      <w:tr>
        <w:trPr>
          <w:trHeight w:val="166"/>
        </w:trPr>
        <w:tc>
          <w:tcPr>
            <w:tcW w:w="5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220" w:type="dxa"/>
            <w:vAlign w:val="bottom"/>
          </w:tcPr>
          <w:p>
            <w:pPr>
              <w:spacing w:after="0"/>
              <w:rPr>
                <w:sz w:val="24"/>
                <w:szCs w:val="2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w:t>
            </w:r>
          </w:p>
        </w:tc>
        <w:tc>
          <w:tcPr>
            <w:tcW w:w="2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2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22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55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8,538</w:t>
            </w:r>
          </w:p>
        </w:tc>
        <w:tc>
          <w:tcPr>
            <w:tcW w:w="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(6,418)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5560" w:type="dxa"/>
            <w:vAlign w:val="bottom"/>
          </w:tcPr>
          <w:p>
            <w:pPr>
              <w:spacing w:after="0"/>
              <w:rPr>
                <w:sz w:val="14"/>
                <w:szCs w:val="14"/>
                <w:color w:val="auto"/>
              </w:rPr>
            </w:pP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25" w:name="page26"/>
    <w:bookmarkEnd w:id="2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41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Current Quarter</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3 months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0" w:type="dxa"/>
            <w:vAlign w:val="bottom"/>
            <w:gridSpan w:val="4"/>
          </w:tcPr>
          <w:p>
            <w:pPr>
              <w:jc w:val="right"/>
              <w:ind w:right="488"/>
              <w:spacing w:after="0"/>
              <w:rPr>
                <w:sz w:val="20"/>
                <w:szCs w:val="20"/>
                <w:color w:val="auto"/>
              </w:rPr>
            </w:pPr>
            <w:r>
              <w:rPr>
                <w:rFonts w:ascii="Courier New" w:cs="Courier New" w:eastAsia="Courier New" w:hAnsi="Courier New"/>
                <w:sz w:val="14"/>
                <w:szCs w:val="14"/>
                <w:color w:val="auto"/>
              </w:rPr>
              <w:t>ended September 30,</w:t>
            </w:r>
          </w:p>
        </w:tc>
        <w:tc>
          <w:tcPr>
            <w:tcW w:w="90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41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Multi-</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Retail</w:t>
            </w:r>
          </w:p>
        </w:tc>
        <w:tc>
          <w:tcPr>
            <w:tcW w:w="3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Family</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Corporate</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13,960</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$ 16,949</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3,513</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3,513</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55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17,797</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3,131</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20,928</w:t>
            </w:r>
          </w:p>
        </w:tc>
      </w:tr>
      <w:tr>
        <w:trPr>
          <w:trHeight w:val="166"/>
        </w:trPr>
        <w:tc>
          <w:tcPr>
            <w:tcW w:w="55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2,796</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1,319</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2,816</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2,992</w:t>
            </w:r>
          </w:p>
        </w:tc>
      </w:tr>
      <w:tr>
        <w:trPr>
          <w:trHeight w:val="166"/>
        </w:trPr>
        <w:tc>
          <w:tcPr>
            <w:tcW w:w="55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5,612</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1,495</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7,107</w:t>
            </w:r>
          </w:p>
        </w:tc>
      </w:tr>
      <w:tr>
        <w:trPr>
          <w:trHeight w:val="166"/>
        </w:trPr>
        <w:tc>
          <w:tcPr>
            <w:tcW w:w="55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3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12,185</w:t>
            </w:r>
          </w:p>
        </w:tc>
        <w:tc>
          <w:tcPr>
            <w:tcW w:w="3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1,636</w:t>
            </w:r>
          </w:p>
        </w:tc>
        <w:tc>
          <w:tcPr>
            <w:tcW w:w="300" w:type="dxa"/>
            <w:vAlign w:val="bottom"/>
          </w:tcPr>
          <w:p>
            <w:pPr>
              <w:spacing w:after="0"/>
              <w:rPr>
                <w:sz w:val="24"/>
                <w:szCs w:val="2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13,821</w:t>
            </w:r>
          </w:p>
        </w:tc>
      </w:tr>
      <w:tr>
        <w:trPr>
          <w:trHeight w:val="497"/>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(804)</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(1,156)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34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12,216</w:t>
            </w:r>
          </w:p>
        </w:tc>
        <w:tc>
          <w:tcPr>
            <w:tcW w:w="3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1,636</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(1,548)</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12,304</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(4,486)</w:t>
            </w:r>
          </w:p>
        </w:tc>
        <w:tc>
          <w:tcPr>
            <w:tcW w:w="3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(441)</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(5,001)</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(3,867)</w:t>
            </w:r>
          </w:p>
        </w:tc>
        <w:tc>
          <w:tcPr>
            <w:tcW w:w="3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(830)</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(4,697)</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(14,756)</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(14,756)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1,245</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1,245</w:t>
            </w:r>
          </w:p>
        </w:tc>
      </w:tr>
      <w:tr>
        <w:trPr>
          <w:trHeight w:val="166"/>
        </w:trPr>
        <w:tc>
          <w:tcPr>
            <w:tcW w:w="55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(9,648)</w:t>
            </w:r>
          </w:p>
        </w:tc>
        <w:tc>
          <w:tcPr>
            <w:tcW w:w="3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(10,905)</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340" w:type="dxa"/>
            <w:vAlign w:val="bottom"/>
          </w:tcPr>
          <w:p>
            <w:pPr>
              <w:spacing w:after="0"/>
              <w:rPr>
                <w:sz w:val="24"/>
                <w:szCs w:val="2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1,636</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(9,648)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(9,269)</w:t>
            </w:r>
          </w:p>
        </w:tc>
      </w:tr>
      <w:tr>
        <w:trPr>
          <w:trHeight w:val="166"/>
        </w:trPr>
        <w:tc>
          <w:tcPr>
            <w:tcW w:w="55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440"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41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Previous Quarters</w:t>
            </w:r>
          </w:p>
        </w:tc>
        <w:tc>
          <w:tcPr>
            <w:tcW w:w="900" w:type="dxa"/>
            <w:vAlign w:val="bottom"/>
          </w:tcPr>
          <w:p>
            <w:pPr>
              <w:spacing w:after="0"/>
              <w:rPr>
                <w:sz w:val="24"/>
                <w:szCs w:val="24"/>
                <w:color w:val="auto"/>
              </w:rPr>
            </w:pPr>
          </w:p>
        </w:tc>
      </w:tr>
      <w:tr>
        <w:trPr>
          <w:trHeight w:val="331"/>
        </w:trPr>
        <w:tc>
          <w:tcPr>
            <w:tcW w:w="5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2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months</w:t>
            </w:r>
          </w:p>
        </w:tc>
        <w:tc>
          <w:tcPr>
            <w:tcW w:w="900" w:type="dxa"/>
            <w:vAlign w:val="bottom"/>
          </w:tcPr>
          <w:p>
            <w:pPr>
              <w:spacing w:after="0"/>
              <w:rPr>
                <w:sz w:val="24"/>
                <w:szCs w:val="24"/>
                <w:color w:val="auto"/>
              </w:rPr>
            </w:pP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ended June 30,</w:t>
            </w:r>
          </w:p>
        </w:tc>
        <w:tc>
          <w:tcPr>
            <w:tcW w:w="900" w:type="dxa"/>
            <w:vAlign w:val="bottom"/>
          </w:tcPr>
          <w:p>
            <w:pPr>
              <w:spacing w:after="0"/>
              <w:rPr>
                <w:sz w:val="14"/>
                <w:szCs w:val="14"/>
                <w:color w:val="auto"/>
              </w:rPr>
            </w:pP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2001</w:t>
            </w:r>
          </w:p>
        </w:tc>
        <w:tc>
          <w:tcPr>
            <w:tcW w:w="900" w:type="dxa"/>
            <w:vAlign w:val="bottom"/>
          </w:tcPr>
          <w:p>
            <w:pPr>
              <w:spacing w:after="0"/>
              <w:rPr>
                <w:sz w:val="14"/>
                <w:szCs w:val="14"/>
                <w:color w:val="auto"/>
              </w:rPr>
            </w:pPr>
          </w:p>
        </w:tc>
      </w:tr>
      <w:tr>
        <w:trPr>
          <w:trHeight w:val="166"/>
        </w:trPr>
        <w:tc>
          <w:tcPr>
            <w:tcW w:w="5480" w:type="dxa"/>
            <w:vAlign w:val="bottom"/>
          </w:tcPr>
          <w:p>
            <w:pPr>
              <w:spacing w:after="0"/>
              <w:rPr>
                <w:sz w:val="14"/>
                <w:szCs w:val="14"/>
                <w:color w:val="auto"/>
              </w:rPr>
            </w:pPr>
          </w:p>
        </w:tc>
        <w:tc>
          <w:tcPr>
            <w:tcW w:w="41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Multi-</w:t>
            </w: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Retail</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Family</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Corporate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3,376</w:t>
            </w:r>
          </w:p>
        </w:tc>
        <w:tc>
          <w:tcPr>
            <w:tcW w:w="40" w:type="dxa"/>
            <w:vAlign w:val="bottom"/>
          </w:tcPr>
          <w:p>
            <w:pPr>
              <w:spacing w:after="0"/>
              <w:rPr>
                <w:sz w:val="24"/>
                <w:szCs w:val="2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$ 17,240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359</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359</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3,399</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3,399</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c>
          <w:tcPr>
            <w:tcW w:w="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17,612</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3,562</w:t>
            </w:r>
          </w:p>
        </w:tc>
        <w:tc>
          <w:tcPr>
            <w:tcW w:w="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21,174</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2,445</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1,333</w:t>
            </w:r>
          </w:p>
        </w:tc>
        <w:tc>
          <w:tcPr>
            <w:tcW w:w="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3,778</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2,767</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c>
          <w:tcPr>
            <w:tcW w:w="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2,970</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5,212</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1,536</w:t>
            </w:r>
          </w:p>
        </w:tc>
        <w:tc>
          <w:tcPr>
            <w:tcW w:w="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6,748</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12,400</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2,026</w:t>
            </w:r>
          </w:p>
        </w:tc>
        <w:tc>
          <w:tcPr>
            <w:tcW w:w="40" w:type="dxa"/>
            <w:vAlign w:val="bottom"/>
          </w:tcPr>
          <w:p>
            <w:pPr>
              <w:spacing w:after="0"/>
              <w:rPr>
                <w:sz w:val="24"/>
                <w:szCs w:val="2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14,426</w:t>
            </w:r>
          </w:p>
        </w:tc>
      </w:tr>
      <w:tr>
        <w:trPr>
          <w:trHeight w:val="497"/>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(1,082)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12,720</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2,026</w:t>
            </w:r>
          </w:p>
        </w:tc>
        <w:tc>
          <w:tcPr>
            <w:tcW w:w="4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(2,033)</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12,713</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3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(4,519)</w:t>
            </w:r>
          </w:p>
        </w:tc>
        <w:tc>
          <w:tcPr>
            <w:tcW w:w="2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(486)</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(4,110)</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(992)</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(5,102)</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6,946</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7,035</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4,091</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7,494</w:t>
            </w:r>
          </w:p>
        </w:tc>
        <w:tc>
          <w:tcPr>
            <w:tcW w:w="4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(2,039)</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9,546</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380" w:type="dxa"/>
            <w:vAlign w:val="bottom"/>
          </w:tcPr>
          <w:p>
            <w:pPr>
              <w:spacing w:after="0"/>
              <w:rPr>
                <w:sz w:val="24"/>
                <w:szCs w:val="2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24"/>
                <w:szCs w:val="2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(1,746)</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7,494</w:t>
            </w:r>
          </w:p>
        </w:tc>
        <w:tc>
          <w:tcPr>
            <w:tcW w:w="4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(3,785)</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7,800</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113" w:right="1440"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41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Previous Quarters</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5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3 months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ended March 31,</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2001</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414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Multi-</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52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Retail</w:t>
            </w:r>
          </w:p>
        </w:tc>
        <w:tc>
          <w:tcPr>
            <w:tcW w:w="30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Family</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Corporate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52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PROPERTY REVENUES</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Minimum rents</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14,045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3,773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$ 17,818</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Percentage rents</w:t>
            </w: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796</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Expense reimbursements</w:t>
            </w: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4,145</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4,145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property income</w:t>
            </w: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w:t>
            </w:r>
          </w:p>
        </w:tc>
      </w:tr>
      <w:tr>
        <w:trPr>
          <w:trHeight w:val="166"/>
        </w:trPr>
        <w:tc>
          <w:tcPr>
            <w:tcW w:w="55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19,078</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3,926</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23,004</w:t>
            </w:r>
          </w:p>
        </w:tc>
      </w:tr>
      <w:tr>
        <w:trPr>
          <w:trHeight w:val="166"/>
        </w:trPr>
        <w:tc>
          <w:tcPr>
            <w:tcW w:w="55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PROPERTY EXPENSES</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Property operating</w:t>
            </w: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4,085</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1,333</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5,418</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Real estate taxes</w:t>
            </w: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2,724</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2,952</w:t>
            </w:r>
          </w:p>
        </w:tc>
      </w:tr>
      <w:tr>
        <w:trPr>
          <w:trHeight w:val="166"/>
        </w:trPr>
        <w:tc>
          <w:tcPr>
            <w:tcW w:w="55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6,809</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1,561</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8,370</w:t>
            </w:r>
          </w:p>
        </w:tc>
      </w:tr>
      <w:tr>
        <w:trPr>
          <w:trHeight w:val="166"/>
        </w:trPr>
        <w:tc>
          <w:tcPr>
            <w:tcW w:w="55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OPERATING INCOME - PROPERTIES</w:t>
            </w:r>
          </w:p>
        </w:tc>
        <w:tc>
          <w:tcPr>
            <w:tcW w:w="440" w:type="dxa"/>
            <w:vAlign w:val="bottom"/>
          </w:tcPr>
          <w:p>
            <w:pPr>
              <w:spacing w:after="0"/>
              <w:rPr>
                <w:sz w:val="24"/>
                <w:szCs w:val="2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12,269</w:t>
            </w:r>
          </w:p>
        </w:tc>
        <w:tc>
          <w:tcPr>
            <w:tcW w:w="3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2,365</w:t>
            </w:r>
          </w:p>
        </w:tc>
        <w:tc>
          <w:tcPr>
            <w:tcW w:w="300" w:type="dxa"/>
            <w:vAlign w:val="bottom"/>
          </w:tcPr>
          <w:p>
            <w:pPr>
              <w:spacing w:after="0"/>
              <w:rPr>
                <w:sz w:val="24"/>
                <w:szCs w:val="2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14,634</w:t>
            </w:r>
          </w:p>
        </w:tc>
      </w:tr>
      <w:tr>
        <w:trPr>
          <w:trHeight w:val="497"/>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Property management and leasing - Home office</w:t>
            </w:r>
          </w:p>
        </w:tc>
        <w:tc>
          <w:tcPr>
            <w:tcW w:w="4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General and administrative</w:t>
            </w:r>
          </w:p>
        </w:tc>
        <w:tc>
          <w:tcPr>
            <w:tcW w:w="4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(1,189)</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4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Management income</w:t>
            </w:r>
          </w:p>
        </w:tc>
        <w:tc>
          <w:tcPr>
            <w:tcW w:w="4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Straight-line rent (net of write-offs)</w:t>
            </w:r>
          </w:p>
        </w:tc>
        <w:tc>
          <w:tcPr>
            <w:tcW w:w="44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234</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4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EBIDTA</w:t>
            </w:r>
          </w:p>
        </w:tc>
        <w:tc>
          <w:tcPr>
            <w:tcW w:w="440" w:type="dxa"/>
            <w:vAlign w:val="bottom"/>
          </w:tcPr>
          <w:p>
            <w:pPr>
              <w:spacing w:after="0"/>
              <w:rPr>
                <w:sz w:val="24"/>
                <w:szCs w:val="2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12,503</w:t>
            </w:r>
          </w:p>
        </w:tc>
        <w:tc>
          <w:tcPr>
            <w:tcW w:w="3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2,365</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(1,822)</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13,046</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(4,485)</w:t>
            </w:r>
          </w:p>
        </w:tc>
        <w:tc>
          <w:tcPr>
            <w:tcW w:w="3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(5,128)</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(4,467)</w:t>
            </w:r>
          </w:p>
        </w:tc>
        <w:tc>
          <w:tcPr>
            <w:tcW w:w="30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(1,139)</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(5,606)</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Gain on sale of properties</w:t>
            </w:r>
          </w:p>
        </w:tc>
        <w:tc>
          <w:tcPr>
            <w:tcW w:w="4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minority interest and</w:t>
            </w:r>
          </w:p>
        </w:tc>
        <w:tc>
          <w:tcPr>
            <w:tcW w:w="440" w:type="dxa"/>
            <w:vAlign w:val="bottom"/>
          </w:tcPr>
          <w:p>
            <w:pPr>
              <w:spacing w:after="0"/>
              <w:rPr>
                <w:sz w:val="24"/>
                <w:szCs w:val="24"/>
                <w:color w:val="auto"/>
              </w:rPr>
            </w:pP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w:t>
            </w:r>
          </w:p>
        </w:tc>
        <w:tc>
          <w:tcPr>
            <w:tcW w:w="3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679</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(1,918)</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2,312</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 change in accounting principal</w:t>
            </w: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 extinguishment of debt</w:t>
            </w:r>
          </w:p>
        </w:tc>
        <w:tc>
          <w:tcPr>
            <w:tcW w:w="440" w:type="dxa"/>
            <w:vAlign w:val="bottom"/>
          </w:tcPr>
          <w:p>
            <w:pPr>
              <w:spacing w:after="0"/>
              <w:rPr>
                <w:sz w:val="24"/>
                <w:szCs w:val="2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4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 principal (FAS 133)</w:t>
            </w:r>
          </w:p>
        </w:tc>
        <w:tc>
          <w:tcPr>
            <w:tcW w:w="4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(149)</w:t>
            </w:r>
          </w:p>
        </w:tc>
      </w:tr>
      <w:tr>
        <w:trPr>
          <w:trHeight w:val="166"/>
        </w:trPr>
        <w:tc>
          <w:tcPr>
            <w:tcW w:w="55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679</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(2,647)</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1,583</w:t>
            </w:r>
          </w:p>
        </w:tc>
      </w:tr>
      <w:tr>
        <w:trPr>
          <w:trHeight w:val="166"/>
        </w:trPr>
        <w:tc>
          <w:tcPr>
            <w:tcW w:w="552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 w:right="3419" w:hanging="352"/>
        <w:spacing w:after="0" w:line="251"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results for 2001 are unaudited. Although they reflect all adjustments, which in the opinion of management, are necessary for a fair presentation of operating results for the interim period, they are subject to adjustment. The Company's equity in the earnings of unconsolidated partnerships is reflected separately for revenues and expenses by calculating it's pro-rata share for each of the above line items. In total, this agrees with the equity in earnings of unconsolidated partnerships as reported in the Company's Form 10Q's for the corresponding periods.</w:t>
      </w:r>
    </w:p>
    <w:p>
      <w:pPr>
        <w:sectPr>
          <w:pgSz w:w="11900" w:h="16838" w:orient="portrait"/>
          <w:cols w:equalWidth="0" w:num="1">
            <w:col w:w="10239"/>
          </w:cols>
          <w:pgMar w:left="220" w:top="1279" w:right="1440" w:bottom="1440" w:gutter="0" w:footer="0" w:header="0"/>
        </w:sectPr>
      </w:pPr>
    </w:p>
    <w:bookmarkStart w:id="28" w:name="page29"/>
    <w:bookmarkEnd w:id="28"/>
    <w:p>
      <w:pPr>
        <w:ind w:left="6380"/>
        <w:spacing w:after="0"/>
        <w:rPr>
          <w:sz w:val="20"/>
          <w:szCs w:val="20"/>
          <w:color w:val="auto"/>
        </w:rPr>
      </w:pPr>
      <w:r>
        <w:rPr>
          <w:rFonts w:ascii="Courier New" w:cs="Courier New" w:eastAsia="Courier New" w:hAnsi="Courier New"/>
          <w:sz w:val="14"/>
          <w:szCs w:val="14"/>
          <w:color w:val="auto"/>
        </w:rPr>
        <w:t>[LOGO]</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Net Operating Income (NOI) - Same Property Performance (1)</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ectPr>
          <w:pgSz w:w="11900" w:h="16838" w:orient="portrait"/>
          <w:cols w:equalWidth="0" w:num="1">
            <w:col w:w="10239"/>
          </w:cols>
          <w:pgMar w:left="220" w:top="451"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Current Year-to-date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Historical Year-to-date</w:t>
      </w:r>
    </w:p>
    <w:p>
      <w:pPr>
        <w:spacing w:after="0" w:line="173" w:lineRule="exact"/>
        <w:rPr>
          <w:sz w:val="20"/>
          <w:szCs w:val="20"/>
          <w:color w:val="auto"/>
        </w:rPr>
      </w:pPr>
    </w:p>
    <w:p>
      <w:pPr>
        <w:sectPr>
          <w:pgSz w:w="11900" w:h="16838" w:orient="portrait"/>
          <w:cols w:equalWidth="0" w:num="2">
            <w:col w:w="6980" w:space="440"/>
            <w:col w:w="2819"/>
          </w:cols>
          <w:pgMar w:left="220" w:top="451" w:right="1440" w:bottom="1440" w:gutter="0" w:footer="0" w:header="0"/>
          <w:type w:val="continuous"/>
        </w:sectPr>
      </w:pPr>
    </w:p>
    <w:p>
      <w:pPr>
        <w:ind w:left="5860"/>
        <w:spacing w:after="0"/>
        <w:rPr>
          <w:sz w:val="20"/>
          <w:szCs w:val="20"/>
          <w:color w:val="auto"/>
        </w:rPr>
      </w:pPr>
      <w:r>
        <w:rPr>
          <w:rFonts w:ascii="Courier New" w:cs="Courier New" w:eastAsia="Courier New" w:hAnsi="Courier New"/>
          <w:sz w:val="14"/>
          <w:szCs w:val="14"/>
          <w:color w:val="auto"/>
        </w:rPr>
        <w:t>9 month</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period ended</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2001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9 month</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period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2000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7120" w:space="720"/>
            <w:col w:w="2399"/>
          </w:cols>
          <w:pgMar w:left="220" w:top="451" w:right="1440" w:bottom="1440" w:gutter="0" w:footer="0" w:header="0"/>
          <w:type w:val="continuous"/>
        </w:sectPr>
      </w:pPr>
    </w:p>
    <w:p>
      <w:pPr>
        <w:ind w:right="2120"/>
        <w:spacing w:after="0" w:line="378" w:lineRule="auto"/>
        <w:rPr>
          <w:sz w:val="20"/>
          <w:szCs w:val="20"/>
          <w:color w:val="auto"/>
        </w:rPr>
      </w:pPr>
      <w:r>
        <w:rPr>
          <w:rFonts w:ascii="Courier New" w:cs="Courier New" w:eastAsia="Courier New" w:hAnsi="Courier New"/>
          <w:sz w:val="14"/>
          <w:szCs w:val="14"/>
          <w:color w:val="auto"/>
        </w:rPr>
        <w:t>NOI - Consolidated properties NOI - Unconsolidated partnerships Total NOI</w:t>
      </w:r>
    </w:p>
    <w:p>
      <w:pPr>
        <w:spacing w:after="0" w:line="20" w:lineRule="exact"/>
        <w:rPr>
          <w:sz w:val="20"/>
          <w:szCs w:val="20"/>
          <w:color w:val="auto"/>
        </w:rPr>
      </w:pPr>
      <w:r>
        <w:rPr>
          <w:sz w:val="20"/>
          <w:szCs w:val="20"/>
          <w:color w:val="auto"/>
        </w:rPr>
        <w:br w:type="column"/>
      </w:r>
    </w:p>
    <w:p>
      <w:pPr>
        <w:jc w:val="right"/>
        <w:ind w:right="920"/>
        <w:spacing w:after="0"/>
        <w:rPr>
          <w:sz w:val="20"/>
          <w:szCs w:val="20"/>
          <w:color w:val="auto"/>
        </w:rPr>
      </w:pPr>
      <w:r>
        <w:rPr>
          <w:rFonts w:ascii="Courier New" w:cs="Courier New" w:eastAsia="Courier New" w:hAnsi="Courier New"/>
          <w:sz w:val="14"/>
          <w:szCs w:val="14"/>
          <w:color w:val="auto"/>
        </w:rPr>
        <w:t>$ 40,992</w:t>
      </w:r>
    </w:p>
    <w:p>
      <w:pPr>
        <w:spacing w:after="0" w:line="7" w:lineRule="exact"/>
        <w:rPr>
          <w:sz w:val="20"/>
          <w:szCs w:val="20"/>
          <w:color w:val="auto"/>
        </w:rPr>
      </w:pPr>
    </w:p>
    <w:p>
      <w:pPr>
        <w:jc w:val="right"/>
        <w:ind w:right="920"/>
        <w:spacing w:after="0"/>
        <w:rPr>
          <w:sz w:val="20"/>
          <w:szCs w:val="20"/>
          <w:color w:val="auto"/>
        </w:rPr>
      </w:pPr>
      <w:r>
        <w:rPr>
          <w:rFonts w:ascii="Courier New" w:cs="Courier New" w:eastAsia="Courier New" w:hAnsi="Courier New"/>
          <w:sz w:val="14"/>
          <w:szCs w:val="14"/>
          <w:color w:val="auto"/>
        </w:rPr>
        <w:t>1,889</w:t>
      </w:r>
    </w:p>
    <w:p>
      <w:pPr>
        <w:spacing w:after="0" w:line="7" w:lineRule="exact"/>
        <w:rPr>
          <w:sz w:val="20"/>
          <w:szCs w:val="20"/>
          <w:color w:val="auto"/>
        </w:rPr>
      </w:pPr>
    </w:p>
    <w:p>
      <w:pPr>
        <w:jc w:val="right"/>
        <w:ind w:right="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920"/>
        <w:spacing w:after="0"/>
        <w:rPr>
          <w:sz w:val="20"/>
          <w:szCs w:val="20"/>
          <w:color w:val="auto"/>
        </w:rPr>
      </w:pPr>
      <w:r>
        <w:rPr>
          <w:rFonts w:ascii="Courier New" w:cs="Courier New" w:eastAsia="Courier New" w:hAnsi="Courier New"/>
          <w:sz w:val="14"/>
          <w:szCs w:val="14"/>
          <w:color w:val="auto"/>
        </w:rPr>
        <w:t>42,881</w:t>
      </w:r>
    </w:p>
    <w:p>
      <w:pPr>
        <w:spacing w:after="0" w:line="20" w:lineRule="exact"/>
        <w:rPr>
          <w:sz w:val="20"/>
          <w:szCs w:val="20"/>
          <w:color w:val="auto"/>
        </w:rPr>
      </w:pPr>
      <w:r>
        <w:rPr>
          <w:sz w:val="20"/>
          <w:szCs w:val="20"/>
          <w:color w:val="auto"/>
        </w:rPr>
        <w:br w:type="column"/>
      </w:r>
    </w:p>
    <w:p>
      <w:pPr>
        <w:jc w:val="right"/>
        <w:ind w:right="1439"/>
        <w:spacing w:after="0"/>
        <w:rPr>
          <w:sz w:val="20"/>
          <w:szCs w:val="20"/>
          <w:color w:val="auto"/>
        </w:rPr>
      </w:pPr>
      <w:r>
        <w:rPr>
          <w:rFonts w:ascii="Courier New" w:cs="Courier New" w:eastAsia="Courier New" w:hAnsi="Courier New"/>
          <w:sz w:val="14"/>
          <w:szCs w:val="14"/>
          <w:color w:val="auto"/>
        </w:rPr>
        <w:t>$ 44,754</w:t>
      </w:r>
    </w:p>
    <w:p>
      <w:pPr>
        <w:spacing w:after="0" w:line="7"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4"/>
          <w:szCs w:val="14"/>
          <w:color w:val="auto"/>
        </w:rPr>
        <w:t>1,920</w:t>
      </w:r>
    </w:p>
    <w:p>
      <w:pPr>
        <w:spacing w:after="0" w:line="7"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4"/>
          <w:szCs w:val="14"/>
          <w:color w:val="auto"/>
        </w:rPr>
        <w:t>46,674</w:t>
      </w:r>
    </w:p>
    <w:p>
      <w:pPr>
        <w:spacing w:after="0" w:line="172" w:lineRule="exact"/>
        <w:rPr>
          <w:sz w:val="20"/>
          <w:szCs w:val="20"/>
          <w:color w:val="auto"/>
        </w:rPr>
      </w:pPr>
    </w:p>
    <w:p>
      <w:pPr>
        <w:sectPr>
          <w:pgSz w:w="11900" w:h="16838" w:orient="portrait"/>
          <w:cols w:equalWidth="0" w:num="3">
            <w:col w:w="5060" w:space="720"/>
            <w:col w:w="1600" w:space="720"/>
            <w:col w:w="213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NOI - Properties Acquired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NOI - Redevelopment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NOI - Properties Sold</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(1,405)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(1,864)</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(5,322)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060" w:space="720"/>
            <w:col w:w="1600" w:space="720"/>
            <w:col w:w="2139"/>
          </w:cols>
          <w:pgMar w:left="220" w:top="451" w:right="1440" w:bottom="1440" w:gutter="0" w:footer="0" w:header="0"/>
          <w:type w:val="continuous"/>
        </w:sectPr>
      </w:pPr>
    </w:p>
    <w:p>
      <w:pPr>
        <w:ind w:left="1820"/>
        <w:spacing w:after="0"/>
        <w:rPr>
          <w:sz w:val="20"/>
          <w:szCs w:val="20"/>
          <w:color w:val="auto"/>
        </w:rPr>
      </w:pPr>
      <w:r>
        <w:rPr>
          <w:rFonts w:ascii="Courier New" w:cs="Courier New" w:eastAsia="Courier New" w:hAnsi="Courier New"/>
          <w:sz w:val="14"/>
          <w:szCs w:val="14"/>
          <w:color w:val="auto"/>
        </w:rPr>
        <w:t>Same Property NOI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$ 39,919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$ 39,488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060" w:space="720"/>
            <w:col w:w="1600" w:space="720"/>
            <w:col w:w="2139"/>
          </w:cols>
          <w:pgMar w:left="220" w:top="451"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4"/>
          <w:szCs w:val="14"/>
          <w:color w:val="auto"/>
        </w:rPr>
        <w:t>Growth in Same Property NOI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ectPr>
          <w:pgSz w:w="11900" w:h="16838" w:orient="portrait"/>
          <w:cols w:equalWidth="0" w:num="2">
            <w:col w:w="5400" w:space="720"/>
            <w:col w:w="4119"/>
          </w:cols>
          <w:pgMar w:left="220" w:top="451"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440" w:right="3419" w:hanging="432"/>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above amounts includes the activity related to the Company's equity in the earnings of unconsolidated subsidiaries.</w:t>
      </w:r>
    </w:p>
    <w:p>
      <w:pPr>
        <w:sectPr>
          <w:pgSz w:w="11900" w:h="16838" w:orient="portrait"/>
          <w:cols w:equalWidth="0" w:num="1">
            <w:col w:w="10239"/>
          </w:cols>
          <w:pgMar w:left="220" w:top="451" w:right="1440"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2"/>
          </w:tcPr>
          <w:p>
            <w:pPr>
              <w:jc w:val="right"/>
              <w:ind w:right="1308"/>
              <w:spacing w:after="0"/>
              <w:rPr>
                <w:sz w:val="20"/>
                <w:szCs w:val="20"/>
                <w:color w:val="auto"/>
              </w:rPr>
            </w:pPr>
            <w:r>
              <w:rPr>
                <w:rFonts w:ascii="Courier New" w:cs="Courier New" w:eastAsia="Courier New" w:hAnsi="Courier New"/>
                <w:sz w:val="14"/>
                <w:szCs w:val="14"/>
                <w:color w:val="auto"/>
              </w:rPr>
              <w:t>[LOGO]</w:t>
            </w: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63"/>
        </w:trPr>
        <w:tc>
          <w:tcPr>
            <w:tcW w:w="4920" w:type="dxa"/>
            <w:vAlign w:val="bottom"/>
          </w:tcPr>
          <w:p>
            <w:pPr>
              <w:ind w:left="2080"/>
              <w:spacing w:after="0"/>
              <w:rPr>
                <w:sz w:val="20"/>
                <w:szCs w:val="20"/>
                <w:color w:val="auto"/>
              </w:rPr>
            </w:pPr>
            <w:r>
              <w:rPr>
                <w:rFonts w:ascii="Courier New" w:cs="Courier New" w:eastAsia="Courier New" w:hAnsi="Courier New"/>
                <w:sz w:val="14"/>
                <w:szCs w:val="14"/>
                <w:color w:val="auto"/>
              </w:rPr>
              <w:t>QUARTERLY SUPPLEMENTAL DISCLOSURE</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920" w:type="dxa"/>
            <w:vAlign w:val="bottom"/>
          </w:tcPr>
          <w:p>
            <w:pPr>
              <w:ind w:left="2680"/>
              <w:spacing w:after="0"/>
              <w:rPr>
                <w:sz w:val="20"/>
                <w:szCs w:val="20"/>
                <w:color w:val="auto"/>
              </w:rPr>
            </w:pPr>
            <w:r>
              <w:rPr>
                <w:rFonts w:ascii="Courier New" w:cs="Courier New" w:eastAsia="Courier New" w:hAnsi="Courier New"/>
                <w:sz w:val="14"/>
                <w:szCs w:val="14"/>
                <w:color w:val="auto"/>
              </w:rPr>
              <w:t>SEPTEMBER 30, 2001</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97"/>
        </w:trPr>
        <w:tc>
          <w:tcPr>
            <w:tcW w:w="4920" w:type="dxa"/>
            <w:vAlign w:val="bottom"/>
          </w:tcPr>
          <w:p>
            <w:pPr>
              <w:ind w:left="2160"/>
              <w:spacing w:after="0"/>
              <w:rPr>
                <w:sz w:val="20"/>
                <w:szCs w:val="20"/>
                <w:color w:val="auto"/>
              </w:rPr>
            </w:pPr>
            <w:r>
              <w:rPr>
                <w:rFonts w:ascii="Courier New" w:cs="Courier New" w:eastAsia="Courier New" w:hAnsi="Courier New"/>
                <w:sz w:val="14"/>
                <w:szCs w:val="14"/>
                <w:color w:val="auto"/>
              </w:rPr>
              <w:t>Funds from Operations (FFO) (1)</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920" w:type="dxa"/>
            <w:vAlign w:val="bottom"/>
          </w:tcPr>
          <w:p>
            <w:pPr>
              <w:ind w:left="21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92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97"/>
        </w:trPr>
        <w:tc>
          <w:tcPr>
            <w:tcW w:w="4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60" w:type="dxa"/>
            <w:vAlign w:val="bottom"/>
            <w:gridSpan w:val="2"/>
          </w:tcPr>
          <w:p>
            <w:pPr>
              <w:jc w:val="right"/>
              <w:ind w:right="1408"/>
              <w:spacing w:after="0"/>
              <w:rPr>
                <w:sz w:val="20"/>
                <w:szCs w:val="20"/>
                <w:color w:val="auto"/>
              </w:rPr>
            </w:pPr>
            <w:r>
              <w:rPr>
                <w:rFonts w:ascii="Courier New" w:cs="Courier New" w:eastAsia="Courier New" w:hAnsi="Courier New"/>
                <w:sz w:val="14"/>
                <w:szCs w:val="14"/>
                <w:color w:val="auto"/>
              </w:rPr>
              <w:t>2001</w:t>
            </w:r>
          </w:p>
        </w:tc>
        <w:tc>
          <w:tcPr>
            <w:tcW w:w="128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62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164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Year-to-date</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Current Quarter</w:t>
            </w:r>
          </w:p>
        </w:tc>
        <w:tc>
          <w:tcPr>
            <w:tcW w:w="29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Previous Quarters</w:t>
            </w:r>
          </w:p>
        </w:tc>
      </w:tr>
      <w:tr>
        <w:trPr>
          <w:trHeight w:val="331"/>
        </w:trPr>
        <w:tc>
          <w:tcPr>
            <w:tcW w:w="4920" w:type="dxa"/>
            <w:vAlign w:val="bottom"/>
          </w:tcPr>
          <w:p>
            <w:pPr>
              <w:spacing w:after="0"/>
              <w:rPr>
                <w:sz w:val="24"/>
                <w:szCs w:val="24"/>
                <w:color w:val="auto"/>
              </w:rPr>
            </w:pPr>
          </w:p>
        </w:tc>
        <w:tc>
          <w:tcPr>
            <w:tcW w:w="164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9 months ended</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3 months ended</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months ended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 months ended</w:t>
            </w:r>
          </w:p>
        </w:tc>
      </w:tr>
      <w:tr>
        <w:trPr>
          <w:trHeight w:val="166"/>
        </w:trPr>
        <w:tc>
          <w:tcPr>
            <w:tcW w:w="4920" w:type="dxa"/>
            <w:vAlign w:val="bottom"/>
          </w:tcPr>
          <w:p>
            <w:pPr>
              <w:spacing w:after="0"/>
              <w:rPr>
                <w:sz w:val="14"/>
                <w:szCs w:val="14"/>
                <w:color w:val="auto"/>
              </w:rPr>
            </w:pPr>
          </w:p>
        </w:tc>
        <w:tc>
          <w:tcPr>
            <w:tcW w:w="164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September 30, 2001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 30, 2001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 2001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March 31, 2001</w:t>
            </w:r>
          </w:p>
        </w:tc>
      </w:tr>
      <w:tr>
        <w:trPr>
          <w:trHeight w:val="166"/>
        </w:trPr>
        <w:tc>
          <w:tcPr>
            <w:tcW w:w="4920" w:type="dxa"/>
            <w:vAlign w:val="bottom"/>
          </w:tcPr>
          <w:p>
            <w:pPr>
              <w:spacing w:after="0"/>
              <w:rPr>
                <w:sz w:val="14"/>
                <w:szCs w:val="14"/>
                <w:color w:val="auto"/>
              </w:rPr>
            </w:pPr>
          </w:p>
        </w:tc>
        <w:tc>
          <w:tcPr>
            <w:tcW w:w="164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(9,269)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$ 7,800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$ 1,583</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Add back:</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Depreciation of real estate and</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leasing costs:</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Wholly owned and consolidated subsidiaries</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13,976</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4,579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4,708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4,689</w:t>
            </w: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Unconsolidated subsidiaries</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 Partnership units (2)</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(1,707)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1,675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14,756</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14,756</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(Gain) Loss on sale of properties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(8,280)</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(1,245)</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(7,035)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extinguishment of debt</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principal (FAS 133)</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492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spacing w:after="0"/>
              <w:rPr>
                <w:sz w:val="20"/>
                <w:szCs w:val="20"/>
                <w:color w:val="auto"/>
              </w:rPr>
            </w:pPr>
            <w:r>
              <w:rPr>
                <w:rFonts w:ascii="Courier New" w:cs="Courier New" w:eastAsia="Courier New" w:hAnsi="Courier New"/>
                <w:sz w:val="14"/>
                <w:szCs w:val="14"/>
                <w:color w:val="auto"/>
              </w:rPr>
              <w:t>Funds from Operations (3)</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$ 21,672</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$ 7,271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$ 7,304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$ 7,097</w:t>
            </w:r>
          </w:p>
        </w:tc>
      </w:tr>
      <w:tr>
        <w:trPr>
          <w:trHeight w:val="166"/>
        </w:trPr>
        <w:tc>
          <w:tcPr>
            <w:tcW w:w="492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Funds from Operations per share (3)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0.629</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$ 0.213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$ 0.213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$ 0.203</w:t>
            </w:r>
          </w:p>
        </w:tc>
      </w:tr>
      <w:tr>
        <w:trPr>
          <w:trHeight w:val="166"/>
        </w:trPr>
        <w:tc>
          <w:tcPr>
            <w:tcW w:w="492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200"/>
          </w:cols>
          <w:pgMar w:left="220" w:top="451" w:right="47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[RESTUBBED]</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663"/>
        </w:trPr>
        <w:tc>
          <w:tcPr>
            <w:tcW w:w="4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780" w:type="dxa"/>
            <w:vAlign w:val="bottom"/>
          </w:tcPr>
          <w:p>
            <w:pPr>
              <w:spacing w:after="0"/>
              <w:rPr>
                <w:sz w:val="14"/>
                <w:szCs w:val="14"/>
                <w:color w:val="auto"/>
              </w:rPr>
            </w:pPr>
          </w:p>
        </w:tc>
        <w:tc>
          <w:tcPr>
            <w:tcW w:w="3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350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Historic</w:t>
            </w:r>
          </w:p>
        </w:tc>
      </w:tr>
      <w:tr>
        <w:trPr>
          <w:trHeight w:val="331"/>
        </w:trPr>
        <w:tc>
          <w:tcPr>
            <w:tcW w:w="4780" w:type="dxa"/>
            <w:vAlign w:val="bottom"/>
          </w:tcPr>
          <w:p>
            <w:pPr>
              <w:spacing w:after="0"/>
              <w:rPr>
                <w:sz w:val="24"/>
                <w:szCs w:val="24"/>
                <w:color w:val="auto"/>
              </w:rPr>
            </w:pP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 months ended</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 months ended</w:t>
            </w:r>
          </w:p>
        </w:tc>
      </w:tr>
      <w:tr>
        <w:trPr>
          <w:trHeight w:val="166"/>
        </w:trPr>
        <w:tc>
          <w:tcPr>
            <w:tcW w:w="47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September 30, 2000</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September 30, 2000</w:t>
            </w:r>
          </w:p>
        </w:tc>
      </w:tr>
      <w:tr>
        <w:trPr>
          <w:trHeight w:val="166"/>
        </w:trPr>
        <w:tc>
          <w:tcPr>
            <w:tcW w:w="47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$ 5,943</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$ 1,105</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Add back:</w:t>
            </w:r>
          </w:p>
        </w:tc>
        <w:tc>
          <w:tcPr>
            <w:tcW w:w="17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Depreciation of real estate and</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leasing costs:</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Wholly owned and consolidated subsidiaries</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14,414</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4,888</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Unconsolidated subsidiaries</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469</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153</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 Partnership units (2)</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2,365</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369</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Adjustment of carrying value of property held for sale</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(Gain) Loss on sale of properties</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839</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839</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Extraordinary item - Loss on early</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extinguishment of debt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Cumulative effect of a change in accounting</w:t>
            </w:r>
          </w:p>
        </w:tc>
        <w:tc>
          <w:tcPr>
            <w:tcW w:w="1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principal (FAS 133)</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780" w:type="dxa"/>
            <w:vAlign w:val="bottom"/>
          </w:tcPr>
          <w:p>
            <w:pPr>
              <w:spacing w:after="0"/>
              <w:rPr>
                <w:sz w:val="14"/>
                <w:szCs w:val="14"/>
                <w:color w:val="auto"/>
              </w:rPr>
            </w:pP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497"/>
        </w:trPr>
        <w:tc>
          <w:tcPr>
            <w:tcW w:w="4780" w:type="dxa"/>
            <w:vAlign w:val="bottom"/>
          </w:tcPr>
          <w:p>
            <w:pPr>
              <w:spacing w:after="0"/>
              <w:rPr>
                <w:sz w:val="20"/>
                <w:szCs w:val="20"/>
                <w:color w:val="auto"/>
              </w:rPr>
            </w:pPr>
            <w:r>
              <w:rPr>
                <w:rFonts w:ascii="Courier New" w:cs="Courier New" w:eastAsia="Courier New" w:hAnsi="Courier New"/>
                <w:sz w:val="14"/>
                <w:szCs w:val="14"/>
                <w:color w:val="auto"/>
              </w:rPr>
              <w:t>Funds from Operations (3)</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$ 24,030</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$ 7,354</w:t>
            </w:r>
          </w:p>
        </w:tc>
      </w:tr>
      <w:tr>
        <w:trPr>
          <w:trHeight w:val="166"/>
        </w:trPr>
        <w:tc>
          <w:tcPr>
            <w:tcW w:w="4780" w:type="dxa"/>
            <w:vAlign w:val="bottom"/>
          </w:tcPr>
          <w:p>
            <w:pPr>
              <w:spacing w:after="0"/>
              <w:rPr>
                <w:sz w:val="14"/>
                <w:szCs w:val="14"/>
                <w:color w:val="auto"/>
              </w:rPr>
            </w:pP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Funds from Operations per share (3)</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0.67(4)</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0.21(4)</w:t>
            </w:r>
          </w:p>
        </w:tc>
      </w:tr>
      <w:tr>
        <w:trPr>
          <w:trHeight w:val="166"/>
        </w:trPr>
        <w:tc>
          <w:tcPr>
            <w:tcW w:w="4780" w:type="dxa"/>
            <w:vAlign w:val="bottom"/>
          </w:tcPr>
          <w:p>
            <w:pPr>
              <w:spacing w:after="0"/>
              <w:rPr>
                <w:sz w:val="14"/>
                <w:szCs w:val="14"/>
                <w:color w:val="auto"/>
              </w:rPr>
            </w:pP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right="3599" w:hanging="432"/>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results for 2001 and 2000 are unaudited. Although they reflect all adjustments, which in the opinion of management are necessary for a fair presentation of operating results for the interim periods, they are subject to adjustment.</w:t>
      </w:r>
    </w:p>
    <w:p>
      <w:pPr>
        <w:spacing w:after="0" w:line="16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distributions paid to Preferred O.P. unitholders.</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full conversion of O.P. Units into Common Shares.</w:t>
      </w:r>
    </w:p>
    <w:p>
      <w:pPr>
        <w:spacing w:after="0" w:line="172" w:lineRule="exact"/>
        <w:rPr>
          <w:rFonts w:ascii="Courier New" w:cs="Courier New" w:eastAsia="Courier New" w:hAnsi="Courier New"/>
          <w:sz w:val="14"/>
          <w:szCs w:val="14"/>
          <w:color w:val="auto"/>
        </w:rPr>
      </w:pPr>
    </w:p>
    <w:p>
      <w:pPr>
        <w:ind w:left="440" w:right="3419" w:hanging="432"/>
        <w:spacing w:after="0" w:line="252"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FFO for the quarter and nine months ended September 30, 2000 includes $200 ($0.01 per share) and $1,957 ($0.05 per share), respectively, of lease termination income received from former tenants at the Abington Towne Center in connection with the redevelopment of the entire property.</w:t>
      </w:r>
    </w:p>
    <w:p>
      <w:pPr>
        <w:sectPr>
          <w:pgSz w:w="11900" w:h="16838" w:orient="portrait"/>
          <w:cols w:equalWidth="0" w:num="1">
            <w:col w:w="10239"/>
          </w:cols>
          <w:pgMar w:left="220" w:top="616"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[LOGO]</w:t>
            </w:r>
          </w:p>
        </w:tc>
        <w:tc>
          <w:tcPr>
            <w:tcW w:w="1500" w:type="dxa"/>
            <w:vAlign w:val="bottom"/>
          </w:tcPr>
          <w:p>
            <w:pPr>
              <w:spacing w:after="0"/>
              <w:rPr>
                <w:sz w:val="14"/>
                <w:szCs w:val="14"/>
                <w:color w:val="auto"/>
              </w:rPr>
            </w:pPr>
          </w:p>
        </w:tc>
      </w:tr>
      <w:tr>
        <w:trPr>
          <w:trHeight w:val="828"/>
        </w:trPr>
        <w:tc>
          <w:tcPr>
            <w:tcW w:w="5180" w:type="dxa"/>
            <w:vAlign w:val="bottom"/>
          </w:tcPr>
          <w:p>
            <w:pPr>
              <w:ind w:left="2080"/>
              <w:spacing w:after="0"/>
              <w:rPr>
                <w:sz w:val="20"/>
                <w:szCs w:val="20"/>
                <w:color w:val="auto"/>
              </w:rPr>
            </w:pPr>
            <w:r>
              <w:rPr>
                <w:rFonts w:ascii="Courier New" w:cs="Courier New" w:eastAsia="Courier New" w:hAnsi="Courier New"/>
                <w:sz w:val="14"/>
                <w:szCs w:val="14"/>
                <w:color w:val="auto"/>
              </w:rPr>
              <w:t>QUARTERLY SUPPLEMENTAL DISCLOSURE</w:t>
            </w:r>
          </w:p>
        </w:tc>
        <w:tc>
          <w:tcPr>
            <w:tcW w:w="2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80" w:type="dxa"/>
            <w:vAlign w:val="bottom"/>
          </w:tcPr>
          <w:p>
            <w:pPr>
              <w:ind w:left="2680"/>
              <w:spacing w:after="0"/>
              <w:rPr>
                <w:sz w:val="20"/>
                <w:szCs w:val="20"/>
                <w:color w:val="auto"/>
              </w:rPr>
            </w:pPr>
            <w:r>
              <w:rPr>
                <w:rFonts w:ascii="Courier New" w:cs="Courier New" w:eastAsia="Courier New" w:hAnsi="Courier New"/>
                <w:sz w:val="14"/>
                <w:szCs w:val="14"/>
                <w:color w:val="auto"/>
              </w:rPr>
              <w:t>SEPTEMBER 30, 2001</w:t>
            </w: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497"/>
        </w:trPr>
        <w:tc>
          <w:tcPr>
            <w:tcW w:w="5180" w:type="dxa"/>
            <w:vAlign w:val="bottom"/>
          </w:tcPr>
          <w:p>
            <w:pPr>
              <w:ind w:left="2340"/>
              <w:spacing w:after="0"/>
              <w:rPr>
                <w:sz w:val="20"/>
                <w:szCs w:val="20"/>
                <w:color w:val="auto"/>
              </w:rPr>
            </w:pPr>
            <w:r>
              <w:rPr>
                <w:rFonts w:ascii="Courier New" w:cs="Courier New" w:eastAsia="Courier New" w:hAnsi="Courier New"/>
                <w:sz w:val="14"/>
                <w:szCs w:val="14"/>
                <w:color w:val="auto"/>
              </w:rPr>
              <w:t>Consolidated Balance Sheets</w:t>
            </w:r>
          </w:p>
        </w:tc>
        <w:tc>
          <w:tcPr>
            <w:tcW w:w="2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8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8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497"/>
        </w:trPr>
        <w:tc>
          <w:tcPr>
            <w:tcW w:w="5180" w:type="dxa"/>
            <w:vAlign w:val="bottom"/>
          </w:tcPr>
          <w:p>
            <w:pPr>
              <w:spacing w:after="0"/>
              <w:rPr>
                <w:sz w:val="24"/>
                <w:szCs w:val="24"/>
                <w:color w:val="auto"/>
              </w:rPr>
            </w:pPr>
          </w:p>
        </w:tc>
        <w:tc>
          <w:tcPr>
            <w:tcW w:w="2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September 30,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2001</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Land</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$ 64,845</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$ 69,206</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Buildings and improvements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430,163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444,933</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495,008</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514,139</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22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(109,985)</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(102,461)</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Net real estate</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385,023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411,678</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Property held for sale</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30,964</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49,445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24,883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22,167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in escrow</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5,124</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5,213</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Investments in unconsolidated partnerships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4,763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6,784</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Rents receivable, net</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7,557</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9,667</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4,256</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Due from related parties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Deferred charges, net</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13,352</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13,026</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2,389</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2,726</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4"/>
                <w:szCs w:val="2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$ 478,311</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$ 523,611</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Mortgage notes payable</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$ 251,897</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$ 277,112</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6,348</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7,495</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Dividends and distributions payable</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4,140</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Due to related parties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479</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5,365</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4,179</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Total liabilities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268,229</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293,138</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Minority interest in Operating Partnership</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38,733</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48,959</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Minority interests in majority owned partnerships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1,441</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2,197</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Total minority interests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40,174</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51,156</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29</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Additional paid-in capital</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181,361</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188,392</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22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(2,379)</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Deficit</w:t>
            </w:r>
          </w:p>
        </w:tc>
        <w:tc>
          <w:tcPr>
            <w:tcW w:w="22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(9,103)</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(9,103)</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Total shareholders' equity</w:t>
            </w: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169,908</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179,317</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4"/>
                <w:szCs w:val="2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$ 478,311</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$ 523,611</w:t>
            </w:r>
          </w:p>
        </w:tc>
      </w:tr>
      <w:tr>
        <w:trPr>
          <w:trHeight w:val="166"/>
        </w:trPr>
        <w:tc>
          <w:tcPr>
            <w:tcW w:w="5180" w:type="dxa"/>
            <w:vAlign w:val="bottom"/>
          </w:tcPr>
          <w:p>
            <w:pPr>
              <w:spacing w:after="0"/>
              <w:rPr>
                <w:sz w:val="14"/>
                <w:szCs w:val="14"/>
                <w:color w:val="auto"/>
              </w:rPr>
            </w:pPr>
          </w:p>
        </w:tc>
        <w:tc>
          <w:tcPr>
            <w:tcW w:w="22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451" w:right="1440" w:bottom="1440" w:gutter="0" w:footer="0" w:header="0"/>
        </w:sectPr>
      </w:pPr>
    </w:p>
    <w:bookmarkStart w:id="32" w:name="page33"/>
    <w:bookmarkEnd w:id="32"/>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[LOGO]</w:t>
            </w: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828"/>
        </w:trPr>
        <w:tc>
          <w:tcPr>
            <w:tcW w:w="530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QUARTERLY SUPPLEMENTAL DISCLOSURE</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4360" w:type="dxa"/>
            <w:vAlign w:val="bottom"/>
          </w:tcPr>
          <w:p>
            <w:pPr>
              <w:ind w:left="2680"/>
              <w:spacing w:after="0"/>
              <w:rPr>
                <w:sz w:val="20"/>
                <w:szCs w:val="20"/>
                <w:color w:val="auto"/>
              </w:rPr>
            </w:pPr>
            <w:r>
              <w:rPr>
                <w:rFonts w:ascii="Courier New" w:cs="Courier New" w:eastAsia="Courier New" w:hAnsi="Courier New"/>
                <w:sz w:val="14"/>
                <w:szCs w:val="14"/>
                <w:color w:val="auto"/>
              </w:rPr>
              <w:t>SEPTEMBER 30, 2001</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1"/>
        </w:trPr>
        <w:tc>
          <w:tcPr>
            <w:tcW w:w="4660" w:type="dxa"/>
            <w:vAlign w:val="bottom"/>
            <w:gridSpan w:val="2"/>
          </w:tcPr>
          <w:p>
            <w:pPr>
              <w:ind w:left="2420"/>
              <w:spacing w:after="0"/>
              <w:rPr>
                <w:sz w:val="20"/>
                <w:szCs w:val="20"/>
                <w:color w:val="auto"/>
              </w:rPr>
            </w:pPr>
            <w:r>
              <w:rPr>
                <w:rFonts w:ascii="Courier New" w:cs="Courier New" w:eastAsia="Courier New" w:hAnsi="Courier New"/>
                <w:sz w:val="14"/>
                <w:szCs w:val="14"/>
                <w:color w:val="auto"/>
              </w:rPr>
              <w:t>Selected Operating Ratios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466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663"/>
        </w:trPr>
        <w:tc>
          <w:tcPr>
            <w:tcW w:w="4360" w:type="dxa"/>
            <w:vAlign w:val="bottom"/>
          </w:tcPr>
          <w:p>
            <w:pPr>
              <w:spacing w:after="0"/>
              <w:rPr>
                <w:sz w:val="24"/>
                <w:szCs w:val="24"/>
                <w:color w:val="auto"/>
              </w:rPr>
            </w:pPr>
          </w:p>
        </w:tc>
        <w:tc>
          <w:tcPr>
            <w:tcW w:w="2920" w:type="dxa"/>
            <w:vAlign w:val="bottom"/>
            <w:gridSpan w:val="6"/>
          </w:tcPr>
          <w:p>
            <w:pPr>
              <w:jc w:val="right"/>
              <w:ind w:right="308"/>
              <w:spacing w:after="0"/>
              <w:rPr>
                <w:sz w:val="20"/>
                <w:szCs w:val="20"/>
                <w:color w:val="auto"/>
              </w:rPr>
            </w:pPr>
            <w:r>
              <w:rPr>
                <w:rFonts w:ascii="Courier New" w:cs="Courier New" w:eastAsia="Courier New" w:hAnsi="Courier New"/>
                <w:sz w:val="14"/>
                <w:szCs w:val="14"/>
                <w:color w:val="auto"/>
              </w:rPr>
              <w:t>3 Months Ended September 30,</w:t>
            </w:r>
          </w:p>
        </w:tc>
        <w:tc>
          <w:tcPr>
            <w:tcW w:w="29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9 Months Ended Septemebr 30,</w:t>
            </w:r>
          </w:p>
        </w:tc>
        <w:tc>
          <w:tcPr>
            <w:tcW w:w="80" w:type="dxa"/>
            <w:vAlign w:val="bottom"/>
          </w:tcPr>
          <w:p>
            <w:pPr>
              <w:spacing w:after="0"/>
              <w:rPr>
                <w:sz w:val="24"/>
                <w:szCs w:val="24"/>
                <w:color w:val="auto"/>
              </w:rPr>
            </w:pPr>
          </w:p>
        </w:tc>
      </w:tr>
      <w:tr>
        <w:trPr>
          <w:trHeight w:val="166"/>
        </w:trPr>
        <w:tc>
          <w:tcPr>
            <w:tcW w:w="4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2001</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46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500" w:type="dxa"/>
            <w:vAlign w:val="bottom"/>
          </w:tcPr>
          <w:p>
            <w:pPr>
              <w:spacing w:after="0"/>
              <w:rPr>
                <w:sz w:val="14"/>
                <w:szCs w:val="14"/>
                <w:color w:val="auto"/>
              </w:rPr>
            </w:pP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331"/>
        </w:trPr>
        <w:tc>
          <w:tcPr>
            <w:tcW w:w="4360" w:type="dxa"/>
            <w:vAlign w:val="bottom"/>
          </w:tcPr>
          <w:p>
            <w:pPr>
              <w:ind w:left="1560"/>
              <w:spacing w:after="0"/>
              <w:rPr>
                <w:sz w:val="20"/>
                <w:szCs w:val="20"/>
                <w:color w:val="auto"/>
              </w:rPr>
            </w:pPr>
            <w:r>
              <w:rPr>
                <w:rFonts w:ascii="Courier New" w:cs="Courier New" w:eastAsia="Courier New" w:hAnsi="Courier New"/>
                <w:sz w:val="14"/>
                <w:szCs w:val="14"/>
                <w:color w:val="auto"/>
              </w:rPr>
              <w:t>Coverage Ratios (1)</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4360" w:type="dxa"/>
            <w:vAlign w:val="bottom"/>
          </w:tcPr>
          <w:p>
            <w:pPr>
              <w:ind w:left="156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Interest Coverage Ratio</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EBIDTA (2)</w:t>
            </w:r>
          </w:p>
        </w:tc>
        <w:tc>
          <w:tcPr>
            <w:tcW w:w="3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12,304</w:t>
            </w:r>
          </w:p>
        </w:tc>
        <w:tc>
          <w:tcPr>
            <w:tcW w:w="4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$ 14,167</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$ 38,063</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$ 43,043</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Divided by Interest expense</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4,697</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6,674</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15,405</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19,942</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2.62</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w:t>
            </w:r>
          </w:p>
        </w:tc>
        <w:tc>
          <w:tcPr>
            <w:tcW w:w="4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70"/>
              </w:rPr>
              <w:t>x</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2.47</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x</w:t>
            </w:r>
          </w:p>
        </w:tc>
      </w:tr>
      <w:tr>
        <w:trPr>
          <w:trHeight w:val="331"/>
        </w:trPr>
        <w:tc>
          <w:tcPr>
            <w:tcW w:w="4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Fixed Charge Coverage Ratio</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EBIDTA (2)</w:t>
            </w:r>
          </w:p>
        </w:tc>
        <w:tc>
          <w:tcPr>
            <w:tcW w:w="3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12,304</w:t>
            </w:r>
          </w:p>
        </w:tc>
        <w:tc>
          <w:tcPr>
            <w:tcW w:w="4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$ 14,167</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$ 38,063</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$ 43,043</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Divided by (Interest expense</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4,697</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6,674</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15,405</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19,942</w:t>
            </w:r>
          </w:p>
        </w:tc>
        <w:tc>
          <w:tcPr>
            <w:tcW w:w="80" w:type="dxa"/>
            <w:vAlign w:val="bottom"/>
          </w:tcPr>
          <w:p>
            <w:pPr>
              <w:spacing w:after="0"/>
              <w:rPr>
                <w:sz w:val="14"/>
                <w:szCs w:val="14"/>
                <w:color w:val="auto"/>
              </w:rPr>
            </w:pPr>
          </w:p>
        </w:tc>
      </w:tr>
      <w:tr>
        <w:trPr>
          <w:trHeight w:val="166"/>
        </w:trPr>
        <w:tc>
          <w:tcPr>
            <w:tcW w:w="4360" w:type="dxa"/>
            <w:vAlign w:val="bottom"/>
          </w:tcPr>
          <w:p>
            <w:pPr>
              <w:ind w:left="1480"/>
              <w:spacing w:after="0"/>
              <w:rPr>
                <w:sz w:val="20"/>
                <w:szCs w:val="20"/>
                <w:color w:val="auto"/>
              </w:rPr>
            </w:pPr>
            <w:r>
              <w:rPr>
                <w:rFonts w:ascii="Courier New" w:cs="Courier New" w:eastAsia="Courier New" w:hAnsi="Courier New"/>
                <w:sz w:val="14"/>
                <w:szCs w:val="14"/>
                <w:color w:val="auto"/>
              </w:rPr>
              <w:t>+ Preferred Dividends (3))</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2.59</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w:t>
            </w:r>
          </w:p>
        </w:tc>
        <w:tc>
          <w:tcPr>
            <w:tcW w:w="4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70"/>
              </w:rPr>
              <w:t>x</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2.45</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2.14</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x</w:t>
            </w:r>
          </w:p>
        </w:tc>
      </w:tr>
      <w:tr>
        <w:trPr>
          <w:trHeight w:val="331"/>
        </w:trPr>
        <w:tc>
          <w:tcPr>
            <w:tcW w:w="4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Debt Service Coverage Ratio</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EBIDTA (2)</w:t>
            </w:r>
          </w:p>
        </w:tc>
        <w:tc>
          <w:tcPr>
            <w:tcW w:w="3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12,304</w:t>
            </w:r>
          </w:p>
        </w:tc>
        <w:tc>
          <w:tcPr>
            <w:tcW w:w="4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$ 14,167</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$ 38,063</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$ 43,043</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Divided by (Interest expense</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4,697</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6,674</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15,405</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19,942</w:t>
            </w:r>
          </w:p>
        </w:tc>
        <w:tc>
          <w:tcPr>
            <w:tcW w:w="80" w:type="dxa"/>
            <w:vAlign w:val="bottom"/>
          </w:tcPr>
          <w:p>
            <w:pPr>
              <w:spacing w:after="0"/>
              <w:rPr>
                <w:sz w:val="14"/>
                <w:szCs w:val="14"/>
                <w:color w:val="auto"/>
              </w:rPr>
            </w:pPr>
          </w:p>
        </w:tc>
      </w:tr>
      <w:tr>
        <w:trPr>
          <w:trHeight w:val="166"/>
        </w:trPr>
        <w:tc>
          <w:tcPr>
            <w:tcW w:w="4360" w:type="dxa"/>
            <w:vAlign w:val="bottom"/>
          </w:tcPr>
          <w:p>
            <w:pPr>
              <w:ind w:left="1480"/>
              <w:spacing w:after="0"/>
              <w:rPr>
                <w:sz w:val="20"/>
                <w:szCs w:val="20"/>
                <w:color w:val="auto"/>
              </w:rPr>
            </w:pPr>
            <w:r>
              <w:rPr>
                <w:rFonts w:ascii="Courier New" w:cs="Courier New" w:eastAsia="Courier New" w:hAnsi="Courier New"/>
                <w:sz w:val="14"/>
                <w:szCs w:val="14"/>
                <w:color w:val="auto"/>
              </w:rPr>
              <w:t>+ Principal Amortization)</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962</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974</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2,748</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2,973</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w:t>
            </w:r>
          </w:p>
        </w:tc>
        <w:tc>
          <w:tcPr>
            <w:tcW w:w="4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70"/>
              </w:rPr>
              <w:t>x</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x</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x</w:t>
            </w:r>
          </w:p>
        </w:tc>
      </w:tr>
      <w:tr>
        <w:trPr>
          <w:trHeight w:val="331"/>
        </w:trPr>
        <w:tc>
          <w:tcPr>
            <w:tcW w:w="43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Payout Ratios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436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ind w:left="780"/>
              <w:spacing w:after="0"/>
              <w:rPr>
                <w:sz w:val="20"/>
                <w:szCs w:val="20"/>
                <w:color w:val="auto"/>
              </w:rPr>
            </w:pPr>
            <w:r>
              <w:rPr>
                <w:rFonts w:ascii="Courier New" w:cs="Courier New" w:eastAsia="Courier New" w:hAnsi="Courier New"/>
                <w:sz w:val="14"/>
                <w:szCs w:val="14"/>
                <w:color w:val="auto"/>
              </w:rPr>
              <w:t>FFO Payout Ratio - Basic and Diluted</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Dividends (Shares) &amp; Distributions (O.P. Units)</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paid - $0.12 per Share/O.P. Unit for each of</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the 1st through 3rd quarters in 2001 &amp; 2000</w:t>
            </w:r>
          </w:p>
        </w:tc>
        <w:tc>
          <w:tcPr>
            <w:tcW w:w="3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4,090</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4,245</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$ 12,363</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$ 12,814</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FFO (2)</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7,271</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7,154</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21,672</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22,073</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c>
          <w:tcPr>
            <w:tcW w:w="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80" w:type="dxa"/>
            <w:vAlign w:val="bottom"/>
          </w:tcPr>
          <w:p>
            <w:pPr>
              <w:spacing w:after="0"/>
              <w:rPr>
                <w:sz w:val="14"/>
                <w:szCs w:val="14"/>
                <w:color w:val="auto"/>
              </w:rPr>
            </w:pPr>
          </w:p>
        </w:tc>
      </w:tr>
      <w:tr>
        <w:trPr>
          <w:trHeight w:val="331"/>
        </w:trPr>
        <w:tc>
          <w:tcPr>
            <w:tcW w:w="4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Overhead Ratios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4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ind w:left="1300"/>
              <w:spacing w:after="0"/>
              <w:rPr>
                <w:sz w:val="20"/>
                <w:szCs w:val="20"/>
                <w:color w:val="auto"/>
              </w:rPr>
            </w:pPr>
            <w:r>
              <w:rPr>
                <w:rFonts w:ascii="Courier New" w:cs="Courier New" w:eastAsia="Courier New" w:hAnsi="Courier New"/>
                <w:sz w:val="14"/>
                <w:szCs w:val="14"/>
                <w:color w:val="auto"/>
              </w:rPr>
              <w:t>G&amp;A/Real Estate Revenues</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General and Administrative expense</w:t>
            </w:r>
          </w:p>
        </w:tc>
        <w:tc>
          <w:tcPr>
            <w:tcW w:w="3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1,156</w:t>
            </w:r>
          </w:p>
        </w:tc>
        <w:tc>
          <w:tcPr>
            <w:tcW w:w="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1,168</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3,697</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3,746</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Real Estate Revenues (2)</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20,928</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23,405</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65,106</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70,571</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5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80" w:type="dxa"/>
            <w:vAlign w:val="bottom"/>
          </w:tcPr>
          <w:p>
            <w:pPr>
              <w:spacing w:after="0"/>
              <w:rPr>
                <w:sz w:val="14"/>
                <w:szCs w:val="14"/>
                <w:color w:val="auto"/>
              </w:rPr>
            </w:pPr>
          </w:p>
        </w:tc>
      </w:tr>
      <w:tr>
        <w:trPr>
          <w:trHeight w:val="331"/>
        </w:trPr>
        <w:tc>
          <w:tcPr>
            <w:tcW w:w="4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Leverage Ratios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43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Debt/Total Market Capitalization (4)</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$251,897</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$308,392</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Total Market Capitalization (5)</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475,254</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516,190</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50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w:t>
            </w:r>
          </w:p>
        </w:tc>
        <w:tc>
          <w:tcPr>
            <w:tcW w:w="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440" w:right="3620" w:hanging="432"/>
        <w:spacing w:after="0" w:line="251"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results for 2001 and 2000 are unaudited. Although the 2001 results reflect all adjustments, which in the opinion of management, are necessary for a fair presentation of operating results for the interim period, they are subject to adjustment. The coverage ratios include the Company's pro-rata share of EBIDTA, interest expense and principal amortization related to the Company's investment in unconsolidated partnerships.</w:t>
      </w:r>
    </w:p>
    <w:p>
      <w:pPr>
        <w:spacing w:after="0" w:line="164" w:lineRule="exact"/>
        <w:rPr>
          <w:rFonts w:ascii="Courier New" w:cs="Courier New" w:eastAsia="Courier New" w:hAnsi="Courier New"/>
          <w:sz w:val="14"/>
          <w:szCs w:val="14"/>
          <w:color w:val="auto"/>
        </w:rPr>
      </w:pPr>
    </w:p>
    <w:p>
      <w:pPr>
        <w:ind w:left="440" w:right="3360" w:hanging="432"/>
        <w:spacing w:after="0" w:line="251"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EBIDTA and FFO for the quarter and nine months ended September 30, 2000 have been adjusted for non-recurring income of $200 and $1,957, respectively, of lease termination income received from former tenants at the Abington Towne Center in connection with the redevelopment of the entire property. Gross property revenues already exclude these amounts. The adjustments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02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For the Quarter Ended</w:t>
            </w: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the nine Months Ended</w:t>
            </w:r>
          </w:p>
        </w:tc>
      </w:tr>
      <w:tr>
        <w:trPr>
          <w:trHeight w:val="166"/>
        </w:trPr>
        <w:tc>
          <w:tcPr>
            <w:tcW w:w="3540" w:type="dxa"/>
            <w:vAlign w:val="bottom"/>
          </w:tcPr>
          <w:p>
            <w:pPr>
              <w:spacing w:after="0"/>
              <w:rPr>
                <w:sz w:val="14"/>
                <w:szCs w:val="14"/>
                <w:color w:val="auto"/>
              </w:rPr>
            </w:pPr>
          </w:p>
        </w:tc>
        <w:tc>
          <w:tcPr>
            <w:tcW w:w="30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September 30, 2000</w:t>
            </w: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54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EBIDTA</w:t>
            </w:r>
          </w:p>
        </w:tc>
        <w:tc>
          <w:tcPr>
            <w:tcW w:w="17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FFO</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EBIDTA</w:t>
            </w:r>
          </w:p>
        </w:tc>
        <w:tc>
          <w:tcPr>
            <w:tcW w:w="44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FFO</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Inclusive of lease termination revenue</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$ 14,367</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$ 7,354</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$ 45,000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24,030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Less lease termination revenue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c>
          <w:tcPr>
            <w:tcW w:w="17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(1,957)</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354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As adjusted and used above</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$ 14,167</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$ 7,154</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$ 43,043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22,073</w:t>
            </w:r>
          </w:p>
        </w:tc>
      </w:tr>
      <w:tr>
        <w:trPr>
          <w:trHeight w:val="166"/>
        </w:trPr>
        <w:tc>
          <w:tcPr>
            <w:tcW w:w="354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Represents preferred distributions on Preferred Operating partnership Units.</w:t>
      </w:r>
    </w:p>
    <w:p>
      <w:pPr>
        <w:sectPr>
          <w:pgSz w:w="11900" w:h="16877" w:orient="portrait"/>
          <w:cols w:equalWidth="0" w:num="1">
            <w:col w:w="10260"/>
          </w:cols>
          <w:pgMar w:left="220" w:top="451" w:right="1419" w:bottom="0" w:gutter="0" w:footer="0" w:header="0"/>
        </w:sectPr>
      </w:pPr>
    </w:p>
    <w:bookmarkStart w:id="33" w:name="page34"/>
    <w:bookmarkEnd w:id="33"/>
    <w:p>
      <w:pPr>
        <w:ind w:left="352" w:right="3599" w:hanging="352"/>
        <w:spacing w:after="0" w:line="252" w:lineRule="auto"/>
        <w:tabs>
          <w:tab w:leader="none" w:pos="35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the Company's pro-rata share of joint venture debt, the Debt to Total Market Capitalization increases to 55% and 61% as of September 30, 2001 and 2000, respectively.</w:t>
      </w:r>
    </w:p>
    <w:p>
      <w:pPr>
        <w:spacing w:after="0" w:line="162" w:lineRule="exact"/>
        <w:rPr>
          <w:rFonts w:ascii="Courier New" w:cs="Courier New" w:eastAsia="Courier New" w:hAnsi="Courier New"/>
          <w:sz w:val="14"/>
          <w:szCs w:val="14"/>
          <w:color w:val="auto"/>
        </w:rPr>
      </w:pPr>
    </w:p>
    <w:p>
      <w:pPr>
        <w:ind w:left="352" w:right="3939" w:hanging="352"/>
        <w:spacing w:after="0" w:line="255" w:lineRule="auto"/>
        <w:tabs>
          <w:tab w:leader="none" w:pos="35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 of the September 30, 2001 Total Market Capitalization appears elsewhere in this supplement.</w:t>
      </w:r>
    </w:p>
    <w:p>
      <w:pPr>
        <w:sectPr>
          <w:pgSz w:w="11900" w:h="16838" w:orient="portrait"/>
          <w:cols w:equalWidth="0" w:num="1">
            <w:col w:w="10231"/>
          </w:cols>
          <w:pgMar w:left="228" w:top="307" w:right="1440" w:bottom="1440" w:gutter="0" w:footer="0" w:header="0"/>
        </w:sectPr>
      </w:pPr>
    </w:p>
    <w:bookmarkStart w:id="34" w:name="page35"/>
    <w:bookmarkEnd w:id="34"/>
    <w:p>
      <w:pPr>
        <w:ind w:left="6380"/>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30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September 30, 2001</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Debt Analysis - Wholly Owned Properties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0"/>
          <w:szCs w:val="20"/>
          <w:color w:val="auto"/>
        </w:rPr>
      </w:pPr>
    </w:p>
    <w:p>
      <w:pPr>
        <w:ind w:left="6900"/>
        <w:spacing w:after="0"/>
        <w:tabs>
          <w:tab w:leader="none" w:pos="920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Rate as of</w:t>
      </w:r>
    </w:p>
    <w:p>
      <w:pPr>
        <w:spacing w:after="0" w:line="7" w:lineRule="exact"/>
        <w:rPr>
          <w:sz w:val="20"/>
          <w:szCs w:val="20"/>
          <w:color w:val="auto"/>
        </w:rPr>
      </w:pPr>
    </w:p>
    <w:p>
      <w:pPr>
        <w:ind w:left="6820"/>
        <w:spacing w:after="0"/>
        <w:tabs>
          <w:tab w:leader="none" w:pos="8180" w:val="left"/>
          <w:tab w:leader="none" w:pos="9120" w:val="left"/>
          <w:tab w:leader="none" w:pos="10420" w:val="left"/>
        </w:tabs>
        <w:rPr>
          <w:sz w:val="20"/>
          <w:szCs w:val="20"/>
          <w:color w:val="auto"/>
        </w:rPr>
      </w:pPr>
      <w:r>
        <w:rPr>
          <w:rFonts w:ascii="Courier New" w:cs="Courier New" w:eastAsia="Courier New" w:hAnsi="Courier New"/>
          <w:sz w:val="14"/>
          <w:szCs w:val="14"/>
          <w:color w:val="auto"/>
        </w:rPr>
        <w:t>September 30,</w:t>
      </w:r>
      <w:r>
        <w:rPr>
          <w:sz w:val="20"/>
          <w:szCs w:val="20"/>
          <w:color w:val="auto"/>
        </w:rPr>
        <w:tab/>
      </w: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September 30,</w:t>
        <w:tab/>
        <w:t>Maturity</w:t>
      </w:r>
    </w:p>
    <w:p>
      <w:pPr>
        <w:spacing w:after="0" w:line="7" w:lineRule="exact"/>
        <w:rPr>
          <w:sz w:val="20"/>
          <w:szCs w:val="20"/>
          <w:color w:val="auto"/>
        </w:rPr>
      </w:pPr>
    </w:p>
    <w:p>
      <w:pPr>
        <w:spacing w:after="0"/>
        <w:tabs>
          <w:tab w:leader="none" w:pos="3000" w:val="left"/>
          <w:tab w:leader="none" w:pos="6100" w:val="left"/>
          <w:tab w:leader="none" w:pos="7140" w:val="left"/>
          <w:tab w:leader="none" w:pos="8340" w:val="left"/>
          <w:tab w:leader="none" w:pos="9460" w:val="left"/>
          <w:tab w:leader="none" w:pos="1058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Lender</w:t>
      </w:r>
      <w:r>
        <w:rPr>
          <w:sz w:val="20"/>
          <w:szCs w:val="20"/>
          <w:color w:val="auto"/>
        </w:rPr>
        <w:tab/>
      </w:r>
      <w:r>
        <w:rPr>
          <w:rFonts w:ascii="Courier New" w:cs="Courier New" w:eastAsia="Courier New" w:hAnsi="Courier New"/>
          <w:sz w:val="14"/>
          <w:szCs w:val="14"/>
          <w:color w:val="auto"/>
        </w:rPr>
        <w:t>Notes</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FIXED-RATE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Gateway Mall</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Huntoon Hastings Capital Corp.</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$ 6,205,257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9.88%</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09/01/2002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Pittston Plaza</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Anchor National Life Insurance Co.</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3,701,765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7.93%</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01/01/2004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Glen Oaks Apartments</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Lehman Brothers Holdings, Inc.</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17,645,567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8.32%</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03/01/2004</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Mad River</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Mellon Mortgage Company</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7,340,400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9.60%</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05/23/2005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Manahawkin K-Mart</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Northern Life Insurance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Co. and</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31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Reliastar Life Insurance Co.</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of New York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4,544,243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7.70%</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12/01/2008</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Crescent Plaza</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Metropolitan Life Insurance Co.</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8,795,730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8.13%</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11/01/2010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East End Centre</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Metropolitan Life Insurance Co.</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16,109,033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8.13%</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11/01/2010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GHT Apartments</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Bank of America, N.A.</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11,040,312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7.55%</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01/01/2011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Colony Apartments</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Bank of America, N.A.</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5,520,156</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7.55%</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01/01/2011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Mountainville Shopping Center</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3,005,905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King's Fairground</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840,471</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Northside Mall</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3,214,810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Dunmore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1,071,106</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25th Street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7,536,725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Cloud Springs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2,504,532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Kingston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2,149,673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Plaza 15</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2,042,422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Martintown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2,747,758</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Birney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3,185,619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Midway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2,360,350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Shillington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2,726,774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Ames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960,218</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Circle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1,180,595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New Smyrna Beach Shopping Center</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1,447,229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Monroe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3,590,746</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Troy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Morgan Stanley Mortgage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Capital</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2,269,793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8.84%</w:t>
            </w:r>
          </w:p>
        </w:tc>
        <w:tc>
          <w:tcPr>
            <w:tcW w:w="10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11/01/2021</w:t>
            </w:r>
          </w:p>
        </w:tc>
      </w:tr>
      <w:tr>
        <w:trPr>
          <w:trHeight w:val="166"/>
        </w:trPr>
        <w:tc>
          <w:tcPr>
            <w:tcW w:w="2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TOTAL/WEIGHTED AVERAGE - FIXED-RATE DEBT</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123,737,189</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8.48%</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VARIABLE-RATE DEBT</w:t>
            </w:r>
          </w:p>
        </w:tc>
        <w:tc>
          <w:tcPr>
            <w:tcW w:w="2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Town Line</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Fleet Bank, N.A.</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4,065,929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+ 175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03/15/2002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Smithtown Shopping Center</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Fleet Bank, N.A.</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9,133,707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+ 178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05/31/2002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Merrillville Plaza</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Sun America Life Insurance Co.</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13,600,936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+ 205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08/01/2002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Village Apartments</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Sun America Life Insurance Co.</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9,737,859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+ 205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10/01/2002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Marketplace of Absecon</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Fleet Bank, N.A.</w:t>
            </w:r>
          </w:p>
        </w:tc>
        <w:tc>
          <w:tcPr>
            <w:tcW w:w="10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+ 150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03/01/2003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Soundview Marketplace</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Fleet Bank, N.A.</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8,881,689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+ 175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08/01/2003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Greenridge Plaza</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Metropolitan Life Insurance Co.</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6,100,000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+ 200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11/01/2003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Luzerne Street Plaza</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Metropolitan Life Insurance Co.</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+ 200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11/01/2003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Valmont Plaza</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Metropolitan Life Insurance Co.</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3,100,000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+ 200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11/01/2003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239 Greenwich Avenue</w:t>
            </w:r>
          </w:p>
        </w:tc>
        <w:tc>
          <w:tcPr>
            <w:tcW w:w="31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First Union National Bank</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13,543,300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+ 145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01/01/2005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Berlin Shopping Center</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4,948,874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+ 175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04/01/2005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Bradford Towne Center</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8,660,529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+ 175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04/01/2005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Ledgewood Mall</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31,425,350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+ 175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04/01/2005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New Louden Center</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7,423,311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+ 175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04/01/2005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Route 6 Plaza</w:t>
            </w:r>
          </w:p>
        </w:tc>
        <w:tc>
          <w:tcPr>
            <w:tcW w:w="2100" w:type="dxa"/>
            <w:vAlign w:val="bottom"/>
          </w:tcPr>
          <w:p>
            <w:pPr>
              <w:ind w:left="80"/>
              <w:spacing w:after="0"/>
              <w:rPr>
                <w:sz w:val="20"/>
                <w:szCs w:val="20"/>
                <w:color w:val="auto"/>
              </w:rPr>
            </w:pPr>
            <w:r>
              <w:rPr>
                <w:rFonts w:ascii="Courier New" w:cs="Courier New" w:eastAsia="Courier New" w:hAnsi="Courier New"/>
                <w:sz w:val="14"/>
                <w:szCs w:val="14"/>
                <w:color w:val="auto"/>
              </w:rPr>
              <w:t>Dime Savings Bank</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5,938,649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+ 175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04/01/2005</w:t>
            </w:r>
          </w:p>
        </w:tc>
      </w:tr>
      <w:tr>
        <w:trPr>
          <w:trHeight w:val="166"/>
        </w:trPr>
        <w:tc>
          <w:tcPr>
            <w:tcW w:w="2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TOTAL/WEIGHTED AVERAGE - VARIABLE-RATE DEBT (3)</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128,160,133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 + 180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w:t>
            </w:r>
          </w:p>
        </w:tc>
        <w:tc>
          <w:tcPr>
            <w:tcW w:w="112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TOTAL/WEIGHTED AVERAGE - ALL DEBT</w:t>
            </w:r>
          </w:p>
        </w:tc>
        <w:tc>
          <w:tcPr>
            <w:tcW w:w="2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$251,897,322</w:t>
            </w:r>
          </w:p>
        </w:tc>
        <w:tc>
          <w:tcPr>
            <w:tcW w:w="108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6.93%</w:t>
            </w:r>
          </w:p>
        </w:tc>
        <w:tc>
          <w:tcPr>
            <w:tcW w:w="112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4480" w:hanging="432"/>
        <w:spacing w:after="0" w:line="251"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loan allows for full repayment, without penalty, commencing October 31, 2006. Commencing on this date (the "Reset Date"), the interest rate is to be adjusted to a U.S. Treasury rate + 500 basis points (the treasury rate being the interpolated yield on treasuries most nearly approximating the period from the the Reset Date to the maturity date, November 1, 2001).</w:t>
      </w:r>
    </w:p>
    <w:p>
      <w:pPr>
        <w:spacing w:after="0" w:line="164" w:lineRule="exact"/>
        <w:rPr>
          <w:rFonts w:ascii="Courier New" w:cs="Courier New" w:eastAsia="Courier New" w:hAnsi="Courier New"/>
          <w:sz w:val="14"/>
          <w:szCs w:val="14"/>
          <w:color w:val="auto"/>
        </w:rPr>
      </w:pPr>
    </w:p>
    <w:p>
      <w:pPr>
        <w:ind w:left="440" w:right="4660" w:hanging="432"/>
        <w:spacing w:after="0" w:line="252"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is a revolving facility for up to $7,400,000 which bears interest at LIBOR plus 150 basis points (175 basis points if the loan to collateral value is &gt; 50%). All outstanding amounts were repaid during the second quarter 2001 leaving $7,400,000 available under this facility.</w:t>
      </w:r>
    </w:p>
    <w:p>
      <w:pPr>
        <w:spacing w:after="0" w:line="162" w:lineRule="exact"/>
        <w:rPr>
          <w:rFonts w:ascii="Courier New" w:cs="Courier New" w:eastAsia="Courier New" w:hAnsi="Courier New"/>
          <w:sz w:val="14"/>
          <w:szCs w:val="14"/>
          <w:color w:val="auto"/>
        </w:rPr>
      </w:pPr>
    </w:p>
    <w:p>
      <w:pPr>
        <w:ind w:left="440" w:right="4560" w:hanging="432"/>
        <w:spacing w:after="0" w:line="251"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hedged $50,000,000 of it's variable-rate debt with two variable to fixed-rate swap agreements with Fleet Bank, N.A. Including the effect from these swaps, weighted-average interest rate on the Company's fixed-rate debt and total debt portfolio is 7.89% and 7.13%, respectively. Detail of the swap agreements is as follows:</w:t>
      </w:r>
    </w:p>
    <w:p>
      <w:pPr>
        <w:sectPr>
          <w:pgSz w:w="11900" w:h="16838" w:orient="portrait"/>
          <w:cols w:equalWidth="0" w:num="1">
            <w:col w:w="11380"/>
          </w:cols>
          <w:pgMar w:left="220" w:top="451" w:right="29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2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Notional principal</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All-in Rate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Maturity Date</w:t>
            </w:r>
          </w:p>
        </w:tc>
      </w:tr>
      <w:tr>
        <w:trPr>
          <w:trHeight w:val="166"/>
        </w:trPr>
        <w:tc>
          <w:tcPr>
            <w:tcW w:w="2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$ 30,000,000</w:t>
            </w:r>
          </w:p>
        </w:tc>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6.55%</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04/01/2005</w:t>
            </w:r>
          </w:p>
        </w:tc>
      </w:tr>
      <w:tr>
        <w:trPr>
          <w:trHeight w:val="166"/>
        </w:trPr>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20,000,000</w:t>
            </w:r>
          </w:p>
        </w:tc>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6.28%</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10/01/2006</w:t>
            </w:r>
          </w:p>
        </w:tc>
      </w:tr>
      <w:tr>
        <w:trPr>
          <w:trHeight w:val="166"/>
        </w:trPr>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$ 50,000,000</w:t>
            </w:r>
          </w:p>
        </w:tc>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6.44%</w:t>
            </w:r>
          </w:p>
        </w:tc>
        <w:tc>
          <w:tcPr>
            <w:tcW w:w="1720" w:type="dxa"/>
            <w:vAlign w:val="bottom"/>
          </w:tcPr>
          <w:p>
            <w:pPr>
              <w:spacing w:after="0"/>
              <w:rPr>
                <w:sz w:val="14"/>
                <w:szCs w:val="14"/>
                <w:color w:val="auto"/>
              </w:rPr>
            </w:pPr>
          </w:p>
        </w:tc>
      </w:tr>
      <w:tr>
        <w:trPr>
          <w:trHeight w:val="166"/>
        </w:trPr>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bl>
    <w:p>
      <w:pPr>
        <w:sectPr>
          <w:pgSz w:w="11900" w:h="16838" w:orient="portrait"/>
          <w:cols w:equalWidth="0" w:num="1">
            <w:col w:w="9799"/>
          </w:cols>
          <w:pgMar w:left="660" w:top="141" w:right="1440"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[LOGO]</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63"/>
        </w:trPr>
        <w:tc>
          <w:tcPr>
            <w:tcW w:w="5700" w:type="dxa"/>
            <w:vAlign w:val="bottom"/>
            <w:gridSpan w:val="2"/>
          </w:tcPr>
          <w:p>
            <w:pPr>
              <w:jc w:val="center"/>
              <w:ind w:left="1228"/>
              <w:spacing w:after="0"/>
              <w:rPr>
                <w:sz w:val="20"/>
                <w:szCs w:val="20"/>
                <w:color w:val="auto"/>
              </w:rPr>
            </w:pPr>
            <w:r>
              <w:rPr>
                <w:rFonts w:ascii="Courier New" w:cs="Courier New" w:eastAsia="Courier New" w:hAnsi="Courier New"/>
                <w:sz w:val="14"/>
                <w:szCs w:val="14"/>
                <w:color w:val="auto"/>
              </w:rPr>
              <w:t>QUARTERLY SUPPLEMENTAL DISCLOSURE</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80" w:type="dxa"/>
            <w:vAlign w:val="bottom"/>
          </w:tcPr>
          <w:p>
            <w:pPr>
              <w:spacing w:after="0"/>
              <w:rPr>
                <w:sz w:val="14"/>
                <w:szCs w:val="14"/>
                <w:color w:val="auto"/>
              </w:rPr>
            </w:pPr>
          </w:p>
        </w:tc>
        <w:tc>
          <w:tcPr>
            <w:tcW w:w="3320" w:type="dxa"/>
            <w:vAlign w:val="bottom"/>
          </w:tcPr>
          <w:p>
            <w:pPr>
              <w:ind w:left="300"/>
              <w:spacing w:after="0"/>
              <w:rPr>
                <w:sz w:val="20"/>
                <w:szCs w:val="20"/>
                <w:color w:val="auto"/>
              </w:rPr>
            </w:pPr>
            <w:r>
              <w:rPr>
                <w:rFonts w:ascii="Courier New" w:cs="Courier New" w:eastAsia="Courier New" w:hAnsi="Courier New"/>
                <w:sz w:val="14"/>
                <w:szCs w:val="14"/>
                <w:color w:val="auto"/>
              </w:rPr>
              <w:t>September 30, 2001</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5700" w:type="dxa"/>
            <w:vAlign w:val="bottom"/>
            <w:gridSpan w:val="2"/>
          </w:tcPr>
          <w:p>
            <w:pPr>
              <w:jc w:val="center"/>
              <w:ind w:left="1208"/>
              <w:spacing w:after="0"/>
              <w:rPr>
                <w:sz w:val="20"/>
                <w:szCs w:val="20"/>
                <w:color w:val="auto"/>
              </w:rPr>
            </w:pPr>
            <w:r>
              <w:rPr>
                <w:rFonts w:ascii="Courier New" w:cs="Courier New" w:eastAsia="Courier New" w:hAnsi="Courier New"/>
                <w:sz w:val="14"/>
                <w:szCs w:val="14"/>
                <w:color w:val="auto"/>
              </w:rPr>
              <w:t>Debt Analysis - Unconsolidated Partnerships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5700" w:type="dxa"/>
            <w:vAlign w:val="bottom"/>
            <w:gridSpan w:val="2"/>
          </w:tcPr>
          <w:p>
            <w:pPr>
              <w:jc w:val="center"/>
              <w:ind w:left="12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63"/>
        </w:trPr>
        <w:tc>
          <w:tcPr>
            <w:tcW w:w="23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Acadia Realty</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Principal</w:t>
            </w: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Trust</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Balance at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4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Maturity</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FIXED-RATE DEBT (1)</w:t>
            </w: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Joint Venture Partner</w:t>
            </w:r>
          </w:p>
        </w:tc>
        <w:tc>
          <w:tcPr>
            <w:tcW w:w="26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Ownership</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September 30, 2001</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Rate</w:t>
            </w:r>
          </w:p>
        </w:tc>
        <w:tc>
          <w:tcPr>
            <w:tcW w:w="14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3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55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Crossroads Shopping Center</w:t>
            </w: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Heyman-Greenburgh Associates LLC</w:t>
            </w:r>
          </w:p>
        </w:tc>
        <w:tc>
          <w:tcPr>
            <w:tcW w:w="260" w:type="dxa"/>
            <w:vAlign w:val="bottom"/>
          </w:tcPr>
          <w:p>
            <w:pPr>
              <w:spacing w:after="0"/>
              <w:rPr>
                <w:sz w:val="24"/>
                <w:szCs w:val="24"/>
                <w:color w:val="auto"/>
              </w:rPr>
            </w:pPr>
          </w:p>
        </w:tc>
        <w:tc>
          <w:tcPr>
            <w:tcW w:w="1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$ 34,264,824</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7.15%</w:t>
            </w:r>
          </w:p>
        </w:tc>
        <w:tc>
          <w:tcPr>
            <w:tcW w:w="14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10/01/2007</w:t>
            </w:r>
          </w:p>
        </w:tc>
      </w:tr>
      <w:tr>
        <w:trPr>
          <w:trHeight w:val="166"/>
        </w:trPr>
        <w:tc>
          <w:tcPr>
            <w:tcW w:w="238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RMC Development Company LLC</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63"/>
        </w:trPr>
        <w:tc>
          <w:tcPr>
            <w:tcW w:w="6980" w:type="dxa"/>
            <w:vAlign w:val="bottom"/>
            <w:gridSpan w:val="4"/>
          </w:tcPr>
          <w:p>
            <w:pPr>
              <w:jc w:val="right"/>
              <w:ind w:right="448"/>
              <w:spacing w:after="0"/>
              <w:rPr>
                <w:sz w:val="20"/>
                <w:szCs w:val="20"/>
                <w:color w:val="auto"/>
              </w:rPr>
            </w:pPr>
            <w:r>
              <w:rPr>
                <w:rFonts w:ascii="Courier New" w:cs="Courier New" w:eastAsia="Courier New" w:hAnsi="Courier New"/>
                <w:sz w:val="14"/>
                <w:szCs w:val="14"/>
                <w:color w:val="auto"/>
              </w:rPr>
              <w:t>Summary - Wholly-Owned Properties and Unconsolidated Partnerships</w:t>
            </w: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 of</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 of</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Outstanding</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Wholly-Owned</w:t>
            </w:r>
          </w:p>
        </w:tc>
        <w:tc>
          <w:tcPr>
            <w:tcW w:w="14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Avg.</w:t>
            </w: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Balance</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Only</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Int. Rate</w:t>
            </w: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4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Wholly-Owned Properties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Fixed-Rate Debt (2)</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$173,737,189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7.89%</w:t>
            </w:r>
          </w:p>
        </w:tc>
      </w:tr>
      <w:tr>
        <w:trPr>
          <w:trHeight w:val="166"/>
        </w:trPr>
        <w:tc>
          <w:tcPr>
            <w:tcW w:w="238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Variable-Rate Debt (2)</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78,160,133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5.43%</w:t>
            </w: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Wholly-Owned Properties - Total Debt</w:t>
            </w:r>
          </w:p>
        </w:tc>
        <w:tc>
          <w:tcPr>
            <w:tcW w:w="26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251,897,322</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7.13%</w:t>
            </w: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Unconsolidated Partnerships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238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Fixed-Rate Debt</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16,789,764</w:t>
            </w:r>
          </w:p>
        </w:tc>
        <w:tc>
          <w:tcPr>
            <w:tcW w:w="112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7.15%</w:t>
            </w:r>
          </w:p>
        </w:tc>
      </w:tr>
      <w:tr>
        <w:trPr>
          <w:trHeight w:val="166"/>
        </w:trPr>
        <w:tc>
          <w:tcPr>
            <w:tcW w:w="2380" w:type="dxa"/>
            <w:vAlign w:val="bottom"/>
          </w:tcPr>
          <w:p>
            <w:pPr>
              <w:spacing w:after="0"/>
              <w:rPr>
                <w:sz w:val="14"/>
                <w:szCs w:val="14"/>
                <w:color w:val="auto"/>
              </w:rPr>
            </w:pPr>
          </w:p>
        </w:tc>
        <w:tc>
          <w:tcPr>
            <w:tcW w:w="3320" w:type="dxa"/>
            <w:vAlign w:val="bottom"/>
          </w:tcPr>
          <w:p>
            <w:pPr>
              <w:ind w:left="120"/>
              <w:spacing w:after="0"/>
              <w:rPr>
                <w:sz w:val="20"/>
                <w:szCs w:val="20"/>
                <w:color w:val="auto"/>
              </w:rPr>
            </w:pPr>
            <w:r>
              <w:rPr>
                <w:rFonts w:ascii="Courier New" w:cs="Courier New" w:eastAsia="Courier New" w:hAnsi="Courier New"/>
                <w:sz w:val="14"/>
                <w:szCs w:val="14"/>
                <w:color w:val="auto"/>
              </w:rPr>
              <w:t>Variable-Rate Debt</w:t>
            </w: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0.00%</w:t>
            </w: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35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Unconsolidated Partnerships - Total Debt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16,789,764</w:t>
            </w:r>
          </w:p>
        </w:tc>
        <w:tc>
          <w:tcPr>
            <w:tcW w:w="1120" w:type="dxa"/>
            <w:vAlign w:val="bottom"/>
          </w:tcPr>
          <w:p>
            <w:pPr>
              <w:spacing w:after="0"/>
              <w:rPr>
                <w:sz w:val="24"/>
                <w:szCs w:val="2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7.15%</w:t>
            </w: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3320" w:type="dxa"/>
            <w:vAlign w:val="bottom"/>
          </w:tcPr>
          <w:p>
            <w:pPr>
              <w:ind w:left="1600"/>
              <w:spacing w:after="0"/>
              <w:rPr>
                <w:sz w:val="20"/>
                <w:szCs w:val="20"/>
                <w:color w:val="auto"/>
              </w:rPr>
            </w:pPr>
            <w:r>
              <w:rPr>
                <w:rFonts w:ascii="Courier New" w:cs="Courier New" w:eastAsia="Courier New" w:hAnsi="Courier New"/>
                <w:sz w:val="14"/>
                <w:szCs w:val="14"/>
                <w:color w:val="auto"/>
              </w:rPr>
              <w:t>Total Debt</w:t>
            </w:r>
          </w:p>
        </w:tc>
        <w:tc>
          <w:tcPr>
            <w:tcW w:w="26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$268,687,086</w:t>
            </w:r>
          </w:p>
        </w:tc>
        <w:tc>
          <w:tcPr>
            <w:tcW w:w="1120" w:type="dxa"/>
            <w:vAlign w:val="bottom"/>
          </w:tcPr>
          <w:p>
            <w:pPr>
              <w:spacing w:after="0"/>
              <w:rPr>
                <w:sz w:val="24"/>
                <w:szCs w:val="2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7.13%</w:t>
            </w:r>
          </w:p>
        </w:tc>
      </w:tr>
      <w:tr>
        <w:trPr>
          <w:trHeight w:val="166"/>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hanging="432"/>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Acadia Realty Trust's 49% ownership represents $16,789,764, of which</w:t>
      </w:r>
    </w:p>
    <w:p>
      <w:pPr>
        <w:spacing w:after="0" w:line="7" w:lineRule="exact"/>
        <w:rPr>
          <w:rFonts w:ascii="Courier New" w:cs="Courier New" w:eastAsia="Courier New" w:hAnsi="Courier New"/>
          <w:sz w:val="14"/>
          <w:szCs w:val="14"/>
          <w:color w:val="auto"/>
        </w:rPr>
      </w:pPr>
    </w:p>
    <w:p>
      <w:pPr>
        <w:ind w:left="440" w:right="45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$5,000,000 is fixed at 7.53% and the remaining balance is fixed at 6.99% through interest rate swap transactions.</w:t>
      </w:r>
    </w:p>
    <w:p>
      <w:pPr>
        <w:spacing w:after="0" w:line="159" w:lineRule="exact"/>
        <w:rPr>
          <w:rFonts w:ascii="Courier New" w:cs="Courier New" w:eastAsia="Courier New" w:hAnsi="Courier New"/>
          <w:sz w:val="14"/>
          <w:szCs w:val="14"/>
          <w:color w:val="auto"/>
        </w:rPr>
      </w:pPr>
    </w:p>
    <w:p>
      <w:pPr>
        <w:ind w:left="440" w:right="4560" w:hanging="432"/>
        <w:spacing w:after="0" w:line="255"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Fixed-rate debt includes $50 million of notional principal fixed through swap transactions. Conversely, variable-rate debt excludes this amount.</w:t>
      </w:r>
    </w:p>
    <w:p>
      <w:pPr>
        <w:sectPr>
          <w:pgSz w:w="11900" w:h="16838" w:orient="portrait"/>
          <w:cols w:equalWidth="0" w:num="1">
            <w:col w:w="11200"/>
          </w:cols>
          <w:pgMar w:left="220" w:top="451" w:right="479" w:bottom="1440" w:gutter="0" w:footer="0" w:header="0"/>
        </w:sectPr>
      </w:pPr>
    </w:p>
    <w:bookmarkStart w:id="37" w:name="page38"/>
    <w:bookmarkEnd w:id="37"/>
    <w:p>
      <w:pPr>
        <w:ind w:left="6380"/>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Future Debt Maturities(1)</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1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497"/>
        </w:trPr>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Weighted Average Interest Rate of Maturing Debt</w:t>
            </w:r>
          </w:p>
        </w:tc>
      </w:tr>
      <w:tr>
        <w:trPr>
          <w:trHeight w:val="166"/>
        </w:trPr>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40" w:type="dxa"/>
            <w:vAlign w:val="bottom"/>
          </w:tcPr>
          <w:p>
            <w:pPr>
              <w:spacing w:after="0"/>
              <w:rPr>
                <w:sz w:val="14"/>
                <w:szCs w:val="14"/>
                <w:color w:val="auto"/>
              </w:rPr>
            </w:pPr>
          </w:p>
        </w:tc>
        <w:tc>
          <w:tcPr>
            <w:tcW w:w="180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Scheduled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Year</w:t>
            </w:r>
          </w:p>
        </w:tc>
        <w:tc>
          <w:tcPr>
            <w:tcW w:w="1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Amortization</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Maturities</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 Debt</w:t>
            </w:r>
          </w:p>
        </w:tc>
        <w:tc>
          <w:tcPr>
            <w:tcW w:w="1500" w:type="dxa"/>
            <w:vAlign w:val="bottom"/>
          </w:tcPr>
          <w:p>
            <w:pPr>
              <w:ind w:left="120"/>
              <w:spacing w:after="0"/>
              <w:rPr>
                <w:sz w:val="20"/>
                <w:szCs w:val="20"/>
                <w:color w:val="auto"/>
              </w:rPr>
            </w:pPr>
            <w:r>
              <w:rPr>
                <w:rFonts w:ascii="Courier New" w:cs="Courier New" w:eastAsia="Courier New" w:hAnsi="Courier New"/>
                <w:sz w:val="14"/>
                <w:szCs w:val="14"/>
                <w:color w:val="auto"/>
              </w:rPr>
              <w:t>Fixed-Rate Debt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Variable-Rate Debt</w:t>
            </w:r>
          </w:p>
        </w:tc>
      </w:tr>
      <w:tr>
        <w:trPr>
          <w:trHeight w:val="166"/>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2001</w:t>
            </w:r>
          </w:p>
        </w:tc>
        <w:tc>
          <w:tcPr>
            <w:tcW w:w="8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1,002</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1,002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n/a</w:t>
            </w:r>
          </w:p>
        </w:tc>
        <w:tc>
          <w:tcPr>
            <w:tcW w:w="150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2002</w:t>
            </w:r>
          </w:p>
        </w:tc>
        <w:tc>
          <w:tcPr>
            <w:tcW w:w="8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4,011</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42,142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46,153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6.24%</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w w:val="99"/>
              </w:rPr>
              <w:t>9.88%</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5.62%</w:t>
            </w:r>
          </w:p>
        </w:tc>
      </w:tr>
      <w:tr>
        <w:trPr>
          <w:trHeight w:val="166"/>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2003</w:t>
            </w:r>
          </w:p>
        </w:tc>
        <w:tc>
          <w:tcPr>
            <w:tcW w:w="8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3,821</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19,158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22,979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5.52%</w:t>
            </w:r>
          </w:p>
        </w:tc>
        <w:tc>
          <w:tcPr>
            <w:tcW w:w="150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5.52%</w:t>
            </w:r>
          </w:p>
        </w:tc>
      </w:tr>
      <w:tr>
        <w:trPr>
          <w:trHeight w:val="166"/>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2004</w:t>
            </w:r>
          </w:p>
        </w:tc>
        <w:tc>
          <w:tcPr>
            <w:tcW w:w="8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3,531</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20,542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24,073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8.25%</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w w:val="99"/>
              </w:rPr>
              <w:t>8.25%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2005</w:t>
            </w:r>
          </w:p>
        </w:tc>
        <w:tc>
          <w:tcPr>
            <w:tcW w:w="8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74,912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77,612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5.69%</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w w:val="99"/>
              </w:rPr>
              <w:t>9.60%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5.31%</w:t>
            </w:r>
          </w:p>
        </w:tc>
      </w:tr>
      <w:tr>
        <w:trPr>
          <w:trHeight w:val="166"/>
        </w:trPr>
        <w:tc>
          <w:tcPr>
            <w:tcW w:w="14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Thereafter</w:t>
            </w:r>
          </w:p>
        </w:tc>
        <w:tc>
          <w:tcPr>
            <w:tcW w:w="8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7,017</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73,061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80,078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8.38%</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w w:val="99"/>
              </w:rPr>
              <w:t>8.38%</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44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440" w:type="dxa"/>
            <w:vAlign w:val="bottom"/>
          </w:tcPr>
          <w:p>
            <w:pPr>
              <w:spacing w:after="0"/>
              <w:rPr>
                <w:sz w:val="14"/>
                <w:szCs w:val="14"/>
                <w:color w:val="auto"/>
              </w:rPr>
            </w:pPr>
          </w:p>
        </w:tc>
        <w:tc>
          <w:tcPr>
            <w:tcW w:w="8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22,082</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$ 229,815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$ 251,897</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440" w:type="dxa"/>
            <w:vAlign w:val="bottom"/>
          </w:tcPr>
          <w:p>
            <w:pPr>
              <w:spacing w:after="0"/>
              <w:rPr>
                <w:sz w:val="14"/>
                <w:szCs w:val="14"/>
                <w:color w:val="auto"/>
              </w:rPr>
            </w:pPr>
          </w:p>
        </w:tc>
        <w:tc>
          <w:tcPr>
            <w:tcW w:w="18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335" w:lineRule="exact"/>
        <w:rPr>
          <w:sz w:val="20"/>
          <w:szCs w:val="20"/>
          <w:color w:val="auto"/>
        </w:rPr>
      </w:pPr>
    </w:p>
    <w:p>
      <w:pPr>
        <w:ind w:right="4460"/>
        <w:spacing w:after="0" w:line="250" w:lineRule="auto"/>
        <w:rPr>
          <w:sz w:val="20"/>
          <w:szCs w:val="20"/>
          <w:color w:val="auto"/>
        </w:rPr>
      </w:pPr>
      <w:r>
        <w:rPr>
          <w:rFonts w:ascii="Courier New" w:cs="Courier New" w:eastAsia="Courier New" w:hAnsi="Courier New"/>
          <w:sz w:val="14"/>
          <w:szCs w:val="14"/>
          <w:color w:val="auto"/>
        </w:rPr>
        <w:t>Capitalized interest related to the Company's development projects is as follows: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(in thousands)</w:t>
      </w:r>
    </w:p>
    <w:p>
      <w:pPr>
        <w:spacing w:after="0" w:line="7" w:lineRule="exact"/>
        <w:rPr>
          <w:sz w:val="20"/>
          <w:szCs w:val="20"/>
          <w:color w:val="auto"/>
        </w:rPr>
      </w:pPr>
    </w:p>
    <w:tbl>
      <w:tblPr>
        <w:tblLayout w:type="fixed"/>
        <w:tblInd w:w="2240" w:type="dxa"/>
        <w:tblCellMar>
          <w:top w:w="0" w:type="dxa"/>
          <w:left w:w="0" w:type="dxa"/>
          <w:bottom w:w="0" w:type="dxa"/>
          <w:right w:w="0" w:type="dxa"/>
        </w:tblCellMar>
      </w:tblPr>
      <w:tr>
        <w:trPr>
          <w:trHeight w:val="162"/>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1st Quarter 2001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52</w:t>
            </w:r>
          </w:p>
        </w:tc>
      </w:tr>
      <w:tr>
        <w:trPr>
          <w:trHeight w:val="166"/>
        </w:trPr>
        <w:tc>
          <w:tcPr>
            <w:tcW w:w="1640" w:type="dxa"/>
            <w:vAlign w:val="bottom"/>
            <w:gridSpan w:val="3"/>
          </w:tcPr>
          <w:p>
            <w:pPr>
              <w:spacing w:after="0"/>
              <w:rPr>
                <w:sz w:val="20"/>
                <w:szCs w:val="20"/>
                <w:color w:val="auto"/>
              </w:rPr>
            </w:pPr>
            <w:r>
              <w:rPr>
                <w:rFonts w:ascii="Courier New" w:cs="Courier New" w:eastAsia="Courier New" w:hAnsi="Courier New"/>
                <w:sz w:val="14"/>
                <w:szCs w:val="14"/>
                <w:color w:val="auto"/>
              </w:rPr>
              <w:t>2nd Quarter 2001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3rd</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4th</w:t>
            </w:r>
          </w:p>
        </w:tc>
        <w:tc>
          <w:tcPr>
            <w:tcW w:w="700" w:type="dxa"/>
            <w:vAlign w:val="bottom"/>
          </w:tcPr>
          <w:p>
            <w:pPr>
              <w:ind w:left="60"/>
              <w:spacing w:after="0"/>
              <w:rPr>
                <w:sz w:val="20"/>
                <w:szCs w:val="20"/>
                <w:color w:val="auto"/>
              </w:rPr>
            </w:pPr>
            <w:r>
              <w:rPr>
                <w:rFonts w:ascii="Courier New" w:cs="Courier New" w:eastAsia="Courier New" w:hAnsi="Courier New"/>
                <w:sz w:val="14"/>
                <w:szCs w:val="14"/>
                <w:color w:val="auto"/>
              </w:rPr>
              <w:t>Quarter</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320" w:hanging="177"/>
        <w:spacing w:after="0"/>
        <w:tabs>
          <w:tab w:leader="none" w:pos="432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192</w:t>
      </w:r>
    </w:p>
    <w:p>
      <w:pPr>
        <w:spacing w:after="0" w:line="7" w:lineRule="exact"/>
        <w:rPr>
          <w:rFonts w:ascii="Courier New" w:cs="Courier New" w:eastAsia="Courier New" w:hAnsi="Courier New"/>
          <w:sz w:val="14"/>
          <w:szCs w:val="14"/>
          <w:color w:val="auto"/>
        </w:rPr>
      </w:pPr>
    </w:p>
    <w:p>
      <w:pPr>
        <w:ind w:left="4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debt from unconsolidated partnerships</w:t>
      </w:r>
    </w:p>
    <w:p>
      <w:pPr>
        <w:sectPr>
          <w:pgSz w:w="11900" w:h="16838" w:orient="portrait"/>
          <w:cols w:equalWidth="0" w:num="1">
            <w:col w:w="10680"/>
          </w:cols>
          <w:pgMar w:left="220" w:top="451" w:right="99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[LOGO}</w:t>
            </w:r>
          </w:p>
        </w:tc>
      </w:tr>
      <w:tr>
        <w:trPr>
          <w:trHeight w:val="331"/>
        </w:trPr>
        <w:tc>
          <w:tcPr>
            <w:tcW w:w="5560" w:type="dxa"/>
            <w:vAlign w:val="bottom"/>
            <w:gridSpan w:val="2"/>
          </w:tcPr>
          <w:p>
            <w:pPr>
              <w:ind w:left="2080"/>
              <w:spacing w:after="0"/>
              <w:rPr>
                <w:sz w:val="20"/>
                <w:szCs w:val="20"/>
                <w:color w:val="auto"/>
              </w:rPr>
            </w:pPr>
            <w:r>
              <w:rPr>
                <w:rFonts w:ascii="Courier New" w:cs="Courier New" w:eastAsia="Courier New" w:hAnsi="Courier New"/>
                <w:sz w:val="14"/>
                <w:szCs w:val="14"/>
                <w:color w:val="auto"/>
              </w:rPr>
              <w:t>QUARTERLY SUPPLEMENTAL DISCLOSURE</w:t>
            </w:r>
          </w:p>
        </w:tc>
        <w:tc>
          <w:tcPr>
            <w:tcW w:w="1340" w:type="dxa"/>
            <w:vAlign w:val="bottom"/>
          </w:tcPr>
          <w:p>
            <w:pPr>
              <w:spacing w:after="0"/>
              <w:rPr>
                <w:sz w:val="24"/>
                <w:szCs w:val="24"/>
                <w:color w:val="auto"/>
              </w:rPr>
            </w:pPr>
          </w:p>
        </w:tc>
      </w:tr>
      <w:tr>
        <w:trPr>
          <w:trHeight w:val="166"/>
        </w:trPr>
        <w:tc>
          <w:tcPr>
            <w:tcW w:w="5560" w:type="dxa"/>
            <w:vAlign w:val="bottom"/>
            <w:gridSpan w:val="2"/>
          </w:tcPr>
          <w:p>
            <w:pPr>
              <w:ind w:left="2680"/>
              <w:spacing w:after="0"/>
              <w:rPr>
                <w:sz w:val="20"/>
                <w:szCs w:val="20"/>
                <w:color w:val="auto"/>
              </w:rPr>
            </w:pPr>
            <w:r>
              <w:rPr>
                <w:rFonts w:ascii="Courier New" w:cs="Courier New" w:eastAsia="Courier New" w:hAnsi="Courier New"/>
                <w:sz w:val="14"/>
                <w:szCs w:val="14"/>
                <w:color w:val="auto"/>
              </w:rPr>
              <w:t>SEPTEMBER 30, 2001</w:t>
            </w:r>
          </w:p>
        </w:tc>
        <w:tc>
          <w:tcPr>
            <w:tcW w:w="1340" w:type="dxa"/>
            <w:vAlign w:val="bottom"/>
          </w:tcPr>
          <w:p>
            <w:pPr>
              <w:spacing w:after="0"/>
              <w:rPr>
                <w:sz w:val="14"/>
                <w:szCs w:val="14"/>
                <w:color w:val="auto"/>
              </w:rPr>
            </w:pPr>
          </w:p>
        </w:tc>
      </w:tr>
      <w:tr>
        <w:trPr>
          <w:trHeight w:val="331"/>
        </w:trPr>
        <w:tc>
          <w:tcPr>
            <w:tcW w:w="556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Unencumbered Properties</w:t>
            </w:r>
          </w:p>
        </w:tc>
        <w:tc>
          <w:tcPr>
            <w:tcW w:w="1340" w:type="dxa"/>
            <w:vAlign w:val="bottom"/>
          </w:tcPr>
          <w:p>
            <w:pPr>
              <w:spacing w:after="0"/>
              <w:rPr>
                <w:sz w:val="24"/>
                <w:szCs w:val="24"/>
                <w:color w:val="auto"/>
              </w:rPr>
            </w:pPr>
          </w:p>
        </w:tc>
      </w:tr>
      <w:tr>
        <w:trPr>
          <w:trHeight w:val="166"/>
        </w:trPr>
        <w:tc>
          <w:tcPr>
            <w:tcW w:w="556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497"/>
        </w:trPr>
        <w:tc>
          <w:tcPr>
            <w:tcW w:w="3420" w:type="dxa"/>
            <w:vAlign w:val="bottom"/>
          </w:tcPr>
          <w:p>
            <w:pPr>
              <w:ind w:left="780"/>
              <w:spacing w:after="0"/>
              <w:rPr>
                <w:sz w:val="20"/>
                <w:szCs w:val="20"/>
                <w:color w:val="auto"/>
              </w:rPr>
            </w:pPr>
            <w:r>
              <w:rPr>
                <w:rFonts w:ascii="Courier New" w:cs="Courier New" w:eastAsia="Courier New" w:hAnsi="Courier New"/>
                <w:sz w:val="14"/>
                <w:szCs w:val="14"/>
                <w:color w:val="auto"/>
              </w:rPr>
              <w:t>Center</w:t>
            </w:r>
          </w:p>
        </w:tc>
        <w:tc>
          <w:tcPr>
            <w:tcW w:w="2140" w:type="dxa"/>
            <w:vAlign w:val="bottom"/>
          </w:tcPr>
          <w:p>
            <w:pPr>
              <w:ind w:left="640"/>
              <w:spacing w:after="0"/>
              <w:rPr>
                <w:sz w:val="20"/>
                <w:szCs w:val="20"/>
                <w:color w:val="auto"/>
              </w:rPr>
            </w:pPr>
            <w:r>
              <w:rPr>
                <w:rFonts w:ascii="Courier New" w:cs="Courier New" w:eastAsia="Courier New" w:hAnsi="Courier New"/>
                <w:sz w:val="14"/>
                <w:szCs w:val="14"/>
                <w:color w:val="auto"/>
              </w:rPr>
              <w:t>Location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GLA</w:t>
            </w:r>
          </w:p>
        </w:tc>
      </w:tr>
      <w:tr>
        <w:trPr>
          <w:trHeight w:val="166"/>
        </w:trPr>
        <w:tc>
          <w:tcPr>
            <w:tcW w:w="34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Abington Towne Center(1)</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Abington, PA</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216,226</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Blackman Plaza</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Wilkes-Barre, PA</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121,206</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Bloomfield Town Square</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Bloomfield, MI</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224,583</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Branch Plaza</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Smithtown, NY</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125,840</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Elmwood Park Shopping Center</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Elmwood, NJ</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134,589</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Hobson West Plaza</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Naperville, IL</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99,950</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Manahawkin Shopping Center(2)</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Manahawkin, NJ</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62,827</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Mark Plaza</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Edwardsville, PA</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214,021</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Methuen Shopping Center</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Methuen, CT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129,494</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Pacesetter Park Shopping Center</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Ramapo, New York</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95,559</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Plaza 422</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Lebanon, PA</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154,791</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Union Plaza(3)</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New Castle, PA</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217,992</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Walnut Hill Plaza</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Woonsocket, RI</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297,370</w:t>
            </w:r>
          </w:p>
        </w:tc>
      </w:tr>
      <w:tr>
        <w:trPr>
          <w:trHeight w:val="166"/>
        </w:trPr>
        <w:tc>
          <w:tcPr>
            <w:tcW w:w="3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GLA of Unencumbered Properties</w:t>
            </w:r>
          </w:p>
        </w:tc>
        <w:tc>
          <w:tcPr>
            <w:tcW w:w="214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2,094,448</w:t>
            </w:r>
          </w:p>
        </w:tc>
      </w:tr>
      <w:tr>
        <w:trPr>
          <w:trHeight w:val="166"/>
        </w:trPr>
        <w:tc>
          <w:tcPr>
            <w:tcW w:w="34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right="3779" w:hanging="352"/>
        <w:spacing w:after="0" w:line="250" w:lineRule="auto"/>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portion of this property (157,616 square feet) is owned by the Target Corp.</w:t>
      </w:r>
    </w:p>
    <w:p>
      <w:pPr>
        <w:ind w:left="360" w:hanging="352"/>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the Kmart portion of the shopping center which is encumbered</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property is currently under contract to be sold.</w:t>
      </w:r>
    </w:p>
    <w:p>
      <w:pPr>
        <w:sectPr>
          <w:pgSz w:w="11900" w:h="16838" w:orient="portrait"/>
          <w:cols w:equalWidth="0" w:num="1">
            <w:col w:w="10239"/>
          </w:cols>
          <w:pgMar w:left="220" w:top="616"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[LOGO]</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97"/>
        </w:trPr>
        <w:tc>
          <w:tcPr>
            <w:tcW w:w="5520" w:type="dxa"/>
            <w:vAlign w:val="bottom"/>
            <w:gridSpan w:val="3"/>
          </w:tcPr>
          <w:p>
            <w:pPr>
              <w:jc w:val="center"/>
              <w:ind w:left="1408"/>
              <w:spacing w:after="0"/>
              <w:rPr>
                <w:sz w:val="20"/>
                <w:szCs w:val="20"/>
                <w:color w:val="auto"/>
              </w:rPr>
            </w:pPr>
            <w:r>
              <w:rPr>
                <w:rFonts w:ascii="Courier New" w:cs="Courier New" w:eastAsia="Courier New" w:hAnsi="Courier New"/>
                <w:sz w:val="14"/>
                <w:szCs w:val="14"/>
                <w:color w:val="auto"/>
              </w:rPr>
              <w:t>QUARTERLY SUPPLEMENTAL DISCLOSURE</w:t>
            </w: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680" w:type="dxa"/>
            <w:vAlign w:val="bottom"/>
          </w:tcPr>
          <w:p>
            <w:pPr>
              <w:spacing w:after="0"/>
              <w:rPr>
                <w:sz w:val="14"/>
                <w:szCs w:val="14"/>
                <w:color w:val="auto"/>
              </w:rPr>
            </w:pP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SEPTEMBER 30, 2001</w:t>
            </w: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5520" w:type="dxa"/>
            <w:vAlign w:val="bottom"/>
            <w:gridSpan w:val="3"/>
          </w:tcPr>
          <w:p>
            <w:pPr>
              <w:jc w:val="center"/>
              <w:ind w:left="1408"/>
              <w:spacing w:after="0"/>
              <w:rPr>
                <w:sz w:val="20"/>
                <w:szCs w:val="20"/>
                <w:color w:val="auto"/>
              </w:rPr>
            </w:pPr>
            <w:r>
              <w:rPr>
                <w:rFonts w:ascii="Courier New" w:cs="Courier New" w:eastAsia="Courier New" w:hAnsi="Courier New"/>
                <w:sz w:val="14"/>
                <w:szCs w:val="14"/>
                <w:color w:val="auto"/>
              </w:rPr>
              <w:t>Portfolio by Region and Property Type</w:t>
            </w: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520" w:type="dxa"/>
            <w:vAlign w:val="bottom"/>
            <w:gridSpan w:val="3"/>
          </w:tcPr>
          <w:p>
            <w:pPr>
              <w:jc w:val="center"/>
              <w:ind w:left="14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(Square Feet)</w:t>
            </w:r>
          </w:p>
        </w:tc>
        <w:tc>
          <w:tcPr>
            <w:tcW w:w="1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97"/>
        </w:trPr>
        <w:tc>
          <w:tcPr>
            <w:tcW w:w="2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Properties</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6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Strip</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Enclosed</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Under</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68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Region</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Mall</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Mall</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Redevelopment(2)</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Retail</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Residential</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80" w:type="dxa"/>
            <w:vAlign w:val="bottom"/>
          </w:tcPr>
          <w:p>
            <w:pPr>
              <w:jc w:val="center"/>
              <w:ind w:left="5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Wholly-Owned Properties</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736,157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177,083</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913,240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913,240</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New York Region</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1,338,076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515,073</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106,671</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1,959,820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1,959,820</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3,240,515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216,226</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3,456,741</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1,136,378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4,593,119</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938,417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938,417</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938,417</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716,402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716,402</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628,891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1,345,293</w:t>
            </w:r>
          </w:p>
        </w:tc>
      </w:tr>
      <w:tr>
        <w:trPr>
          <w:trHeight w:val="166"/>
        </w:trPr>
        <w:tc>
          <w:tcPr>
            <w:tcW w:w="268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Total Wholly-Owned Properties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6,969,567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515,073</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499,980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7,984,620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1,765,269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9,749,889</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Unconsolidated Partnerships -</w:t>
            </w: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New York Region(1)</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310,919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310,919</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310,919</w:t>
            </w:r>
          </w:p>
        </w:tc>
      </w:tr>
      <w:tr>
        <w:trPr>
          <w:trHeight w:val="166"/>
        </w:trPr>
        <w:tc>
          <w:tcPr>
            <w:tcW w:w="268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4"/>
                <w:szCs w:val="2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7,280,486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515,073</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499,980</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8,295,539</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1,765,269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10,060,808</w:t>
            </w:r>
          </w:p>
        </w:tc>
      </w:tr>
      <w:tr>
        <w:trPr>
          <w:trHeight w:val="166"/>
        </w:trPr>
        <w:tc>
          <w:tcPr>
            <w:tcW w:w="268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 of Total Square Feet</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82.5%</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bl>
    <w:p>
      <w:pPr>
        <w:spacing w:after="0" w:line="200" w:lineRule="exact"/>
        <w:rPr>
          <w:sz w:val="20"/>
          <w:szCs w:val="20"/>
          <w:color w:val="auto"/>
        </w:rPr>
      </w:pPr>
    </w:p>
    <w:p>
      <w:pPr>
        <w:spacing w:after="0" w:line="301" w:lineRule="exact"/>
        <w:rPr>
          <w:sz w:val="20"/>
          <w:szCs w:val="20"/>
          <w:color w:val="auto"/>
        </w:rPr>
      </w:pPr>
    </w:p>
    <w:p>
      <w:pPr>
        <w:ind w:left="360" w:hanging="352"/>
        <w:spacing w:after="0"/>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center is 49% owned by unconsolidated partnerships</w:t>
      </w:r>
    </w:p>
    <w:p>
      <w:pPr>
        <w:spacing w:after="0" w:line="172" w:lineRule="exact"/>
        <w:rPr>
          <w:rFonts w:ascii="Courier New" w:cs="Courier New" w:eastAsia="Courier New" w:hAnsi="Courier New"/>
          <w:sz w:val="14"/>
          <w:szCs w:val="14"/>
          <w:color w:val="auto"/>
        </w:rPr>
      </w:pPr>
    </w:p>
    <w:p>
      <w:pPr>
        <w:ind w:left="360" w:right="4660" w:hanging="352"/>
        <w:spacing w:after="0" w:line="255"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currently has 4 redevelopment projects as further described on page 41</w:t>
      </w:r>
    </w:p>
    <w:p>
      <w:pPr>
        <w:sectPr>
          <w:pgSz w:w="11900" w:h="16838" w:orient="portrait"/>
          <w:cols w:equalWidth="0" w:num="1">
            <w:col w:w="11380"/>
          </w:cols>
          <w:pgMar w:left="220" w:top="616" w:right="2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2"/>
        </w:trPr>
        <w:tc>
          <w:tcPr>
            <w:tcW w:w="448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QUARTERLY SUPPLEMENTAL DISCLOSURE</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SEPTEMBER 30, 2001</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[LOGO]</w:t>
            </w:r>
          </w:p>
        </w:tc>
      </w:tr>
      <w:tr>
        <w:trPr>
          <w:trHeight w:val="331"/>
        </w:trPr>
        <w:tc>
          <w:tcPr>
            <w:tcW w:w="448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Retail Properties by Region - Summary</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48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28"/>
        </w:trPr>
        <w:tc>
          <w:tcPr>
            <w:tcW w:w="4480" w:type="dxa"/>
            <w:vAlign w:val="bottom"/>
          </w:tcPr>
          <w:p>
            <w:pPr>
              <w:spacing w:after="0"/>
              <w:rPr>
                <w:sz w:val="24"/>
                <w:szCs w:val="2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Leasable Area</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w:t>
            </w:r>
          </w:p>
        </w:tc>
        <w:tc>
          <w:tcPr>
            <w:tcW w:w="780" w:type="dxa"/>
            <w:vAlign w:val="bottom"/>
          </w:tcPr>
          <w:p>
            <w:pPr>
              <w:spacing w:after="0"/>
              <w:rPr>
                <w:sz w:val="24"/>
                <w:szCs w:val="24"/>
                <w:color w:val="auto"/>
              </w:rPr>
            </w:pP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Anchors(1)</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Shops</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Anchors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Shops</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Wholly-Owned Retail Properties</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4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448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2,405,913</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834,602</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3,240,515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94.27%</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91.53%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307,225</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409,177</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716,402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91.44%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446,756</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289,401</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736,157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96.68%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New York Region</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1,228,736</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624,413</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1,853,149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98.32%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91.52%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419,981</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518,436</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938,417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81.86%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73.18%</w:t>
            </w:r>
          </w:p>
        </w:tc>
      </w:tr>
      <w:tr>
        <w:trPr>
          <w:trHeight w:val="331"/>
        </w:trPr>
        <w:tc>
          <w:tcPr>
            <w:tcW w:w="4480" w:type="dxa"/>
            <w:vAlign w:val="bottom"/>
          </w:tcPr>
          <w:p>
            <w:pPr>
              <w:spacing w:after="0"/>
              <w:rPr>
                <w:sz w:val="24"/>
                <w:szCs w:val="2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Total Retail Properties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4,808,611</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2,676,029</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7,484,640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95.12%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89.73%</w:t>
            </w: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Redevelopment Properties(2)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362,970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137,010</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499,980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72.52%</w:t>
            </w:r>
          </w:p>
        </w:tc>
      </w:tr>
      <w:tr>
        <w:trPr>
          <w:trHeight w:val="331"/>
        </w:trPr>
        <w:tc>
          <w:tcPr>
            <w:tcW w:w="4480" w:type="dxa"/>
            <w:vAlign w:val="bottom"/>
          </w:tcPr>
          <w:p>
            <w:pPr>
              <w:spacing w:after="0"/>
              <w:rPr>
                <w:sz w:val="24"/>
                <w:szCs w:val="2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Grand Total - Wholly-Owned Retail Properties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5,171,581</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2,813,039</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7,984,620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93.44%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88.65%</w:t>
            </w: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48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Unconsolidated Retail Properties</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New York Region(3)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191,363</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119,556</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310,919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96.01%</w:t>
            </w:r>
          </w:p>
        </w:tc>
      </w:tr>
      <w:tr>
        <w:trPr>
          <w:trHeight w:val="331"/>
        </w:trPr>
        <w:tc>
          <w:tcPr>
            <w:tcW w:w="4480" w:type="dxa"/>
            <w:vAlign w:val="bottom"/>
          </w:tcPr>
          <w:p>
            <w:pPr>
              <w:spacing w:after="0"/>
              <w:rPr>
                <w:sz w:val="24"/>
                <w:szCs w:val="2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191,363</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119,556</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310,919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96.01%</w:t>
            </w: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947" w:right="299"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[RESTUBBED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Annualized Base Rent</w:t>
            </w:r>
          </w:p>
        </w:tc>
      </w:tr>
      <w:tr>
        <w:trPr>
          <w:trHeight w:val="166"/>
        </w:trPr>
        <w:tc>
          <w:tcPr>
            <w:tcW w:w="448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Annualized Base Rent</w:t>
            </w:r>
          </w:p>
        </w:tc>
        <w:tc>
          <w:tcPr>
            <w:tcW w:w="1160" w:type="dxa"/>
            <w:vAlign w:val="bottom"/>
          </w:tcPr>
          <w:p>
            <w:pPr>
              <w:spacing w:after="0"/>
              <w:rPr>
                <w:sz w:val="14"/>
                <w:szCs w:val="14"/>
                <w:color w:val="auto"/>
              </w:rPr>
            </w:pPr>
          </w:p>
        </w:tc>
        <w:tc>
          <w:tcPr>
            <w:tcW w:w="314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4"/>
                <w:szCs w:val="2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Anchors</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Shops</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Anchors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Shops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Totals</w:t>
            </w: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Wholly-Owned Retail Properties</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4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497"/>
        </w:trPr>
        <w:tc>
          <w:tcPr>
            <w:tcW w:w="448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$ 9,203,911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$ 5,753,365</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$ 14,957,276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$ 4.06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$ 5.04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2,318,241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4,483,116</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6,801,357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3,423,274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2,276,959</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5,700,233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9.80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9.28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New York Region</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9,816,244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7,392,579</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17,208,823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8.13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10.15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1,190,245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1,878,001</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3,068,246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3.46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4.47</w:t>
            </w:r>
          </w:p>
        </w:tc>
      </w:tr>
      <w:tr>
        <w:trPr>
          <w:trHeight w:val="331"/>
        </w:trPr>
        <w:tc>
          <w:tcPr>
            <w:tcW w:w="4480" w:type="dxa"/>
            <w:vAlign w:val="bottom"/>
          </w:tcPr>
          <w:p>
            <w:pPr>
              <w:spacing w:after="0"/>
              <w:rPr>
                <w:sz w:val="24"/>
                <w:szCs w:val="2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1560"/>
              <w:spacing w:after="0"/>
              <w:rPr>
                <w:sz w:val="20"/>
                <w:szCs w:val="20"/>
                <w:color w:val="auto"/>
              </w:rPr>
            </w:pPr>
            <w:r>
              <w:rPr>
                <w:rFonts w:ascii="Courier New" w:cs="Courier New" w:eastAsia="Courier New" w:hAnsi="Courier New"/>
                <w:sz w:val="14"/>
                <w:szCs w:val="14"/>
                <w:color w:val="auto"/>
              </w:rPr>
              <w:t>Total Retail Properties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25,951,915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21,784,020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47,735,935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7.21</w:t>
            </w: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Redevelopment Properties(2)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572,221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1,952,240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2,524,461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5.68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12.32</w:t>
            </w:r>
          </w:p>
        </w:tc>
      </w:tr>
      <w:tr>
        <w:trPr>
          <w:trHeight w:val="331"/>
        </w:trPr>
        <w:tc>
          <w:tcPr>
            <w:tcW w:w="4480" w:type="dxa"/>
            <w:vAlign w:val="bottom"/>
          </w:tcPr>
          <w:p>
            <w:pPr>
              <w:spacing w:after="0"/>
              <w:rPr>
                <w:sz w:val="24"/>
                <w:szCs w:val="2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jc w:val="center"/>
              <w:ind w:left="468"/>
              <w:spacing w:after="0"/>
              <w:rPr>
                <w:sz w:val="20"/>
                <w:szCs w:val="20"/>
                <w:color w:val="auto"/>
              </w:rPr>
            </w:pPr>
            <w:r>
              <w:rPr>
                <w:rFonts w:ascii="Courier New" w:cs="Courier New" w:eastAsia="Courier New" w:hAnsi="Courier New"/>
                <w:sz w:val="14"/>
                <w:szCs w:val="14"/>
                <w:color w:val="auto"/>
              </w:rPr>
              <w:t>Grand Total - Wholly-Owned Retail Properties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26,524,136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23,736,260</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50,260,396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5.79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48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Unconsolidated Retail Properties</w:t>
            </w: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New York Region(3)</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1,790,546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3,102,629</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4,893,175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9.36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16.39</w:t>
            </w:r>
          </w:p>
        </w:tc>
      </w:tr>
      <w:tr>
        <w:trPr>
          <w:trHeight w:val="331"/>
        </w:trPr>
        <w:tc>
          <w:tcPr>
            <w:tcW w:w="4480" w:type="dxa"/>
            <w:vAlign w:val="bottom"/>
          </w:tcPr>
          <w:p>
            <w:pPr>
              <w:spacing w:after="0"/>
              <w:rPr>
                <w:sz w:val="24"/>
                <w:szCs w:val="2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$ 1,790,546</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$ 3,102,629</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$ 4,893,175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$ 9.36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$ 16.39</w:t>
            </w:r>
          </w:p>
        </w:tc>
      </w:tr>
      <w:tr>
        <w:trPr>
          <w:trHeight w:val="166"/>
        </w:trPr>
        <w:tc>
          <w:tcPr>
            <w:tcW w:w="4480" w:type="dxa"/>
            <w:vAlign w:val="bottom"/>
          </w:tcPr>
          <w:p>
            <w:pPr>
              <w:spacing w:after="0"/>
              <w:rPr>
                <w:sz w:val="14"/>
                <w:szCs w:val="14"/>
                <w:color w:val="auto"/>
              </w:rPr>
            </w:pPr>
          </w:p>
        </w:tc>
        <w:tc>
          <w:tcPr>
            <w:tcW w:w="6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right="4660"/>
        <w:spacing w:after="0" w:line="252" w:lineRule="auto"/>
        <w:rPr>
          <w:sz w:val="20"/>
          <w:szCs w:val="20"/>
          <w:color w:val="auto"/>
        </w:rPr>
      </w:pPr>
      <w:r>
        <w:rPr>
          <w:rFonts w:ascii="Courier New" w:cs="Courier New" w:eastAsia="Courier New" w:hAnsi="Courier New"/>
          <w:sz w:val="14"/>
          <w:szCs w:val="14"/>
          <w:color w:val="auto"/>
        </w:rPr>
        <w:t>General note - The above occupancy and rent amounts do not include space which is currently leased, but for which rent payment has not yet commenced. Tenants who comprise greater than 10% of a center's GLA are considered anchor tenants.</w:t>
      </w:r>
    </w:p>
    <w:p>
      <w:pPr>
        <w:spacing w:after="0" w:line="163" w:lineRule="exact"/>
        <w:rPr>
          <w:sz w:val="20"/>
          <w:szCs w:val="20"/>
          <w:color w:val="auto"/>
        </w:rPr>
      </w:pPr>
    </w:p>
    <w:p>
      <w:pPr>
        <w:ind w:left="440" w:right="4740" w:hanging="432"/>
        <w:spacing w:after="0" w:line="250"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GLA includes a total of 254,916 square feet which is not owned by the Company. This square footage has been adjusted out in calculating annualized base rent per square foot.</w:t>
      </w:r>
    </w:p>
    <w:p>
      <w:pPr>
        <w:spacing w:after="0" w:line="1" w:lineRule="exact"/>
        <w:rPr>
          <w:rFonts w:ascii="Courier New" w:cs="Courier New" w:eastAsia="Courier New" w:hAnsi="Courier New"/>
          <w:sz w:val="14"/>
          <w:szCs w:val="14"/>
          <w:color w:val="auto"/>
        </w:rPr>
      </w:pPr>
    </w:p>
    <w:p>
      <w:pPr>
        <w:ind w:left="440" w:right="4560" w:hanging="432"/>
        <w:spacing w:after="0" w:line="250"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currently has 4 redevelopment projects as further described on page 41</w:t>
      </w:r>
    </w:p>
    <w:p>
      <w:pPr>
        <w:ind w:left="440" w:right="4480" w:hanging="432"/>
        <w:spacing w:after="0" w:line="255"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49% interest in two partnerships which, together, own the Crossroads Shopping Center.</w:t>
      </w:r>
    </w:p>
    <w:p>
      <w:pPr>
        <w:sectPr>
          <w:pgSz w:w="11900" w:h="16838" w:orient="portrait"/>
          <w:cols w:equalWidth="0" w:num="1">
            <w:col w:w="11380"/>
          </w:cols>
          <w:pgMar w:left="220" w:top="616"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QUARTERLY SUPPLEMENTAL DISCLOSURE</w:t>
            </w: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[LOGO]</w:t>
            </w:r>
          </w:p>
        </w:tc>
      </w:tr>
      <w:tr>
        <w:trPr>
          <w:trHeight w:val="166"/>
        </w:trPr>
        <w:tc>
          <w:tcPr>
            <w:tcW w:w="520" w:type="dxa"/>
            <w:vAlign w:val="bottom"/>
          </w:tcPr>
          <w:p>
            <w:pPr>
              <w:spacing w:after="0"/>
              <w:rPr>
                <w:sz w:val="14"/>
                <w:szCs w:val="14"/>
                <w:color w:val="auto"/>
              </w:rPr>
            </w:pPr>
          </w:p>
        </w:tc>
        <w:tc>
          <w:tcPr>
            <w:tcW w:w="33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SEPTEMBER 30, 2001</w:t>
            </w: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97"/>
        </w:trPr>
        <w:tc>
          <w:tcPr>
            <w:tcW w:w="388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Commercial Properties by Region - Detail</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8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7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Gross Leasable Area</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Occupancy</w:t>
            </w:r>
          </w:p>
        </w:tc>
        <w:tc>
          <w:tcPr>
            <w:tcW w:w="96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Anchors</w:t>
            </w:r>
          </w:p>
        </w:tc>
        <w:tc>
          <w:tcPr>
            <w:tcW w:w="17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Shops</w:t>
            </w:r>
          </w:p>
        </w:tc>
        <w:tc>
          <w:tcPr>
            <w:tcW w:w="10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Total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Anchors</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Shops</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spacing w:after="0"/>
              <w:rPr>
                <w:sz w:val="24"/>
                <w:szCs w:val="24"/>
                <w:color w:val="auto"/>
              </w:rPr>
            </w:pPr>
          </w:p>
        </w:tc>
        <w:tc>
          <w:tcPr>
            <w:tcW w:w="33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Retail Properties - Wholly Owned</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33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520" w:type="dxa"/>
            <w:vAlign w:val="bottom"/>
          </w:tcPr>
          <w:p>
            <w:pPr>
              <w:spacing w:after="0"/>
              <w:rPr>
                <w:sz w:val="24"/>
                <w:szCs w:val="24"/>
                <w:color w:val="auto"/>
              </w:rPr>
            </w:pPr>
          </w:p>
        </w:tc>
        <w:tc>
          <w:tcPr>
            <w:tcW w:w="33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Mid-Atlantic</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336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3"/>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Pennsylvania</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AMES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88,354</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96,154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91.89%</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BIRNEY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135,493</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58,406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193,899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95.72%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98.71%</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BLACKMAN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104,956</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16,250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121,206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43.08%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92.37%</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BRADFORD TOWNE CENTRE</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146,499</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110,220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256,719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87.85%</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CIRCLE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92,171</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92,171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DUNMORE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39,680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EAST END CENTER</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176,200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132,227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308,427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91.32%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96.28%</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GREENRIDGE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145,420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52,882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198,302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72.52%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92.67%</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KINGSTON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51,500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13,324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64,824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84.99%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96.91%</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LUZERNE STREET SHOPPING CENTER (1)</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54,618</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3,097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57,715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47.47%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97.18%</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MARK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157,595</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56,426</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214,021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87.59%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96.73%</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MONROE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128,129</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2,440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130,569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41.86%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98.91%</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MOUNTAINVILLE SHOPPING CENTER</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69,608</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49,239</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118,847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90.86%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96.21%</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PITTSTON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67,568</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79,568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15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81,800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31,730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113,530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92.12%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97.80%</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422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124,113</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30,678</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154,791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86.64%</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ROUTE 6 MALL</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119,658</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55,824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175,482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97.31%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99.14%</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SHILLINGTON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134,607</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16,135</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150,742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25TH STREET SHOPPING CENTER</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28,800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102,677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131,477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93.47%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94.90%</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UNION PLAZA (2)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217,992</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217,992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VALMONT PLAZA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137,817</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62,347</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91.18%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28.40%</w:t>
            </w:r>
          </w:p>
        </w:tc>
      </w:tr>
      <w:tr>
        <w:trPr>
          <w:trHeight w:val="166"/>
        </w:trPr>
        <w:tc>
          <w:tcPr>
            <w:tcW w:w="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Total: Pennsylvania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2,302,578</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819,402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3,121,980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94.01%</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84.11%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91.42%</w:t>
            </w:r>
          </w:p>
        </w:tc>
      </w:tr>
      <w:tr>
        <w:trPr>
          <w:trHeight w:val="166"/>
        </w:trPr>
        <w:tc>
          <w:tcPr>
            <w:tcW w:w="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Virginia</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KINGS FAIRGROUNDS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103,335</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118,535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94.60%</w:t>
            </w:r>
          </w:p>
        </w:tc>
      </w:tr>
      <w:tr>
        <w:trPr>
          <w:trHeight w:val="166"/>
        </w:trPr>
        <w:tc>
          <w:tcPr>
            <w:tcW w:w="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Total: Virginia</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103,335</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118,535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94.60%</w:t>
            </w:r>
          </w:p>
        </w:tc>
      </w:tr>
      <w:tr>
        <w:trPr>
          <w:trHeight w:val="166"/>
        </w:trPr>
        <w:tc>
          <w:tcPr>
            <w:tcW w:w="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spacing w:after="0"/>
              <w:rPr>
                <w:sz w:val="24"/>
                <w:szCs w:val="24"/>
                <w:color w:val="auto"/>
              </w:rPr>
            </w:pPr>
          </w:p>
        </w:tc>
        <w:tc>
          <w:tcPr>
            <w:tcW w:w="3360" w:type="dxa"/>
            <w:vAlign w:val="bottom"/>
          </w:tcPr>
          <w:p>
            <w:pPr>
              <w:ind w:left="1560"/>
              <w:spacing w:after="0"/>
              <w:rPr>
                <w:sz w:val="20"/>
                <w:szCs w:val="20"/>
                <w:color w:val="auto"/>
              </w:rPr>
            </w:pPr>
            <w:r>
              <w:rPr>
                <w:rFonts w:ascii="Courier New" w:cs="Courier New" w:eastAsia="Courier New" w:hAnsi="Courier New"/>
                <w:sz w:val="14"/>
                <w:szCs w:val="14"/>
                <w:color w:val="auto"/>
              </w:rPr>
              <w:t>Total: Mid-Atlantic</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2,405,913</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834,602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3,240,515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94.27%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91.53%</w:t>
            </w:r>
          </w:p>
        </w:tc>
      </w:tr>
      <w:tr>
        <w:trPr>
          <w:trHeight w:val="166"/>
        </w:trPr>
        <w:tc>
          <w:tcPr>
            <w:tcW w:w="5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00"/>
          </w:cols>
          <w:pgMar w:left="220" w:top="1113" w:right="37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[RESTUBBED TABLE]</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63"/>
        </w:trPr>
        <w:tc>
          <w:tcPr>
            <w:tcW w:w="4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[LOGO]</w:t>
            </w:r>
          </w:p>
        </w:tc>
      </w:tr>
      <w:tr>
        <w:trPr>
          <w:trHeight w:val="331"/>
        </w:trPr>
        <w:tc>
          <w:tcPr>
            <w:tcW w:w="480" w:type="dxa"/>
            <w:vAlign w:val="bottom"/>
          </w:tcPr>
          <w:p>
            <w:pPr>
              <w:spacing w:after="0"/>
              <w:rPr>
                <w:sz w:val="24"/>
                <w:szCs w:val="24"/>
                <w:color w:val="auto"/>
              </w:rPr>
            </w:pPr>
          </w:p>
        </w:tc>
        <w:tc>
          <w:tcPr>
            <w:tcW w:w="4180" w:type="dxa"/>
            <w:vAlign w:val="bottom"/>
          </w:tcPr>
          <w:p>
            <w:pPr>
              <w:ind w:left="480"/>
              <w:spacing w:after="0"/>
              <w:rPr>
                <w:sz w:val="20"/>
                <w:szCs w:val="20"/>
                <w:color w:val="auto"/>
              </w:rPr>
            </w:pPr>
            <w:r>
              <w:rPr>
                <w:rFonts w:ascii="Courier New" w:cs="Courier New" w:eastAsia="Courier New" w:hAnsi="Courier New"/>
                <w:sz w:val="14"/>
                <w:szCs w:val="14"/>
                <w:color w:val="auto"/>
              </w:rPr>
              <w:t>Commercial Properties by Region - Detail</w:t>
            </w:r>
          </w:p>
        </w:tc>
        <w:tc>
          <w:tcPr>
            <w:tcW w:w="2660" w:type="dxa"/>
            <w:vAlign w:val="bottom"/>
            <w:gridSpan w:val="2"/>
          </w:tcPr>
          <w:p>
            <w:pPr>
              <w:ind w:left="260"/>
              <w:spacing w:after="0"/>
              <w:rPr>
                <w:sz w:val="20"/>
                <w:szCs w:val="20"/>
                <w:color w:val="auto"/>
              </w:rPr>
            </w:pPr>
            <w:r>
              <w:rPr>
                <w:rFonts w:ascii="Courier New" w:cs="Courier New" w:eastAsia="Courier New" w:hAnsi="Courier New"/>
                <w:sz w:val="7"/>
                <w:szCs w:val="7"/>
                <w:color w:val="auto"/>
                <w:w w:val="75"/>
              </w:rPr>
              <w:t>---------------------------------------------------------------------------</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41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Annualized Base Rent</w:t>
            </w:r>
          </w:p>
        </w:tc>
        <w:tc>
          <w:tcPr>
            <w:tcW w:w="52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Annualized Base Rent</w:t>
            </w:r>
          </w:p>
        </w:tc>
        <w:tc>
          <w:tcPr>
            <w:tcW w:w="1260" w:type="dxa"/>
            <w:vAlign w:val="bottom"/>
          </w:tcPr>
          <w:p>
            <w:pPr>
              <w:spacing w:after="0"/>
              <w:rPr>
                <w:sz w:val="14"/>
                <w:szCs w:val="14"/>
                <w:color w:val="auto"/>
              </w:rPr>
            </w:pPr>
          </w:p>
        </w:tc>
        <w:tc>
          <w:tcPr>
            <w:tcW w:w="28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7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Anchors</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Shops</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Anchors</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Shops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7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4180" w:type="dxa"/>
            <w:vAlign w:val="bottom"/>
          </w:tcPr>
          <w:p>
            <w:pPr>
              <w:ind w:left="1080"/>
              <w:spacing w:after="0"/>
              <w:rPr>
                <w:sz w:val="20"/>
                <w:szCs w:val="20"/>
                <w:color w:val="auto"/>
              </w:rPr>
            </w:pPr>
            <w:r>
              <w:rPr>
                <w:rFonts w:ascii="Courier New" w:cs="Courier New" w:eastAsia="Courier New" w:hAnsi="Courier New"/>
                <w:sz w:val="14"/>
                <w:szCs w:val="14"/>
                <w:color w:val="auto"/>
              </w:rPr>
              <w:t>Retail Properties - Wholly Owned</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4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480" w:type="dxa"/>
            <w:vAlign w:val="bottom"/>
          </w:tcPr>
          <w:p>
            <w:pPr>
              <w:spacing w:after="0"/>
              <w:rPr>
                <w:sz w:val="24"/>
                <w:szCs w:val="24"/>
                <w:color w:val="auto"/>
              </w:rPr>
            </w:pPr>
          </w:p>
        </w:tc>
        <w:tc>
          <w:tcPr>
            <w:tcW w:w="4180" w:type="dxa"/>
            <w:vAlign w:val="bottom"/>
          </w:tcPr>
          <w:p>
            <w:pPr>
              <w:ind w:left="1940"/>
              <w:spacing w:after="0"/>
              <w:rPr>
                <w:sz w:val="20"/>
                <w:szCs w:val="20"/>
                <w:color w:val="auto"/>
              </w:rPr>
            </w:pPr>
            <w:r>
              <w:rPr>
                <w:rFonts w:ascii="Courier New" w:cs="Courier New" w:eastAsia="Courier New" w:hAnsi="Courier New"/>
                <w:sz w:val="14"/>
                <w:szCs w:val="14"/>
                <w:color w:val="auto"/>
              </w:rPr>
              <w:t>Mid-Atlantic</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418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497"/>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Pennsylvania</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AMES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189,263</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189,263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BIRNEY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311,544</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335,250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646,794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BLACKMAN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204,664</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17,500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222,164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BRADFORD TOWNE CENTRE</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887,469</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516,852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1,404,321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6.06</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6.23</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CIRCLE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252,289</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252,289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DUNMORE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89,134</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63,935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153,069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EAST END CENTER</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1,117,500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1,054,130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2,171,630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8.73</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7.31</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GREENRIDGE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659,405</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363,424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1,022,829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4.53</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KINGSTON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284,000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117,050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401,050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LUZERNE STREET SHOPPING CENTER (1)</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272,150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18,890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291,040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4.98</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12.85</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5.19</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MARK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625,776</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367,482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993,258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3.97</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MONROE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423,718</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18,720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442,438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18.33</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MOUNTAINVILLE SHOPPING CENTER</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309,000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363,387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672,387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PITTSTON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496,446</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119,125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615,571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9.93</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15</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216,988</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147,833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364,821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422</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262,030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63,450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325,480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ROUTE 6 MALL</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687,951</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369,977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1,057,928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SHILLINGTON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367,720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212,260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579,980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2.73</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25TH STREET SHOPPING CENTER</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274,450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1,190,232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1,464,682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9.53</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11.74</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UNION PLAZA (2)</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938,730</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938,730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4.31</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VALMONT PLAZA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371,868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371,868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6.54</w:t>
            </w:r>
          </w:p>
        </w:tc>
      </w:tr>
      <w:tr>
        <w:trPr>
          <w:trHeight w:val="166"/>
        </w:trPr>
        <w:tc>
          <w:tcPr>
            <w:tcW w:w="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7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Total: Pennsylvania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8,870,227</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5,711,365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14,581,592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w:t>
            </w:r>
          </w:p>
        </w:tc>
      </w:tr>
      <w:tr>
        <w:trPr>
          <w:trHeight w:val="166"/>
        </w:trPr>
        <w:tc>
          <w:tcPr>
            <w:tcW w:w="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7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Virginia</w:t>
            </w: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KINGS FAIRGROUNDS</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333,684</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42,000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375,684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3.23</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w:t>
            </w:r>
          </w:p>
        </w:tc>
      </w:tr>
      <w:tr>
        <w:trPr>
          <w:trHeight w:val="166"/>
        </w:trPr>
        <w:tc>
          <w:tcPr>
            <w:tcW w:w="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7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Total: Virginia</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333,684</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42,000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375,684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3.23</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w:t>
            </w:r>
          </w:p>
        </w:tc>
      </w:tr>
      <w:tr>
        <w:trPr>
          <w:trHeight w:val="166"/>
        </w:trPr>
        <w:tc>
          <w:tcPr>
            <w:tcW w:w="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7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4180" w:type="dxa"/>
            <w:vAlign w:val="bottom"/>
          </w:tcPr>
          <w:p>
            <w:pPr>
              <w:ind w:left="1600"/>
              <w:spacing w:after="0"/>
              <w:rPr>
                <w:sz w:val="20"/>
                <w:szCs w:val="20"/>
                <w:color w:val="auto"/>
              </w:rPr>
            </w:pPr>
            <w:r>
              <w:rPr>
                <w:rFonts w:ascii="Courier New" w:cs="Courier New" w:eastAsia="Courier New" w:hAnsi="Courier New"/>
                <w:sz w:val="14"/>
                <w:szCs w:val="14"/>
                <w:color w:val="auto"/>
              </w:rPr>
              <w:t>Total: Mid-Atlantic</w:t>
            </w:r>
          </w:p>
        </w:tc>
        <w:tc>
          <w:tcPr>
            <w:tcW w:w="13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9,203,911</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5,753,365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14,957,276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4.06</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5.04</w:t>
            </w:r>
          </w:p>
        </w:tc>
      </w:tr>
      <w:tr>
        <w:trPr>
          <w:trHeight w:val="166"/>
        </w:trPr>
        <w:tc>
          <w:tcPr>
            <w:tcW w:w="4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7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4660"/>
        <w:spacing w:after="0" w:line="252" w:lineRule="auto"/>
        <w:rPr>
          <w:sz w:val="20"/>
          <w:szCs w:val="20"/>
          <w:color w:val="auto"/>
        </w:rPr>
      </w:pPr>
      <w:r>
        <w:rPr>
          <w:rFonts w:ascii="Courier New" w:cs="Courier New" w:eastAsia="Courier New" w:hAnsi="Courier New"/>
          <w:sz w:val="14"/>
          <w:szCs w:val="14"/>
          <w:color w:val="auto"/>
        </w:rPr>
        <w:t>General note - The above occupancy and rent amounts do not include space which is currently leased, but for which rent payment has not yet commenced. Tenants who comprise greater than 10% of a center's GLA are considered anchor tenants.</w:t>
      </w:r>
    </w:p>
    <w:p>
      <w:pPr>
        <w:spacing w:after="0" w:line="163" w:lineRule="exact"/>
        <w:rPr>
          <w:sz w:val="20"/>
          <w:szCs w:val="20"/>
          <w:color w:val="auto"/>
        </w:rPr>
      </w:pPr>
    </w:p>
    <w:p>
      <w:pPr>
        <w:ind w:left="440" w:right="4480" w:hanging="432"/>
        <w:spacing w:after="0" w:line="250"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Chopper supermarket occupying 40,618 square feet is not operating but continues to pay rent pursuant to their lease.</w:t>
      </w:r>
    </w:p>
    <w:p>
      <w:pPr>
        <w:ind w:left="440" w:right="4480" w:hanging="432"/>
        <w:spacing w:after="0" w:line="251" w:lineRule="auto"/>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property is currently under contract for sale and is reflected as held for sale in the Company's September 30, 2001 financial statements. Ames filed to reject their lease in 94,000 square feet at this property subsequent to the third quarter 2001. Provisions have been set forth in the contract dealing with Ames and the Company anticipates completing the sale by the first quarter of 2002. This space is reflected as occupied as of September 30, 2001.</w:t>
      </w:r>
    </w:p>
    <w:p>
      <w:pPr>
        <w:sectPr>
          <w:pgSz w:w="11900" w:h="16838" w:orient="portrait"/>
          <w:cols w:equalWidth="0" w:num="1">
            <w:col w:w="11380"/>
          </w:cols>
          <w:pgMar w:left="220" w:top="616" w:right="299" w:bottom="1440" w:gutter="0" w:footer="0" w:header="0"/>
        </w:sectPr>
      </w:pPr>
    </w:p>
    <w:bookmarkStart w:id="44" w:name="page45"/>
    <w:bookmarkEnd w:id="44"/>
    <w:p>
      <w:pPr>
        <w:jc w:val="right"/>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QUARTERLY SUPPLEMENTAL DISCOLSURE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SEPTEMBER 30, 2001</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4620" w:type="dxa"/>
            <w:vAlign w:val="bottom"/>
          </w:tcPr>
          <w:p>
            <w:pPr>
              <w:ind w:left="960"/>
              <w:spacing w:after="0"/>
              <w:rPr>
                <w:sz w:val="20"/>
                <w:szCs w:val="20"/>
                <w:color w:val="auto"/>
              </w:rPr>
            </w:pPr>
            <w:r>
              <w:rPr>
                <w:rFonts w:ascii="Courier New" w:cs="Courier New" w:eastAsia="Courier New" w:hAnsi="Courier New"/>
                <w:sz w:val="14"/>
                <w:szCs w:val="14"/>
                <w:color w:val="auto"/>
              </w:rPr>
              <w:t>Commercial Properties by Region - Detail</w:t>
            </w:r>
          </w:p>
        </w:tc>
        <w:tc>
          <w:tcPr>
            <w:tcW w:w="2620" w:type="dxa"/>
            <w:vAlign w:val="bottom"/>
            <w:gridSpan w:val="2"/>
          </w:tcPr>
          <w:p>
            <w:pPr>
              <w:ind w:left="300"/>
              <w:spacing w:after="0"/>
              <w:rPr>
                <w:sz w:val="20"/>
                <w:szCs w:val="20"/>
                <w:color w:val="auto"/>
              </w:rPr>
            </w:pPr>
            <w:r>
              <w:rPr>
                <w:rFonts w:ascii="Courier New" w:cs="Courier New" w:eastAsia="Courier New" w:hAnsi="Courier New"/>
                <w:sz w:val="7"/>
                <w:szCs w:val="7"/>
                <w:color w:val="auto"/>
                <w:w w:val="73"/>
              </w:rPr>
              <w:t>---------------------------------------------------------------------------</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Gross Leaseable Area</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tcPr>
          <w:p>
            <w:pPr>
              <w:jc w:val="center"/>
              <w:ind w:left="568"/>
              <w:spacing w:after="0"/>
              <w:rPr>
                <w:sz w:val="20"/>
                <w:szCs w:val="20"/>
                <w:color w:val="auto"/>
              </w:rPr>
            </w:pPr>
            <w:r>
              <w:rPr>
                <w:rFonts w:ascii="Courier New" w:cs="Courier New" w:eastAsia="Courier New" w:hAnsi="Courier New"/>
                <w:sz w:val="14"/>
                <w:szCs w:val="14"/>
                <w:color w:val="auto"/>
              </w:rPr>
              <w:t>Occupancy</w:t>
            </w:r>
          </w:p>
        </w:tc>
        <w:tc>
          <w:tcPr>
            <w:tcW w:w="78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676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14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Anchors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Shops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w:t>
            </w:r>
          </w:p>
        </w:tc>
        <w:tc>
          <w:tcPr>
            <w:tcW w:w="17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Anchors</w:t>
            </w:r>
          </w:p>
        </w:tc>
        <w:tc>
          <w:tcPr>
            <w:tcW w:w="6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Shops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620" w:type="dxa"/>
            <w:vAlign w:val="bottom"/>
          </w:tcPr>
          <w:p>
            <w:pPr>
              <w:spacing w:after="0"/>
              <w:rPr>
                <w:sz w:val="14"/>
                <w:szCs w:val="14"/>
                <w:color w:val="auto"/>
              </w:rPr>
            </w:pPr>
          </w:p>
        </w:tc>
        <w:tc>
          <w:tcPr>
            <w:tcW w:w="6760" w:type="dxa"/>
            <w:vAlign w:val="bottom"/>
            <w:gridSpan w:val="7"/>
          </w:tcPr>
          <w:p>
            <w:pPr>
              <w:ind w:left="30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jc w:val="center"/>
              <w:ind w:left="1188"/>
              <w:spacing w:after="0"/>
              <w:rPr>
                <w:sz w:val="20"/>
                <w:szCs w:val="20"/>
                <w:color w:val="auto"/>
              </w:rPr>
            </w:pPr>
            <w:r>
              <w:rPr>
                <w:rFonts w:ascii="Courier New" w:cs="Courier New" w:eastAsia="Courier New" w:hAnsi="Courier New"/>
                <w:sz w:val="14"/>
                <w:szCs w:val="14"/>
                <w:color w:val="auto"/>
              </w:rPr>
              <w:t>Retail Properties - Wholly Owned</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jc w:val="center"/>
              <w:ind w:left="1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620" w:type="dxa"/>
            <w:vAlign w:val="bottom"/>
          </w:tcPr>
          <w:p>
            <w:pPr>
              <w:ind w:left="2600"/>
              <w:spacing w:after="0"/>
              <w:rPr>
                <w:sz w:val="20"/>
                <w:szCs w:val="20"/>
                <w:color w:val="auto"/>
              </w:rPr>
            </w:pPr>
            <w:r>
              <w:rPr>
                <w:rFonts w:ascii="Courier New" w:cs="Courier New" w:eastAsia="Courier New" w:hAnsi="Courier New"/>
                <w:sz w:val="14"/>
                <w:szCs w:val="14"/>
                <w:color w:val="auto"/>
              </w:rPr>
              <w:t>Midwest</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HOBSON WEST PLAZA</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42,037</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57,913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99,950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94.02%</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96.54%</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Illinois</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42,037</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57,913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99,950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94.02%</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96.54%</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Indiana</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MERRILLVILLE PLAZA</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101,357</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134,063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235,420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98.50%</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99.15%</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Indiana</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101,357</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134,063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235,420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98.50%</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99.15%</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BLOOMFIELD TOWN SQUARE</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105,646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118,749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224,395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70.62%</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84.45%</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Michigan</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105,646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118,749</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224,395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70.62%</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84.45%</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Ohio</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MAD RIVER STATION (1)</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58,185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98,452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156,637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78.69%</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86.61%</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Ohio</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58,185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98,452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156,637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78.69%</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86.61%</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jc w:val="center"/>
              <w:ind w:left="1188"/>
              <w:spacing w:after="0"/>
              <w:rPr>
                <w:sz w:val="20"/>
                <w:szCs w:val="20"/>
                <w:color w:val="auto"/>
              </w:rPr>
            </w:pPr>
            <w:r>
              <w:rPr>
                <w:rFonts w:ascii="Courier New" w:cs="Courier New" w:eastAsia="Courier New" w:hAnsi="Courier New"/>
                <w:sz w:val="14"/>
                <w:szCs w:val="14"/>
                <w:color w:val="auto"/>
              </w:rPr>
              <w:t>Total: Midwest</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307,225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409,177</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716,402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85.01%</w:t>
            </w:r>
          </w:p>
        </w:tc>
        <w:tc>
          <w:tcPr>
            <w:tcW w:w="6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91.44%</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New England</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TOWN LINE PLAZA (2)</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161,965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43,893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205,858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100.00%</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239 GREENWICH AVENUE (3)</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16,834</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16,834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100.00%</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Connecticut</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178,799</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43,893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222,692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100.00%</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CRESCENT PLAZA (4)</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154,865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61,230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216,095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97.55%</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99.31%</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Massachusetts</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154,865</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61,230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216,095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97.55%</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99.31%</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Rhode Island</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WALNUT HILL PLAZA</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113,092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184,278</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297,370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87.55%</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92.28%</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Rhode Island</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113,092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184,278</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297,370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87.55%</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92.28%</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jc w:val="center"/>
              <w:ind w:left="1188"/>
              <w:spacing w:after="0"/>
              <w:rPr>
                <w:sz w:val="20"/>
                <w:szCs w:val="20"/>
                <w:color w:val="auto"/>
              </w:rPr>
            </w:pPr>
            <w:r>
              <w:rPr>
                <w:rFonts w:ascii="Courier New" w:cs="Courier New" w:eastAsia="Courier New" w:hAnsi="Courier New"/>
                <w:sz w:val="14"/>
                <w:szCs w:val="14"/>
                <w:color w:val="auto"/>
              </w:rPr>
              <w:t>Total: New England</w:t>
            </w:r>
          </w:p>
        </w:tc>
        <w:tc>
          <w:tcPr>
            <w:tcW w:w="142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446,756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289,401</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736,157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91.55%</w:t>
            </w:r>
          </w:p>
        </w:tc>
        <w:tc>
          <w:tcPr>
            <w:tcW w:w="60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96.68%</w:t>
            </w:r>
          </w:p>
        </w:tc>
      </w:tr>
      <w:tr>
        <w:trPr>
          <w:trHeight w:val="166"/>
        </w:trPr>
        <w:tc>
          <w:tcPr>
            <w:tcW w:w="4620" w:type="dxa"/>
            <w:vAlign w:val="bottom"/>
          </w:tcPr>
          <w:p>
            <w:pPr>
              <w:spacing w:after="0"/>
              <w:rPr>
                <w:sz w:val="14"/>
                <w:szCs w:val="14"/>
                <w:color w:val="auto"/>
              </w:rPr>
            </w:pPr>
          </w:p>
        </w:tc>
        <w:tc>
          <w:tcPr>
            <w:tcW w:w="67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1113" w:right="299" w:bottom="1440" w:gutter="0" w:footer="0" w:header="0"/>
        </w:sectPr>
      </w:pPr>
    </w:p>
    <w:bookmarkStart w:id="45" w:name="page46"/>
    <w:bookmarkEnd w:id="45"/>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[RESTUBBED TABLE]</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828"/>
        </w:trPr>
        <w:tc>
          <w:tcPr>
            <w:tcW w:w="4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[LOGO]</w:t>
            </w:r>
          </w:p>
        </w:tc>
      </w:tr>
      <w:tr>
        <w:trPr>
          <w:trHeight w:val="331"/>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Commercial Properties by Region - Detail</w:t>
            </w:r>
          </w:p>
        </w:tc>
        <w:tc>
          <w:tcPr>
            <w:tcW w:w="27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Annualized Base Rent</w:t>
            </w:r>
          </w:p>
        </w:tc>
        <w:tc>
          <w:tcPr>
            <w:tcW w:w="520" w:type="dxa"/>
            <w:vAlign w:val="bottom"/>
          </w:tcPr>
          <w:p>
            <w:pPr>
              <w:spacing w:after="0"/>
              <w:rPr>
                <w:sz w:val="14"/>
                <w:szCs w:val="14"/>
                <w:color w:val="auto"/>
              </w:rPr>
            </w:pPr>
          </w:p>
        </w:tc>
      </w:tr>
      <w:tr>
        <w:trPr>
          <w:trHeight w:val="166"/>
        </w:trPr>
        <w:tc>
          <w:tcPr>
            <w:tcW w:w="4660" w:type="dxa"/>
            <w:vAlign w:val="bottom"/>
          </w:tcPr>
          <w:p>
            <w:pPr>
              <w:spacing w:after="0"/>
              <w:rPr>
                <w:sz w:val="14"/>
                <w:szCs w:val="14"/>
                <w:color w:val="auto"/>
              </w:rPr>
            </w:pPr>
          </w:p>
        </w:tc>
        <w:tc>
          <w:tcPr>
            <w:tcW w:w="2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Annualized Base Rent</w:t>
            </w:r>
          </w:p>
        </w:tc>
        <w:tc>
          <w:tcPr>
            <w:tcW w:w="1200" w:type="dxa"/>
            <w:vAlign w:val="bottom"/>
          </w:tcPr>
          <w:p>
            <w:pPr>
              <w:spacing w:after="0"/>
              <w:rPr>
                <w:sz w:val="14"/>
                <w:szCs w:val="14"/>
                <w:color w:val="auto"/>
              </w:rPr>
            </w:pPr>
          </w:p>
        </w:tc>
        <w:tc>
          <w:tcPr>
            <w:tcW w:w="27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1560" w:type="dxa"/>
            <w:vAlign w:val="bottom"/>
          </w:tcPr>
          <w:p>
            <w:pPr>
              <w:jc w:val="right"/>
              <w:ind w:right="549"/>
              <w:spacing w:after="0"/>
              <w:rPr>
                <w:sz w:val="20"/>
                <w:szCs w:val="20"/>
                <w:color w:val="auto"/>
              </w:rPr>
            </w:pPr>
            <w:r>
              <w:rPr>
                <w:rFonts w:ascii="Courier New" w:cs="Courier New" w:eastAsia="Courier New" w:hAnsi="Courier New"/>
                <w:sz w:val="14"/>
                <w:szCs w:val="14"/>
                <w:color w:val="auto"/>
              </w:rPr>
              <w:t>Anchors</w:t>
            </w:r>
          </w:p>
        </w:tc>
        <w:tc>
          <w:tcPr>
            <w:tcW w:w="120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Shops</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Anchors</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Shops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center"/>
              <w:ind w:left="1148"/>
              <w:spacing w:after="0"/>
              <w:rPr>
                <w:sz w:val="20"/>
                <w:szCs w:val="20"/>
                <w:color w:val="auto"/>
              </w:rPr>
            </w:pPr>
            <w:r>
              <w:rPr>
                <w:rFonts w:ascii="Courier New" w:cs="Courier New" w:eastAsia="Courier New" w:hAnsi="Courier New"/>
                <w:sz w:val="14"/>
                <w:szCs w:val="14"/>
                <w:color w:val="auto"/>
              </w:rPr>
              <w:t>Retail Properties - Wholly Owned</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jc w:val="center"/>
              <w:ind w:left="1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4660" w:type="dxa"/>
            <w:vAlign w:val="bottom"/>
          </w:tcPr>
          <w:p>
            <w:pPr>
              <w:ind w:left="2600"/>
              <w:spacing w:after="0"/>
              <w:rPr>
                <w:sz w:val="20"/>
                <w:szCs w:val="20"/>
                <w:color w:val="auto"/>
              </w:rPr>
            </w:pPr>
            <w:r>
              <w:rPr>
                <w:rFonts w:ascii="Courier New" w:cs="Courier New" w:eastAsia="Courier New" w:hAnsi="Courier New"/>
                <w:sz w:val="14"/>
                <w:szCs w:val="14"/>
                <w:color w:val="auto"/>
              </w:rPr>
              <w:t>Midwest</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HOBSON WEST PLAZA</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170,000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879,696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1,049,696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10.88</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Illinois</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170,000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879,696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1,049,696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10.88</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Indiana</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MERRILLVILLE PLAZA</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835,417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1,550,974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2,386,391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11.75</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10.22</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Indiana</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835,417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1,550,974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2,386,391</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11.75</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10.22</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BLOOMFIELD TOWN SQUARE</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781,257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1,013,876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1,795,133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Michigan</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781,257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1,013,876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1,795,133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Ohio</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MAD RIVER STATION (1)</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531,567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1,038,570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1,570,137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11.57</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Ohio</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531,567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1,038,570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1,570,137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11.57</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center"/>
              <w:ind w:left="1148"/>
              <w:spacing w:after="0"/>
              <w:rPr>
                <w:sz w:val="20"/>
                <w:szCs w:val="20"/>
                <w:color w:val="auto"/>
              </w:rPr>
            </w:pPr>
            <w:r>
              <w:rPr>
                <w:rFonts w:ascii="Courier New" w:cs="Courier New" w:eastAsia="Courier New" w:hAnsi="Courier New"/>
                <w:sz w:val="14"/>
                <w:szCs w:val="14"/>
                <w:color w:val="auto"/>
              </w:rPr>
              <w:t>Total: Midwest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2,318,241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4,483,116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6,801,357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12.89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10.38</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ind w:left="2420"/>
              <w:spacing w:after="0"/>
              <w:rPr>
                <w:sz w:val="20"/>
                <w:szCs w:val="20"/>
                <w:color w:val="auto"/>
              </w:rPr>
            </w:pPr>
            <w:r>
              <w:rPr>
                <w:rFonts w:ascii="Courier New" w:cs="Courier New" w:eastAsia="Courier New" w:hAnsi="Courier New"/>
                <w:sz w:val="14"/>
                <w:szCs w:val="14"/>
                <w:color w:val="auto"/>
              </w:rPr>
              <w:t>New England</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TOWN LINE PLAZA (2)</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730,000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589,259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1,319,259</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11.29</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12.15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239 GREENWICH AVENUE (3)</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1,125,165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1,125,165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66.84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66.84</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Connecticut</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1,855,165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589,259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2,444,424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22.76</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13.42</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19.49</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CRESCENT PLAZA (4)</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812,385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448,500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1,260,885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Massachusetts</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812,385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448,500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1,260,885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Rhode Island</w:t>
            </w: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WALNUT HILL PLAZA</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755,724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1,239,200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1,994,924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6.68</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7.27</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Rhode Island</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755,724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1,239,200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1,994,924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6.68</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7.68</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7.27</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center"/>
              <w:ind w:left="1148"/>
              <w:spacing w:after="0"/>
              <w:rPr>
                <w:sz w:val="20"/>
                <w:szCs w:val="20"/>
                <w:color w:val="auto"/>
              </w:rPr>
            </w:pPr>
            <w:r>
              <w:rPr>
                <w:rFonts w:ascii="Courier New" w:cs="Courier New" w:eastAsia="Courier New" w:hAnsi="Courier New"/>
                <w:sz w:val="14"/>
                <w:szCs w:val="14"/>
                <w:color w:val="auto"/>
              </w:rPr>
              <w:t>Total: New England</w:t>
            </w:r>
          </w:p>
        </w:tc>
        <w:tc>
          <w:tcPr>
            <w:tcW w:w="15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3,423,274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2,276,959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5,700,233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9.28</w:t>
            </w:r>
          </w:p>
        </w:tc>
      </w:tr>
      <w:tr>
        <w:trPr>
          <w:trHeight w:val="166"/>
        </w:trPr>
        <w:tc>
          <w:tcPr>
            <w:tcW w:w="4660" w:type="dxa"/>
            <w:vAlign w:val="bottom"/>
          </w:tcPr>
          <w:p>
            <w:pPr>
              <w:spacing w:after="0"/>
              <w:rPr>
                <w:sz w:val="14"/>
                <w:szCs w:val="14"/>
                <w:color w:val="auto"/>
              </w:rPr>
            </w:pPr>
          </w:p>
        </w:tc>
        <w:tc>
          <w:tcPr>
            <w:tcW w:w="6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4660"/>
        <w:spacing w:after="0" w:line="252" w:lineRule="auto"/>
        <w:rPr>
          <w:sz w:val="20"/>
          <w:szCs w:val="20"/>
          <w:color w:val="auto"/>
        </w:rPr>
      </w:pPr>
      <w:r>
        <w:rPr>
          <w:rFonts w:ascii="Courier New" w:cs="Courier New" w:eastAsia="Courier New" w:hAnsi="Courier New"/>
          <w:sz w:val="14"/>
          <w:szCs w:val="14"/>
          <w:color w:val="auto"/>
        </w:rPr>
        <w:t>General note - The above occupancy and rent amounts do not include space which is currently leased, but for which rent payment has not yet commenced. Tenants who comprise greater than 10% of a center's GLA are considered anchor tenants.</w:t>
      </w:r>
    </w:p>
    <w:p>
      <w:pPr>
        <w:spacing w:after="0" w:line="329" w:lineRule="exact"/>
        <w:rPr>
          <w:sz w:val="20"/>
          <w:szCs w:val="20"/>
          <w:color w:val="auto"/>
        </w:rPr>
      </w:pPr>
    </w:p>
    <w:p>
      <w:pPr>
        <w:ind w:left="440" w:hanging="432"/>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GLA for this property includes 27,702 square feet of office space.</w:t>
      </w:r>
    </w:p>
    <w:p>
      <w:pPr>
        <w:spacing w:after="0" w:line="7" w:lineRule="exact"/>
        <w:rPr>
          <w:rFonts w:ascii="Courier New" w:cs="Courier New" w:eastAsia="Courier New" w:hAnsi="Courier New"/>
          <w:sz w:val="14"/>
          <w:szCs w:val="14"/>
          <w:color w:val="auto"/>
        </w:rPr>
      </w:pPr>
    </w:p>
    <w:p>
      <w:pPr>
        <w:ind w:left="440" w:right="4480" w:hanging="432"/>
        <w:spacing w:after="0" w:line="250"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GLA includes a 97,300 square foot Wal*Mart which is not owned by the Company. This square footage has been adjusted out in calculating annualized base rent per square foot.</w:t>
      </w:r>
    </w:p>
    <w:p>
      <w:pPr>
        <w:spacing w:after="0" w:line="1" w:lineRule="exact"/>
        <w:rPr>
          <w:rFonts w:ascii="Courier New" w:cs="Courier New" w:eastAsia="Courier New" w:hAnsi="Courier New"/>
          <w:sz w:val="14"/>
          <w:szCs w:val="14"/>
          <w:color w:val="auto"/>
        </w:rPr>
      </w:pPr>
    </w:p>
    <w:p>
      <w:pPr>
        <w:ind w:left="440" w:right="4660" w:hanging="432"/>
        <w:spacing w:after="0" w:line="250"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239 Greenwich Avenue contains 16,834 square feet of retail GLA and 21 residential units encompassing 14,434 square feet. Residential activities are not included above.</w:t>
      </w:r>
    </w:p>
    <w:p>
      <w:pPr>
        <w:spacing w:after="0" w:line="1" w:lineRule="exact"/>
        <w:rPr>
          <w:rFonts w:ascii="Courier New" w:cs="Courier New" w:eastAsia="Courier New" w:hAnsi="Courier New"/>
          <w:sz w:val="14"/>
          <w:szCs w:val="14"/>
          <w:color w:val="auto"/>
        </w:rPr>
      </w:pPr>
    </w:p>
    <w:p>
      <w:pPr>
        <w:jc w:val="both"/>
        <w:ind w:left="440" w:right="4740" w:hanging="432"/>
        <w:spacing w:after="0" w:line="255"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Home Depot, which has leased 104,640 square feet at this center, assumed this space from Bradlees during the 1st Quarter 2001 following Bradlees'</w:t>
      </w:r>
    </w:p>
    <w:p>
      <w:pPr>
        <w:sectPr>
          <w:pgSz w:w="11900" w:h="16890" w:orient="portrait"/>
          <w:cols w:equalWidth="0" w:num="1">
            <w:col w:w="11380"/>
          </w:cols>
          <w:pgMar w:left="220" w:top="616" w:right="299" w:bottom="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bankruptcy and liquidation.</w:t>
      </w:r>
    </w:p>
    <w:p>
      <w:pPr>
        <w:sectPr>
          <w:pgSz w:w="11900" w:h="16838" w:orient="portrait"/>
          <w:cols w:equalWidth="0" w:num="1">
            <w:col w:w="9799"/>
          </w:cols>
          <w:pgMar w:left="660" w:top="141" w:right="1440" w:bottom="1440" w:gutter="0" w:footer="0" w:header="0"/>
        </w:sectPr>
      </w:pPr>
    </w:p>
    <w:bookmarkStart w:id="47" w:name="page48"/>
    <w:bookmarkEnd w:id="47"/>
    <w:p>
      <w:pPr>
        <w:jc w:val="right"/>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QUARTERLY SUPPLEMENTAL DISCOLSURE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ind w:left="1820"/>
              <w:spacing w:after="0"/>
              <w:rPr>
                <w:sz w:val="20"/>
                <w:szCs w:val="20"/>
                <w:color w:val="auto"/>
              </w:rPr>
            </w:pPr>
            <w:r>
              <w:rPr>
                <w:rFonts w:ascii="Courier New" w:cs="Courier New" w:eastAsia="Courier New" w:hAnsi="Courier New"/>
                <w:sz w:val="14"/>
                <w:szCs w:val="14"/>
                <w:color w:val="auto"/>
              </w:rPr>
              <w:t>SEPTEMBER 30, 2001</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97"/>
        </w:trPr>
        <w:tc>
          <w:tcPr>
            <w:tcW w:w="6160" w:type="dxa"/>
            <w:vAlign w:val="bottom"/>
            <w:gridSpan w:val="2"/>
          </w:tcPr>
          <w:p>
            <w:pPr>
              <w:ind w:left="960"/>
              <w:spacing w:after="0"/>
              <w:rPr>
                <w:sz w:val="20"/>
                <w:szCs w:val="20"/>
                <w:color w:val="auto"/>
              </w:rPr>
            </w:pPr>
            <w:r>
              <w:rPr>
                <w:rFonts w:ascii="Courier New" w:cs="Courier New" w:eastAsia="Courier New" w:hAnsi="Courier New"/>
                <w:sz w:val="14"/>
                <w:szCs w:val="14"/>
                <w:color w:val="auto"/>
                <w:w w:val="91"/>
              </w:rPr>
              <w:t>Commercial Properties by Region - Detail</w:t>
            </w:r>
            <w:r>
              <w:rPr>
                <w:rFonts w:ascii="Courier New" w:cs="Courier New" w:eastAsia="Courier New" w:hAnsi="Courier New"/>
                <w:sz w:val="3"/>
                <w:szCs w:val="3"/>
                <w:color w:val="auto"/>
                <w:w w:val="91"/>
              </w:rPr>
              <w:t>---------------------------------------------------------------------------</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Gross Leaseable Area</w:t>
            </w: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Occupancy</w:t>
            </w:r>
          </w:p>
        </w:tc>
        <w:tc>
          <w:tcPr>
            <w:tcW w:w="740" w:type="dxa"/>
            <w:vAlign w:val="bottom"/>
          </w:tcPr>
          <w:p>
            <w:pPr>
              <w:spacing w:after="0"/>
              <w:rPr>
                <w:sz w:val="14"/>
                <w:szCs w:val="14"/>
                <w:color w:val="auto"/>
              </w:rPr>
            </w:pPr>
          </w:p>
        </w:tc>
      </w:tr>
      <w:tr>
        <w:trPr>
          <w:trHeight w:val="166"/>
        </w:trPr>
        <w:tc>
          <w:tcPr>
            <w:tcW w:w="11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8"/>
              </w:rPr>
              <w:t>Anchors</w:t>
            </w: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Shops</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Anchors</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Shops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1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jc w:val="center"/>
              <w:ind w:left="811"/>
              <w:spacing w:after="0"/>
              <w:rPr>
                <w:sz w:val="20"/>
                <w:szCs w:val="20"/>
                <w:color w:val="auto"/>
              </w:rPr>
            </w:pPr>
            <w:r>
              <w:rPr>
                <w:rFonts w:ascii="Courier New" w:cs="Courier New" w:eastAsia="Courier New" w:hAnsi="Courier New"/>
                <w:sz w:val="14"/>
                <w:szCs w:val="14"/>
                <w:color w:val="auto"/>
              </w:rPr>
              <w:t>Retail Properties - Wholly Owned</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jc w:val="center"/>
              <w:ind w:left="811"/>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5000" w:type="dxa"/>
            <w:vAlign w:val="bottom"/>
          </w:tcPr>
          <w:p>
            <w:pPr>
              <w:jc w:val="right"/>
              <w:ind w:right="1391"/>
              <w:spacing w:after="0"/>
              <w:rPr>
                <w:sz w:val="20"/>
                <w:szCs w:val="20"/>
                <w:color w:val="auto"/>
              </w:rPr>
            </w:pPr>
            <w:r>
              <w:rPr>
                <w:rFonts w:ascii="Courier New" w:cs="Courier New" w:eastAsia="Courier New" w:hAnsi="Courier New"/>
                <w:sz w:val="14"/>
                <w:szCs w:val="14"/>
                <w:color w:val="auto"/>
              </w:rPr>
              <w:t>New York Region</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jc w:val="right"/>
              <w:ind w:right="1391"/>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MARKETPLACE OF ABSECON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58,031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104,906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84.11%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BERLIN SHOPPING CENTER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127,850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59,328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187,178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54.49%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85.58%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LEDGEWOOD MALL</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342,468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172,605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515,073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71.00%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90.28%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MANAHAWKIN VILLAGE SHOPPING CENTER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144,053</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175,228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New Jersey</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672,402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309,983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982,385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69.76%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90.46%</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SOUNDVIEW MARKETPLACE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66,800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113,820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180,620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83.30%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89.48%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VILLAGE COMMONS SHOPPING CENTER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25,192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61,963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87,155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97.50%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98.22%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BRANCH SHOPPING PLAZA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83,670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125,840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75.30%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87.48%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79.38%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NEW LOUDON CENTER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227,911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253,111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TROY PLAZA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100,709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128,479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PACESETTER PARK SHOPPING CENTER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52,052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43,507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95,559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61.16%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82.32%</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New York</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556,334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314,430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870,764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96.29%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86.41%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92.72%</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jc w:val="center"/>
              <w:ind w:left="791"/>
              <w:spacing w:after="0"/>
              <w:rPr>
                <w:sz w:val="20"/>
                <w:szCs w:val="20"/>
                <w:color w:val="auto"/>
              </w:rPr>
            </w:pPr>
            <w:r>
              <w:rPr>
                <w:rFonts w:ascii="Courier New" w:cs="Courier New" w:eastAsia="Courier New" w:hAnsi="Courier New"/>
                <w:sz w:val="14"/>
                <w:szCs w:val="14"/>
                <w:color w:val="auto"/>
              </w:rPr>
              <w:t>Total: New York Region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1,228,736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624,413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1,853,149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98.32%</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91.52%</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ind w:left="2500"/>
              <w:spacing w:after="0"/>
              <w:rPr>
                <w:sz w:val="20"/>
                <w:szCs w:val="20"/>
                <w:color w:val="auto"/>
              </w:rPr>
            </w:pPr>
            <w:r>
              <w:rPr>
                <w:rFonts w:ascii="Courier New" w:cs="Courier New" w:eastAsia="Courier New" w:hAnsi="Courier New"/>
                <w:sz w:val="14"/>
                <w:szCs w:val="14"/>
                <w:color w:val="auto"/>
              </w:rPr>
              <w:t>Southeast</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jc w:val="right"/>
              <w:ind w:right="1651"/>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Alabama</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MIDWAY PLAZA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105,775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101,763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207,538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55.58%</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71.41%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63.34%</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NORTHSIDE MALL</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111,970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270,329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382,299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50.60%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65.07%</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Alabama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217,745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372,092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589,837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78.42%</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56.29%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64.46%</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NEW SMYRNA BEACH SHOPPING CENTER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35,980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101,321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92.96%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Florida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35,980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101,321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68.87%</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92.96%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84.41%</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CLOUD SPRINGS PLAZA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74,260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39,107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113,367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84.40%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94.62%</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Georgia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74,260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39,107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113,367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84.40%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94.62%</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South Carolina</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MARTINTOWN PLAZA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91,996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41,896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133,892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80.43%</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94.80%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84.93%</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South Carolina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91,996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41,896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133,892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80.43%</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94.80%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84.93%</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jc w:val="right"/>
              <w:ind w:right="1391"/>
              <w:spacing w:after="0"/>
              <w:rPr>
                <w:sz w:val="20"/>
                <w:szCs w:val="20"/>
                <w:color w:val="auto"/>
              </w:rPr>
            </w:pPr>
            <w:r>
              <w:rPr>
                <w:rFonts w:ascii="Courier New" w:cs="Courier New" w:eastAsia="Courier New" w:hAnsi="Courier New"/>
                <w:sz w:val="14"/>
                <w:szCs w:val="14"/>
                <w:color w:val="auto"/>
              </w:rPr>
              <w:t>Total: Southeast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419,981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518,436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938,417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81.86%</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66.15%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73.18%</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4"/>
                <w:szCs w:val="2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Retail Properties (before redevelopment properties)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4,808,611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2,676,029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7,484,640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95.12%</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89.73%</w:t>
            </w:r>
          </w:p>
        </w:tc>
      </w:tr>
      <w:tr>
        <w:trPr>
          <w:trHeight w:val="166"/>
        </w:trPr>
        <w:tc>
          <w:tcPr>
            <w:tcW w:w="5000" w:type="dxa"/>
            <w:vAlign w:val="bottom"/>
          </w:tcPr>
          <w:p>
            <w:pPr>
              <w:spacing w:after="0"/>
              <w:rPr>
                <w:sz w:val="14"/>
                <w:szCs w:val="14"/>
                <w:color w:val="auto"/>
              </w:rPr>
            </w:pPr>
          </w:p>
        </w:tc>
        <w:tc>
          <w:tcPr>
            <w:tcW w:w="63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947" w:right="29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[RESTUBBED TABLE]</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828"/>
        </w:trPr>
        <w:tc>
          <w:tcPr>
            <w:tcW w:w="5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[LOGO]</w:t>
            </w:r>
          </w:p>
        </w:tc>
      </w:tr>
      <w:tr>
        <w:trPr>
          <w:trHeight w:val="331"/>
        </w:trPr>
        <w:tc>
          <w:tcPr>
            <w:tcW w:w="5600" w:type="dxa"/>
            <w:vAlign w:val="bottom"/>
            <w:gridSpan w:val="2"/>
          </w:tcPr>
          <w:p>
            <w:pPr>
              <w:ind w:left="960"/>
              <w:spacing w:after="0"/>
              <w:rPr>
                <w:sz w:val="20"/>
                <w:szCs w:val="20"/>
                <w:color w:val="auto"/>
              </w:rPr>
            </w:pPr>
            <w:r>
              <w:rPr>
                <w:rFonts w:ascii="Courier New" w:cs="Courier New" w:eastAsia="Courier New" w:hAnsi="Courier New"/>
                <w:sz w:val="14"/>
                <w:szCs w:val="14"/>
                <w:color w:val="auto"/>
                <w:w w:val="75"/>
              </w:rPr>
              <w:t>Commercial Properties by Region - Detail</w:t>
            </w:r>
            <w:r>
              <w:rPr>
                <w:rFonts w:ascii="Courier New" w:cs="Courier New" w:eastAsia="Courier New" w:hAnsi="Courier New"/>
                <w:sz w:val="2"/>
                <w:szCs w:val="2"/>
                <w:color w:val="auto"/>
                <w:w w:val="75"/>
              </w:rPr>
              <w:t>---------------------------------------------------------------------------</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Annualized Base Rent</w:t>
            </w:r>
          </w:p>
        </w:tc>
        <w:tc>
          <w:tcPr>
            <w:tcW w:w="600" w:type="dxa"/>
            <w:vAlign w:val="bottom"/>
          </w:tcPr>
          <w:p>
            <w:pPr>
              <w:spacing w:after="0"/>
              <w:rPr>
                <w:sz w:val="14"/>
                <w:szCs w:val="14"/>
                <w:color w:val="auto"/>
              </w:rPr>
            </w:pPr>
          </w:p>
        </w:tc>
      </w:tr>
      <w:tr>
        <w:trPr>
          <w:trHeight w:val="166"/>
        </w:trPr>
        <w:tc>
          <w:tcPr>
            <w:tcW w:w="5000" w:type="dxa"/>
            <w:vAlign w:val="bottom"/>
          </w:tcPr>
          <w:p>
            <w:pPr>
              <w:spacing w:after="0"/>
              <w:rPr>
                <w:sz w:val="14"/>
                <w:szCs w:val="14"/>
                <w:color w:val="auto"/>
              </w:rPr>
            </w:pPr>
          </w:p>
        </w:tc>
        <w:tc>
          <w:tcPr>
            <w:tcW w:w="26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Annualized Base Rent</w:t>
            </w:r>
          </w:p>
        </w:tc>
        <w:tc>
          <w:tcPr>
            <w:tcW w:w="1200" w:type="dxa"/>
            <w:vAlign w:val="bottom"/>
          </w:tcPr>
          <w:p>
            <w:pPr>
              <w:spacing w:after="0"/>
              <w:rPr>
                <w:sz w:val="14"/>
                <w:szCs w:val="14"/>
                <w:color w:val="auto"/>
              </w:rPr>
            </w:pPr>
          </w:p>
        </w:tc>
        <w:tc>
          <w:tcPr>
            <w:tcW w:w="25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113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Anchors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Shops</w:t>
            </w:r>
          </w:p>
        </w:tc>
        <w:tc>
          <w:tcPr>
            <w:tcW w:w="1040" w:type="dxa"/>
            <w:vAlign w:val="bottom"/>
          </w:tcPr>
          <w:p>
            <w:pPr>
              <w:spacing w:after="0"/>
              <w:rPr>
                <w:sz w:val="14"/>
                <w:szCs w:val="14"/>
                <w:color w:val="auto"/>
              </w:rPr>
            </w:pPr>
          </w:p>
        </w:tc>
        <w:tc>
          <w:tcPr>
            <w:tcW w:w="120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Total</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Anchors</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Shops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13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jc w:val="center"/>
              <w:ind w:left="811"/>
              <w:spacing w:after="0"/>
              <w:rPr>
                <w:sz w:val="20"/>
                <w:szCs w:val="20"/>
                <w:color w:val="auto"/>
              </w:rPr>
            </w:pPr>
            <w:r>
              <w:rPr>
                <w:rFonts w:ascii="Courier New" w:cs="Courier New" w:eastAsia="Courier New" w:hAnsi="Courier New"/>
                <w:sz w:val="14"/>
                <w:szCs w:val="14"/>
                <w:color w:val="auto"/>
              </w:rPr>
              <w:t>Retail Properties - Wholly Owned</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jc w:val="center"/>
              <w:ind w:left="811"/>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5000" w:type="dxa"/>
            <w:vAlign w:val="bottom"/>
          </w:tcPr>
          <w:p>
            <w:pPr>
              <w:jc w:val="right"/>
              <w:ind w:right="1391"/>
              <w:spacing w:after="0"/>
              <w:rPr>
                <w:sz w:val="20"/>
                <w:szCs w:val="20"/>
                <w:color w:val="auto"/>
              </w:rPr>
            </w:pPr>
            <w:r>
              <w:rPr>
                <w:rFonts w:ascii="Courier New" w:cs="Courier New" w:eastAsia="Courier New" w:hAnsi="Courier New"/>
                <w:sz w:val="14"/>
                <w:szCs w:val="14"/>
                <w:color w:val="auto"/>
              </w:rPr>
              <w:t>New York Region</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jc w:val="right"/>
              <w:ind w:right="1391"/>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97"/>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MARKETPLACE OF ABSECON</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927,574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475,227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1,402,801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15.90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BERLIN SHOPPING CENTER</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619,400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237,344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856,744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LEDGEWOOD MALL</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2,949,673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1,529,476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4,479,149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MANAHAWKIN VILLAGE SHOPPING CENTER</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1,206,873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378,321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1,585,194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9.05</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New Jersey</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5,703,520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2,620,368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8,323,888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9.37</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SOUNDVIEW MARKETPLACE</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1,010,250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1,450,504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2,460,754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VILLAGE COMMONS SHOPPING CENTER</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407,055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1,454,923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1,861,978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BRANCH SHOPPING PLAZA</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837,270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679,562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1,516,832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NEW LOUDON CENTER</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1,348,003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418,050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1,766,053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TROY PLAZA</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294,625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490,625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PACESETTER PARK SHOPPING CENTER</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314,146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474,547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788,693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10.03</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New York</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4,112,724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4,772,211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8,884,935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17.56</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jc w:val="center"/>
              <w:ind w:left="791"/>
              <w:spacing w:after="0"/>
              <w:rPr>
                <w:sz w:val="20"/>
                <w:szCs w:val="20"/>
                <w:color w:val="auto"/>
              </w:rPr>
            </w:pPr>
            <w:r>
              <w:rPr>
                <w:rFonts w:ascii="Courier New" w:cs="Courier New" w:eastAsia="Courier New" w:hAnsi="Courier New"/>
                <w:sz w:val="14"/>
                <w:szCs w:val="14"/>
                <w:color w:val="auto"/>
              </w:rPr>
              <w:t>Total: New York Region</w:t>
            </w:r>
          </w:p>
        </w:tc>
        <w:tc>
          <w:tcPr>
            <w:tcW w:w="6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9,816,244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7,392,579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17,208,823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10.15</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ind w:left="2500"/>
              <w:spacing w:after="0"/>
              <w:rPr>
                <w:sz w:val="20"/>
                <w:szCs w:val="20"/>
                <w:color w:val="auto"/>
              </w:rPr>
            </w:pPr>
            <w:r>
              <w:rPr>
                <w:rFonts w:ascii="Courier New" w:cs="Courier New" w:eastAsia="Courier New" w:hAnsi="Courier New"/>
                <w:sz w:val="14"/>
                <w:szCs w:val="14"/>
                <w:color w:val="auto"/>
              </w:rPr>
              <w:t>Southeast</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jc w:val="right"/>
              <w:ind w:right="1651"/>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Alabama</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MIDWAY PLAZA</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102,380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328,440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430,820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NORTHSIDE MALL</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227,974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661,098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889,072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Alabama</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330,354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989,538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1,319,892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NEW SMYRNA BEACH SHOPPING CENTER</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223,020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485,104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708,124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8.28</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Florida</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223,020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485,104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708,124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8.28</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CLOUD SPRINGS PLAZA</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340,371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173,370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513,741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Georgia</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340,371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173,370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513,741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South Carolina</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MARTINTOWN PLAZA</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296,500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229,989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526,489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South Carolina</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296,500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229,989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526,489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jc w:val="right"/>
              <w:ind w:right="1391"/>
              <w:spacing w:after="0"/>
              <w:rPr>
                <w:sz w:val="20"/>
                <w:szCs w:val="20"/>
                <w:color w:val="auto"/>
              </w:rPr>
            </w:pPr>
            <w:r>
              <w:rPr>
                <w:rFonts w:ascii="Courier New" w:cs="Courier New" w:eastAsia="Courier New" w:hAnsi="Courier New"/>
                <w:sz w:val="14"/>
                <w:szCs w:val="14"/>
                <w:color w:val="auto"/>
              </w:rPr>
              <w:t>Total: Southeast</w:t>
            </w:r>
          </w:p>
        </w:tc>
        <w:tc>
          <w:tcPr>
            <w:tcW w:w="60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1,190,245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1,878,001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3,068,246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4"/>
                <w:szCs w:val="2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Retail Properties (before redevelopment properties)</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$ 25,951,915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$ 21,784,020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$ 47,735,935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$ 5.80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$ 10.17</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$ 7.21</w:t>
            </w:r>
          </w:p>
        </w:tc>
      </w:tr>
      <w:tr>
        <w:trPr>
          <w:trHeight w:val="166"/>
        </w:trPr>
        <w:tc>
          <w:tcPr>
            <w:tcW w:w="5000" w:type="dxa"/>
            <w:vAlign w:val="bottom"/>
          </w:tcPr>
          <w:p>
            <w:pPr>
              <w:spacing w:after="0"/>
              <w:rPr>
                <w:sz w:val="14"/>
                <w:szCs w:val="14"/>
                <w:color w:val="auto"/>
              </w:rPr>
            </w:pPr>
          </w:p>
        </w:tc>
        <w:tc>
          <w:tcPr>
            <w:tcW w:w="63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300" w:right="4480" w:hanging="1291"/>
        <w:spacing w:after="0" w:line="252" w:lineRule="auto"/>
        <w:rPr>
          <w:sz w:val="20"/>
          <w:szCs w:val="20"/>
          <w:color w:val="auto"/>
        </w:rPr>
      </w:pPr>
      <w:r>
        <w:rPr>
          <w:rFonts w:ascii="Courier New" w:cs="Courier New" w:eastAsia="Courier New" w:hAnsi="Courier New"/>
          <w:sz w:val="14"/>
          <w:szCs w:val="14"/>
          <w:color w:val="auto"/>
        </w:rPr>
        <w:t>General note - The above occupancy and net amounts do not include space which is currently leased, but for which rent payment has not yet commenced. Tenants who comprise greater than 10% of a center's GLA are considered anchor tenants.</w:t>
      </w:r>
    </w:p>
    <w:p>
      <w:pPr>
        <w:sectPr>
          <w:pgSz w:w="11900" w:h="16838" w:orient="portrait"/>
          <w:cols w:equalWidth="0" w:num="1">
            <w:col w:w="11380"/>
          </w:cols>
          <w:pgMar w:left="220" w:top="616" w:right="299" w:bottom="746" w:gutter="0" w:footer="0" w:header="0"/>
        </w:sectPr>
      </w:pPr>
    </w:p>
    <w:bookmarkStart w:id="49" w:name="page50"/>
    <w:bookmarkEnd w:id="49"/>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SEPTEMBER 30, 2001</w:t>
      </w:r>
    </w:p>
    <w:p>
      <w:pPr>
        <w:spacing w:after="0" w:line="7" w:lineRule="exact"/>
        <w:rPr>
          <w:sz w:val="20"/>
          <w:szCs w:val="20"/>
          <w:color w:val="auto"/>
        </w:rPr>
      </w:pPr>
    </w:p>
    <w:p>
      <w:pPr>
        <w:ind w:left="10860"/>
        <w:spacing w:after="0"/>
        <w:rPr>
          <w:sz w:val="20"/>
          <w:szCs w:val="20"/>
          <w:color w:val="auto"/>
        </w:rPr>
      </w:pPr>
      <w:r>
        <w:rPr>
          <w:rFonts w:ascii="Courier New" w:cs="Courier New" w:eastAsia="Courier New" w:hAnsi="Courier New"/>
          <w:sz w:val="14"/>
          <w:szCs w:val="14"/>
          <w:color w:val="auto"/>
        </w:rPr>
        <w:t>[LOGO]</w:t>
      </w:r>
    </w:p>
    <w:p>
      <w:pPr>
        <w:sectPr>
          <w:pgSz w:w="11900" w:h="16838" w:orient="portrait"/>
          <w:cols w:equalWidth="0" w:num="1">
            <w:col w:w="11380"/>
          </w:cols>
          <w:pgMar w:left="220" w:top="1440" w:right="299" w:bottom="1440" w:gutter="0" w:footer="0" w:header="0"/>
        </w:sectPr>
      </w:pPr>
    </w:p>
    <w:p>
      <w:pPr>
        <w:spacing w:after="0" w:line="173" w:lineRule="exact"/>
        <w:rPr>
          <w:sz w:val="20"/>
          <w:szCs w:val="20"/>
          <w:color w:val="auto"/>
        </w:rPr>
      </w:pPr>
    </w:p>
    <w:p>
      <w:pPr>
        <w:jc w:val="both"/>
        <w:ind w:left="960"/>
        <w:spacing w:after="0" w:line="255" w:lineRule="auto"/>
        <w:rPr>
          <w:sz w:val="20"/>
          <w:szCs w:val="20"/>
          <w:color w:val="auto"/>
        </w:rPr>
      </w:pPr>
      <w:r>
        <w:rPr>
          <w:rFonts w:ascii="Courier New" w:cs="Courier New" w:eastAsia="Courier New" w:hAnsi="Courier New"/>
          <w:sz w:val="14"/>
          <w:szCs w:val="14"/>
          <w:color w:val="auto"/>
        </w:rPr>
        <w:t>Commercial Properties by Region - Detail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4720" w:val="left"/>
        </w:tabs>
        <w:rPr>
          <w:sz w:val="20"/>
          <w:szCs w:val="20"/>
          <w:color w:val="auto"/>
        </w:rPr>
      </w:pPr>
      <w:r>
        <w:rPr>
          <w:rFonts w:ascii="Courier New" w:cs="Courier New" w:eastAsia="Courier New" w:hAnsi="Courier New"/>
          <w:sz w:val="14"/>
          <w:szCs w:val="14"/>
          <w:color w:val="auto"/>
        </w:rPr>
        <w:t>Gross Leasable Area</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1280" w:val="left"/>
          <w:tab w:leader="none" w:pos="2740" w:val="left"/>
          <w:tab w:leader="none" w:pos="3940" w:val="left"/>
          <w:tab w:leader="none" w:pos="5060" w:val="left"/>
          <w:tab w:leader="none" w:pos="6000" w:val="left"/>
        </w:tabs>
        <w:rPr>
          <w:sz w:val="20"/>
          <w:szCs w:val="20"/>
          <w:color w:val="auto"/>
        </w:rPr>
      </w:pPr>
      <w:r>
        <w:rPr>
          <w:rFonts w:ascii="Courier New" w:cs="Courier New" w:eastAsia="Courier New" w:hAnsi="Courier New"/>
          <w:sz w:val="14"/>
          <w:szCs w:val="14"/>
          <w:color w:val="auto"/>
        </w:rPr>
        <w:t>Anchors</w:t>
      </w:r>
      <w:r>
        <w:rPr>
          <w:sz w:val="20"/>
          <w:szCs w:val="20"/>
          <w:color w:val="auto"/>
        </w:rPr>
        <w:tab/>
      </w:r>
      <w:r>
        <w:rPr>
          <w:rFonts w:ascii="Courier New" w:cs="Courier New" w:eastAsia="Courier New" w:hAnsi="Courier New"/>
          <w:sz w:val="14"/>
          <w:szCs w:val="14"/>
          <w:color w:val="auto"/>
        </w:rPr>
        <w:t>Shops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Anchors</w:t>
      </w:r>
      <w:r>
        <w:rPr>
          <w:sz w:val="20"/>
          <w:szCs w:val="20"/>
          <w:color w:val="auto"/>
        </w:rPr>
        <w:tab/>
      </w:r>
      <w:r>
        <w:rPr>
          <w:rFonts w:ascii="Courier New" w:cs="Courier New" w:eastAsia="Courier New" w:hAnsi="Courier New"/>
          <w:sz w:val="14"/>
          <w:szCs w:val="14"/>
          <w:color w:val="auto"/>
        </w:rPr>
        <w:t>Shops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4400" w:space="520"/>
            <w:col w:w="6460"/>
          </w:cols>
          <w:pgMar w:left="220" w:top="1440" w:right="299" w:bottom="1440" w:gutter="0" w:footer="0" w:header="0"/>
          <w:type w:val="continuous"/>
        </w:sectPr>
      </w:pPr>
    </w:p>
    <w:p>
      <w:pPr>
        <w:ind w:left="1820"/>
        <w:spacing w:after="0"/>
        <w:rPr>
          <w:sz w:val="20"/>
          <w:szCs w:val="20"/>
          <w:color w:val="auto"/>
        </w:rPr>
      </w:pPr>
      <w:r>
        <w:rPr>
          <w:rFonts w:ascii="Courier New" w:cs="Courier New" w:eastAsia="Courier New" w:hAnsi="Courier New"/>
          <w:sz w:val="14"/>
          <w:szCs w:val="14"/>
          <w:color w:val="auto"/>
        </w:rPr>
        <w:t>Redevelopment Properties(1)</w:t>
      </w:r>
    </w:p>
    <w:p>
      <w:pPr>
        <w:sectPr>
          <w:pgSz w:w="11900" w:h="16838" w:orient="portrait"/>
          <w:cols w:equalWidth="0" w:num="1">
            <w:col w:w="11380"/>
          </w:cols>
          <w:pgMar w:left="220" w:top="1440" w:right="299"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ABINGTON TOWNE CENTER (Pennsylvania)(2)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GATEWAY SHOPPING CENTER (Vermont)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METHUEN SHOPPING CENTER (Massachusetts)(3)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ELMWOOD PARK SHOPPING CENTER (New Jersey)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80"/>
        <w:spacing w:after="0"/>
        <w:tabs>
          <w:tab w:leader="none" w:pos="1800" w:val="left"/>
          <w:tab w:leader="none" w:pos="2920" w:val="left"/>
          <w:tab w:leader="none" w:pos="3940" w:val="left"/>
          <w:tab w:leader="none" w:pos="5060" w:val="left"/>
          <w:tab w:leader="none" w:pos="5920" w:val="left"/>
        </w:tabs>
        <w:rPr>
          <w:sz w:val="20"/>
          <w:szCs w:val="20"/>
          <w:color w:val="auto"/>
        </w:rPr>
      </w:pPr>
      <w:r>
        <w:rPr>
          <w:rFonts w:ascii="Courier New" w:cs="Courier New" w:eastAsia="Courier New" w:hAnsi="Courier New"/>
          <w:sz w:val="14"/>
          <w:szCs w:val="14"/>
          <w:color w:val="auto"/>
        </w:rPr>
        <w:t>184,616</w:t>
      </w:r>
      <w:r>
        <w:rPr>
          <w:sz w:val="20"/>
          <w:szCs w:val="20"/>
          <w:color w:val="auto"/>
        </w:rPr>
        <w:tab/>
      </w:r>
      <w:r>
        <w:rPr>
          <w:rFonts w:ascii="Courier New" w:cs="Courier New" w:eastAsia="Courier New" w:hAnsi="Courier New"/>
          <w:sz w:val="14"/>
          <w:szCs w:val="14"/>
          <w:color w:val="auto"/>
        </w:rPr>
        <w:t>31,610</w:t>
      </w:r>
      <w:r>
        <w:rPr>
          <w:sz w:val="20"/>
          <w:szCs w:val="20"/>
          <w:color w:val="auto"/>
        </w:rPr>
        <w:tab/>
      </w:r>
      <w:r>
        <w:rPr>
          <w:rFonts w:ascii="Courier New" w:cs="Courier New" w:eastAsia="Courier New" w:hAnsi="Courier New"/>
          <w:sz w:val="14"/>
          <w:szCs w:val="14"/>
          <w:color w:val="auto"/>
        </w:rPr>
        <w:t>216,226</w:t>
      </w:r>
      <w:r>
        <w:rPr>
          <w:sz w:val="20"/>
          <w:szCs w:val="20"/>
          <w:color w:val="auto"/>
        </w:rPr>
        <w:tab/>
      </w:r>
      <w:r>
        <w:rPr>
          <w:rFonts w:ascii="Courier New" w:cs="Courier New" w:eastAsia="Courier New" w:hAnsi="Courier New"/>
          <w:sz w:val="14"/>
          <w:szCs w:val="14"/>
          <w:color w:val="auto"/>
        </w:rPr>
        <w:t>100.00%</w:t>
      </w:r>
      <w:r>
        <w:rPr>
          <w:sz w:val="20"/>
          <w:szCs w:val="20"/>
          <w:color w:val="auto"/>
        </w:rPr>
        <w:tab/>
      </w:r>
      <w:r>
        <w:rPr>
          <w:rFonts w:ascii="Courier New" w:cs="Courier New" w:eastAsia="Courier New" w:hAnsi="Courier New"/>
          <w:sz w:val="14"/>
          <w:szCs w:val="14"/>
          <w:color w:val="auto"/>
        </w:rPr>
        <w:t>81.57%</w:t>
      </w:r>
      <w:r>
        <w:rPr>
          <w:sz w:val="20"/>
          <w:szCs w:val="20"/>
          <w:color w:val="auto"/>
        </w:rPr>
        <w:tab/>
      </w:r>
      <w:r>
        <w:rPr>
          <w:rFonts w:ascii="Courier New" w:cs="Courier New" w:eastAsia="Courier New" w:hAnsi="Courier New"/>
          <w:sz w:val="14"/>
          <w:szCs w:val="14"/>
          <w:color w:val="auto"/>
        </w:rPr>
        <w:t>97.31%</w:t>
      </w:r>
    </w:p>
    <w:p>
      <w:pPr>
        <w:spacing w:after="0" w:line="7" w:lineRule="exact"/>
        <w:rPr>
          <w:sz w:val="20"/>
          <w:szCs w:val="20"/>
          <w:color w:val="auto"/>
        </w:rPr>
      </w:pPr>
    </w:p>
    <w:p>
      <w:pPr>
        <w:ind w:left="260"/>
        <w:spacing w:after="0"/>
        <w:tabs>
          <w:tab w:leader="none" w:pos="1800" w:val="left"/>
          <w:tab w:leader="none" w:pos="3000" w:val="left"/>
          <w:tab w:leader="none" w:pos="3940" w:val="left"/>
          <w:tab w:leader="none" w:pos="5060" w:val="left"/>
          <w:tab w:leader="none" w:pos="5920" w:val="left"/>
        </w:tabs>
        <w:rPr>
          <w:sz w:val="20"/>
          <w:szCs w:val="20"/>
          <w:color w:val="auto"/>
        </w:rPr>
      </w:pPr>
      <w:r>
        <w:rPr>
          <w:rFonts w:ascii="Courier New" w:cs="Courier New" w:eastAsia="Courier New" w:hAnsi="Courier New"/>
          <w:sz w:val="14"/>
          <w:szCs w:val="14"/>
          <w:color w:val="auto"/>
        </w:rPr>
        <w:t>31,600</w:t>
      </w:r>
      <w:r>
        <w:rPr>
          <w:sz w:val="20"/>
          <w:szCs w:val="20"/>
          <w:color w:val="auto"/>
        </w:rPr>
        <w:tab/>
      </w:r>
      <w:r>
        <w:rPr>
          <w:rFonts w:ascii="Courier New" w:cs="Courier New" w:eastAsia="Courier New" w:hAnsi="Courier New"/>
          <w:sz w:val="14"/>
          <w:szCs w:val="14"/>
          <w:color w:val="auto"/>
        </w:rPr>
        <w:t>15,245</w:t>
      </w:r>
      <w:r>
        <w:rPr>
          <w:sz w:val="20"/>
          <w:szCs w:val="20"/>
          <w:color w:val="auto"/>
        </w:rPr>
        <w:tab/>
      </w:r>
      <w:r>
        <w:rPr>
          <w:rFonts w:ascii="Courier New" w:cs="Courier New" w:eastAsia="Courier New" w:hAnsi="Courier New"/>
          <w:sz w:val="14"/>
          <w:szCs w:val="14"/>
          <w:color w:val="auto"/>
        </w:rPr>
        <w:t>46,845</w:t>
      </w:r>
      <w:r>
        <w:rPr>
          <w:sz w:val="20"/>
          <w:szCs w:val="20"/>
          <w:color w:val="auto"/>
        </w:rPr>
        <w:tab/>
      </w:r>
      <w:r>
        <w:rPr>
          <w:rFonts w:ascii="Courier New" w:cs="Courier New" w:eastAsia="Courier New" w:hAnsi="Courier New"/>
          <w:sz w:val="14"/>
          <w:szCs w:val="14"/>
          <w:color w:val="auto"/>
        </w:rPr>
        <w:t>100.00%</w:t>
      </w:r>
      <w:r>
        <w:rPr>
          <w:sz w:val="20"/>
          <w:szCs w:val="20"/>
          <w:color w:val="auto"/>
        </w:rPr>
        <w:tab/>
      </w:r>
      <w:r>
        <w:rPr>
          <w:rFonts w:ascii="Courier New" w:cs="Courier New" w:eastAsia="Courier New" w:hAnsi="Courier New"/>
          <w:sz w:val="14"/>
          <w:szCs w:val="14"/>
          <w:color w:val="auto"/>
        </w:rPr>
        <w:t>73.76%</w:t>
      </w:r>
      <w:r>
        <w:rPr>
          <w:sz w:val="20"/>
          <w:szCs w:val="20"/>
          <w:color w:val="auto"/>
        </w:rPr>
        <w:tab/>
      </w:r>
      <w:r>
        <w:rPr>
          <w:rFonts w:ascii="Courier New" w:cs="Courier New" w:eastAsia="Courier New" w:hAnsi="Courier New"/>
          <w:sz w:val="14"/>
          <w:szCs w:val="14"/>
          <w:color w:val="auto"/>
        </w:rPr>
        <w:t>91.46%</w:t>
      </w:r>
    </w:p>
    <w:p>
      <w:pPr>
        <w:spacing w:after="0" w:line="7" w:lineRule="exact"/>
        <w:rPr>
          <w:sz w:val="20"/>
          <w:szCs w:val="20"/>
          <w:color w:val="auto"/>
        </w:rPr>
      </w:pPr>
    </w:p>
    <w:p>
      <w:pPr>
        <w:ind w:left="180"/>
        <w:spacing w:after="0"/>
        <w:tabs>
          <w:tab w:leader="none" w:pos="1800" w:val="left"/>
          <w:tab w:leader="none" w:pos="2920" w:val="left"/>
          <w:tab w:leader="none" w:pos="4040" w:val="left"/>
          <w:tab w:leader="none" w:pos="4980" w:val="left"/>
          <w:tab w:leader="none" w:pos="5920" w:val="left"/>
        </w:tabs>
        <w:rPr>
          <w:sz w:val="20"/>
          <w:szCs w:val="20"/>
          <w:color w:val="auto"/>
        </w:rPr>
      </w:pPr>
      <w:r>
        <w:rPr>
          <w:rFonts w:ascii="Courier New" w:cs="Courier New" w:eastAsia="Courier New" w:hAnsi="Courier New"/>
          <w:sz w:val="14"/>
          <w:szCs w:val="14"/>
          <w:color w:val="auto"/>
        </w:rPr>
        <w:t>120,004</w:t>
      </w:r>
      <w:r>
        <w:rPr>
          <w:sz w:val="20"/>
          <w:szCs w:val="20"/>
          <w:color w:val="auto"/>
        </w:rPr>
        <w:tab/>
      </w:r>
      <w:r>
        <w:rPr>
          <w:rFonts w:ascii="Courier New" w:cs="Courier New" w:eastAsia="Courier New" w:hAnsi="Courier New"/>
          <w:sz w:val="14"/>
          <w:szCs w:val="14"/>
          <w:color w:val="auto"/>
        </w:rPr>
        <w:t>10,234</w:t>
      </w:r>
      <w:r>
        <w:rPr>
          <w:sz w:val="20"/>
          <w:szCs w:val="20"/>
          <w:color w:val="auto"/>
        </w:rPr>
        <w:tab/>
      </w:r>
      <w:r>
        <w:rPr>
          <w:rFonts w:ascii="Courier New" w:cs="Courier New" w:eastAsia="Courier New" w:hAnsi="Courier New"/>
          <w:sz w:val="14"/>
          <w:szCs w:val="14"/>
          <w:color w:val="auto"/>
        </w:rPr>
        <w:t>130,238</w:t>
      </w:r>
      <w:r>
        <w:rPr>
          <w:sz w:val="20"/>
          <w:szCs w:val="20"/>
          <w:color w:val="auto"/>
        </w:rPr>
        <w:tab/>
      </w:r>
      <w:r>
        <w:rPr>
          <w:rFonts w:ascii="Courier New" w:cs="Courier New" w:eastAsia="Courier New" w:hAnsi="Courier New"/>
          <w:sz w:val="14"/>
          <w:szCs w:val="14"/>
          <w:color w:val="auto"/>
        </w:rPr>
        <w:t>25.38%</w:t>
      </w:r>
      <w:r>
        <w:rPr>
          <w:sz w:val="20"/>
          <w:szCs w:val="20"/>
          <w:color w:val="auto"/>
        </w:rPr>
        <w:tab/>
      </w:r>
      <w:r>
        <w:rPr>
          <w:rFonts w:ascii="Courier New" w:cs="Courier New" w:eastAsia="Courier New" w:hAnsi="Courier New"/>
          <w:sz w:val="14"/>
          <w:szCs w:val="14"/>
          <w:color w:val="auto"/>
        </w:rPr>
        <w:t>100.00%</w:t>
      </w:r>
      <w:r>
        <w:rPr>
          <w:sz w:val="20"/>
          <w:szCs w:val="20"/>
          <w:color w:val="auto"/>
        </w:rPr>
        <w:tab/>
      </w:r>
      <w:r>
        <w:rPr>
          <w:rFonts w:ascii="Courier New" w:cs="Courier New" w:eastAsia="Courier New" w:hAnsi="Courier New"/>
          <w:sz w:val="14"/>
          <w:szCs w:val="14"/>
          <w:color w:val="auto"/>
        </w:rPr>
        <w:t>31.24%</w:t>
      </w:r>
    </w:p>
    <w:p>
      <w:pPr>
        <w:spacing w:after="0" w:line="7" w:lineRule="exact"/>
        <w:rPr>
          <w:sz w:val="20"/>
          <w:szCs w:val="20"/>
          <w:color w:val="auto"/>
        </w:rPr>
      </w:pPr>
    </w:p>
    <w:p>
      <w:pPr>
        <w:ind w:left="260"/>
        <w:spacing w:after="0"/>
        <w:tabs>
          <w:tab w:leader="none" w:pos="1800" w:val="left"/>
          <w:tab w:leader="none" w:pos="2920" w:val="left"/>
          <w:tab w:leader="none" w:pos="4040" w:val="left"/>
          <w:tab w:leader="none" w:pos="5060" w:val="left"/>
          <w:tab w:leader="none" w:pos="5920" w:val="left"/>
        </w:tabs>
        <w:rPr>
          <w:sz w:val="20"/>
          <w:szCs w:val="20"/>
          <w:color w:val="auto"/>
        </w:rPr>
      </w:pPr>
      <w:r>
        <w:rPr>
          <w:rFonts w:ascii="Courier New" w:cs="Courier New" w:eastAsia="Courier New" w:hAnsi="Courier New"/>
          <w:sz w:val="14"/>
          <w:szCs w:val="14"/>
          <w:color w:val="auto"/>
        </w:rPr>
        <w:t>26,750</w:t>
      </w:r>
      <w:r>
        <w:rPr>
          <w:sz w:val="20"/>
          <w:szCs w:val="20"/>
          <w:color w:val="auto"/>
        </w:rPr>
        <w:tab/>
      </w:r>
      <w:r>
        <w:rPr>
          <w:rFonts w:ascii="Courier New" w:cs="Courier New" w:eastAsia="Courier New" w:hAnsi="Courier New"/>
          <w:sz w:val="14"/>
          <w:szCs w:val="14"/>
          <w:color w:val="auto"/>
        </w:rPr>
        <w:t>79,921</w:t>
      </w:r>
      <w:r>
        <w:rPr>
          <w:sz w:val="20"/>
          <w:szCs w:val="20"/>
          <w:color w:val="auto"/>
        </w:rPr>
        <w:tab/>
      </w:r>
      <w:r>
        <w:rPr>
          <w:rFonts w:ascii="Courier New" w:cs="Courier New" w:eastAsia="Courier New" w:hAnsi="Courier New"/>
          <w:sz w:val="14"/>
          <w:szCs w:val="14"/>
          <w:color w:val="auto"/>
        </w:rPr>
        <w:t>106,671</w:t>
      </w:r>
      <w:r>
        <w:rPr>
          <w:sz w:val="20"/>
          <w:szCs w:val="20"/>
          <w:color w:val="auto"/>
        </w:rPr>
        <w:tab/>
      </w:r>
      <w:r>
        <w:rPr>
          <w:rFonts w:ascii="Courier New" w:cs="Courier New" w:eastAsia="Courier New" w:hAnsi="Courier New"/>
          <w:sz w:val="14"/>
          <w:szCs w:val="14"/>
          <w:color w:val="auto"/>
        </w:rPr>
        <w:t>43.93%</w:t>
      </w:r>
      <w:r>
        <w:rPr>
          <w:sz w:val="20"/>
          <w:szCs w:val="20"/>
          <w:color w:val="auto"/>
        </w:rPr>
        <w:tab/>
      </w:r>
      <w:r>
        <w:rPr>
          <w:rFonts w:ascii="Courier New" w:cs="Courier New" w:eastAsia="Courier New" w:hAnsi="Courier New"/>
          <w:sz w:val="14"/>
          <w:szCs w:val="14"/>
          <w:color w:val="auto"/>
        </w:rPr>
        <w:t>71.18%</w:t>
      </w:r>
      <w:r>
        <w:rPr>
          <w:sz w:val="20"/>
          <w:szCs w:val="20"/>
          <w:color w:val="auto"/>
        </w:rPr>
        <w:tab/>
      </w:r>
      <w:r>
        <w:rPr>
          <w:rFonts w:ascii="Courier New" w:cs="Courier New" w:eastAsia="Courier New" w:hAnsi="Courier New"/>
          <w:sz w:val="14"/>
          <w:szCs w:val="14"/>
          <w:color w:val="auto"/>
        </w:rPr>
        <w:t>64.35%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020" w:space="720"/>
            <w:col w:w="6640"/>
          </w:cols>
          <w:pgMar w:left="220" w:top="1440" w:right="2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 Retail Properties - Redevelopment Properties</w:t>
      </w:r>
    </w:p>
    <w:p>
      <w:pPr>
        <w:spacing w:after="0" w:line="20" w:lineRule="exact"/>
        <w:rPr>
          <w:sz w:val="20"/>
          <w:szCs w:val="20"/>
          <w:color w:val="auto"/>
        </w:rPr>
      </w:pPr>
      <w:r>
        <w:rPr>
          <w:sz w:val="20"/>
          <w:szCs w:val="20"/>
          <w:color w:val="auto"/>
        </w:rPr>
        <w:br w:type="column"/>
      </w:r>
    </w:p>
    <w:p>
      <w:pPr>
        <w:jc w:val="center"/>
        <w:spacing w:after="0" w:line="255" w:lineRule="auto"/>
        <w:rPr>
          <w:sz w:val="20"/>
          <w:szCs w:val="20"/>
          <w:color w:val="auto"/>
        </w:rPr>
      </w:pPr>
      <w:r>
        <w:rPr>
          <w:rFonts w:ascii="Courier New" w:cs="Courier New" w:eastAsia="Courier New" w:hAnsi="Courier New"/>
          <w:sz w:val="14"/>
          <w:szCs w:val="14"/>
          <w:color w:val="auto"/>
        </w:rPr>
        <w:t>362,970           137,010       499,980      71.20%      76.02%    72.52% -----------------------------------------------------------------------------</w:t>
      </w:r>
    </w:p>
    <w:p>
      <w:pPr>
        <w:spacing w:after="0" w:line="200" w:lineRule="exact"/>
        <w:rPr>
          <w:sz w:val="20"/>
          <w:szCs w:val="20"/>
          <w:color w:val="auto"/>
        </w:rPr>
      </w:pPr>
    </w:p>
    <w:p>
      <w:pPr>
        <w:sectPr>
          <w:pgSz w:w="11900" w:h="16838" w:orient="portrait"/>
          <w:cols w:equalWidth="0" w:num="2">
            <w:col w:w="4400" w:space="340"/>
            <w:col w:w="6640"/>
          </w:cols>
          <w:pgMar w:left="220" w:top="1440" w:right="299" w:bottom="1440" w:gutter="0" w:footer="0" w:header="0"/>
          <w:type w:val="continuous"/>
        </w:sectPr>
      </w:pPr>
    </w:p>
    <w:p>
      <w:pPr>
        <w:spacing w:after="0" w:line="126"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1440" w:right="299" w:bottom="1440" w:gutter="0" w:footer="0" w:header="0"/>
          <w:type w:val="continuous"/>
        </w:sectPr>
      </w:pP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Total: All Wholly-Owned Retail Properties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5,171,581 2,813,039 7,984,620 93.44% 79.84% 88.65% -----------------------------------------------------------------------------</w:t>
      </w:r>
    </w:p>
    <w:p>
      <w:pPr>
        <w:spacing w:after="0" w:line="160" w:lineRule="exact"/>
        <w:rPr>
          <w:sz w:val="20"/>
          <w:szCs w:val="20"/>
          <w:color w:val="auto"/>
        </w:rPr>
      </w:pPr>
    </w:p>
    <w:p>
      <w:pPr>
        <w:sectPr>
          <w:pgSz w:w="11900" w:h="16838" w:orient="portrait"/>
          <w:cols w:equalWidth="0" w:num="2">
            <w:col w:w="4580" w:space="160"/>
            <w:col w:w="6640"/>
          </w:cols>
          <w:pgMar w:left="220" w:top="1440" w:right="299" w:bottom="1440" w:gutter="0" w:footer="0" w:header="0"/>
          <w:type w:val="continuous"/>
        </w:sectPr>
      </w:pPr>
    </w:p>
    <w:p>
      <w:pPr>
        <w:ind w:left="9920"/>
        <w:spacing w:after="0"/>
        <w:rPr>
          <w:sz w:val="20"/>
          <w:szCs w:val="20"/>
          <w:color w:val="auto"/>
        </w:rPr>
      </w:pPr>
      <w:r>
        <w:rPr>
          <w:rFonts w:ascii="Courier New" w:cs="Courier New" w:eastAsia="Courier New" w:hAnsi="Courier New"/>
          <w:sz w:val="14"/>
          <w:szCs w:val="14"/>
          <w:color w:val="auto"/>
        </w:rPr>
        <w:t>Check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88.65%</w:t>
      </w:r>
    </w:p>
    <w:p>
      <w:pPr>
        <w:sectPr>
          <w:pgSz w:w="11900" w:h="16838" w:orient="portrait"/>
          <w:cols w:equalWidth="0" w:num="2">
            <w:col w:w="10340" w:space="340"/>
            <w:col w:w="700"/>
          </w:cols>
          <w:pgMar w:left="220" w:top="1440" w:right="299" w:bottom="1440" w:gutter="0" w:footer="0" w:header="0"/>
          <w:type w:val="continuous"/>
        </w:sectPr>
      </w:pPr>
    </w:p>
    <w:bookmarkStart w:id="50" w:name="page51"/>
    <w:bookmarkEnd w:id="50"/>
    <w:p>
      <w:pPr>
        <w:spacing w:after="0" w:line="171"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Unconsolidated Retail Properties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7240" w:type="dxa"/>
            <w:vAlign w:val="bottom"/>
            <w:gridSpan w:val="6"/>
          </w:tcPr>
          <w:p>
            <w:pPr>
              <w:jc w:val="center"/>
              <w:ind w:lef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ind w:left="2240"/>
              <w:spacing w:after="0"/>
              <w:rPr>
                <w:sz w:val="20"/>
                <w:szCs w:val="20"/>
                <w:color w:val="auto"/>
              </w:rPr>
            </w:pPr>
            <w:r>
              <w:rPr>
                <w:rFonts w:ascii="Courier New" w:cs="Courier New" w:eastAsia="Courier New" w:hAnsi="Courier New"/>
                <w:sz w:val="14"/>
                <w:szCs w:val="14"/>
                <w:color w:val="auto"/>
              </w:rPr>
              <w:t>New York Region</w:t>
            </w:r>
          </w:p>
        </w:tc>
        <w:tc>
          <w:tcPr>
            <w:tcW w:w="1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40" w:type="dxa"/>
            <w:vAlign w:val="bottom"/>
          </w:tcPr>
          <w:p>
            <w:pPr>
              <w:ind w:left="22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Gross Leasable Area</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780" w:type="dxa"/>
            <w:vAlign w:val="bottom"/>
          </w:tcPr>
          <w:p>
            <w:pPr>
              <w:spacing w:after="0"/>
              <w:rPr>
                <w:sz w:val="14"/>
                <w:szCs w:val="14"/>
                <w:color w:val="auto"/>
              </w:rPr>
            </w:pPr>
          </w:p>
        </w:tc>
      </w:tr>
      <w:tr>
        <w:trPr>
          <w:trHeight w:val="166"/>
        </w:trPr>
        <w:tc>
          <w:tcPr>
            <w:tcW w:w="4140" w:type="dxa"/>
            <w:vAlign w:val="bottom"/>
          </w:tcPr>
          <w:p>
            <w:pPr>
              <w:spacing w:after="0"/>
              <w:rPr>
                <w:sz w:val="14"/>
                <w:szCs w:val="14"/>
                <w:color w:val="auto"/>
              </w:rPr>
            </w:pPr>
          </w:p>
        </w:tc>
        <w:tc>
          <w:tcPr>
            <w:tcW w:w="7240" w:type="dxa"/>
            <w:vAlign w:val="bottom"/>
            <w:gridSpan w:val="6"/>
          </w:tcPr>
          <w:p>
            <w:pPr>
              <w:jc w:val="center"/>
              <w:ind w:lef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Anchors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Shops</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Anchors</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Shops</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140" w:type="dxa"/>
            <w:vAlign w:val="bottom"/>
          </w:tcPr>
          <w:p>
            <w:pPr>
              <w:spacing w:after="0"/>
              <w:rPr>
                <w:sz w:val="14"/>
                <w:szCs w:val="14"/>
                <w:color w:val="auto"/>
              </w:rPr>
            </w:pPr>
          </w:p>
        </w:tc>
        <w:tc>
          <w:tcPr>
            <w:tcW w:w="7240" w:type="dxa"/>
            <w:vAlign w:val="bottom"/>
            <w:gridSpan w:val="6"/>
          </w:tcPr>
          <w:p>
            <w:pPr>
              <w:jc w:val="center"/>
              <w:ind w:lef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CROSSROADS JOINT VENTURE (4)</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138,933</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57,116</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196,049</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84.64%</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95.53%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CROSSROADS II (4)</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52,430</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62,440</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114,870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94.19%</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96.84%</w:t>
            </w:r>
          </w:p>
        </w:tc>
      </w:tr>
      <w:tr>
        <w:trPr>
          <w:trHeight w:val="166"/>
        </w:trPr>
        <w:tc>
          <w:tcPr>
            <w:tcW w:w="4140" w:type="dxa"/>
            <w:vAlign w:val="bottom"/>
          </w:tcPr>
          <w:p>
            <w:pPr>
              <w:spacing w:after="0"/>
              <w:rPr>
                <w:sz w:val="14"/>
                <w:szCs w:val="14"/>
                <w:color w:val="auto"/>
              </w:rPr>
            </w:pPr>
          </w:p>
        </w:tc>
        <w:tc>
          <w:tcPr>
            <w:tcW w:w="7240" w:type="dxa"/>
            <w:vAlign w:val="bottom"/>
            <w:gridSpan w:val="6"/>
          </w:tcPr>
          <w:p>
            <w:pPr>
              <w:jc w:val="center"/>
              <w:ind w:lef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New York</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191,363</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119,556</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310,919</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89.63%</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96.01%</w:t>
            </w:r>
          </w:p>
        </w:tc>
      </w:tr>
      <w:tr>
        <w:trPr>
          <w:trHeight w:val="166"/>
        </w:trPr>
        <w:tc>
          <w:tcPr>
            <w:tcW w:w="4140" w:type="dxa"/>
            <w:vAlign w:val="bottom"/>
          </w:tcPr>
          <w:p>
            <w:pPr>
              <w:spacing w:after="0"/>
              <w:rPr>
                <w:sz w:val="14"/>
                <w:szCs w:val="14"/>
                <w:color w:val="auto"/>
              </w:rPr>
            </w:pPr>
          </w:p>
        </w:tc>
        <w:tc>
          <w:tcPr>
            <w:tcW w:w="7240" w:type="dxa"/>
            <w:vAlign w:val="bottom"/>
            <w:gridSpan w:val="6"/>
          </w:tcPr>
          <w:p>
            <w:pPr>
              <w:jc w:val="center"/>
              <w:ind w:lef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New York Region</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191,363</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119,556</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310,919</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89.63%</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96.01%</w:t>
            </w:r>
          </w:p>
        </w:tc>
      </w:tr>
      <w:tr>
        <w:trPr>
          <w:trHeight w:val="166"/>
        </w:trPr>
        <w:tc>
          <w:tcPr>
            <w:tcW w:w="4140" w:type="dxa"/>
            <w:vAlign w:val="bottom"/>
          </w:tcPr>
          <w:p>
            <w:pPr>
              <w:spacing w:after="0"/>
              <w:rPr>
                <w:sz w:val="14"/>
                <w:szCs w:val="14"/>
                <w:color w:val="auto"/>
              </w:rPr>
            </w:pPr>
          </w:p>
        </w:tc>
        <w:tc>
          <w:tcPr>
            <w:tcW w:w="7240" w:type="dxa"/>
            <w:vAlign w:val="bottom"/>
            <w:gridSpan w:val="6"/>
          </w:tcPr>
          <w:p>
            <w:pPr>
              <w:jc w:val="center"/>
              <w:ind w:lef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191,363</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119,556</w:t>
            </w:r>
          </w:p>
        </w:tc>
        <w:tc>
          <w:tcPr>
            <w:tcW w:w="9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310,919</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89.63%</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96.01%</w:t>
            </w:r>
          </w:p>
        </w:tc>
      </w:tr>
      <w:tr>
        <w:trPr>
          <w:trHeight w:val="166"/>
        </w:trPr>
        <w:tc>
          <w:tcPr>
            <w:tcW w:w="4140" w:type="dxa"/>
            <w:vAlign w:val="bottom"/>
          </w:tcPr>
          <w:p>
            <w:pPr>
              <w:spacing w:after="0"/>
              <w:rPr>
                <w:sz w:val="14"/>
                <w:szCs w:val="14"/>
                <w:color w:val="auto"/>
              </w:rPr>
            </w:pPr>
          </w:p>
        </w:tc>
        <w:tc>
          <w:tcPr>
            <w:tcW w:w="7240" w:type="dxa"/>
            <w:vAlign w:val="bottom"/>
            <w:gridSpan w:val="6"/>
          </w:tcPr>
          <w:p>
            <w:pPr>
              <w:jc w:val="center"/>
              <w:ind w:left="5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1440" w:right="299"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[RESTUBBED TABLE]</w:t>
      </w:r>
    </w:p>
    <w:p>
      <w:pPr>
        <w:sectPr>
          <w:pgSz w:w="11900" w:h="16838" w:orient="portrait"/>
          <w:cols w:equalWidth="0" w:num="1">
            <w:col w:w="10680"/>
          </w:cols>
          <w:pgMar w:left="220" w:top="11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700"/>
        <w:spacing w:after="0" w:line="255" w:lineRule="auto"/>
        <w:rPr>
          <w:sz w:val="20"/>
          <w:szCs w:val="20"/>
          <w:color w:val="auto"/>
        </w:rPr>
      </w:pPr>
      <w:r>
        <w:rPr>
          <w:rFonts w:ascii="Courier New" w:cs="Courier New" w:eastAsia="Courier New" w:hAnsi="Courier New"/>
          <w:sz w:val="14"/>
          <w:szCs w:val="14"/>
          <w:color w:val="auto"/>
        </w:rPr>
        <w:t>Commercial Properties by Region - Detail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5500"/>
        <w:spacing w:after="0"/>
        <w:rPr>
          <w:sz w:val="20"/>
          <w:szCs w:val="20"/>
          <w:color w:val="auto"/>
        </w:rPr>
      </w:pPr>
      <w:r>
        <w:rPr>
          <w:rFonts w:ascii="Courier New" w:cs="Courier New" w:eastAsia="Courier New" w:hAnsi="Courier New"/>
          <w:sz w:val="14"/>
          <w:szCs w:val="14"/>
          <w:color w:val="auto"/>
        </w:rPr>
        <w:t>[LOGO]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Annualized Base Rent</w:t>
      </w:r>
    </w:p>
    <w:p>
      <w:pPr>
        <w:spacing w:after="0" w:line="7" w:lineRule="exact"/>
        <w:rPr>
          <w:sz w:val="20"/>
          <w:szCs w:val="20"/>
          <w:color w:val="auto"/>
        </w:rPr>
      </w:pPr>
    </w:p>
    <w:p>
      <w:pPr>
        <w:ind w:left="940"/>
        <w:spacing w:after="0"/>
        <w:tabs>
          <w:tab w:leader="none" w:pos="3840" w:val="left"/>
        </w:tabs>
        <w:rPr>
          <w:sz w:val="20"/>
          <w:szCs w:val="20"/>
          <w:color w:val="auto"/>
        </w:rPr>
      </w:pPr>
      <w:r>
        <w:rPr>
          <w:rFonts w:ascii="Courier New" w:cs="Courier New" w:eastAsia="Courier New" w:hAnsi="Courier New"/>
          <w:sz w:val="14"/>
          <w:szCs w:val="14"/>
          <w:color w:val="auto"/>
        </w:rPr>
        <w:t>Annualized Base Rent</w:t>
      </w:r>
      <w:r>
        <w:rPr>
          <w:sz w:val="20"/>
          <w:szCs w:val="20"/>
          <w:color w:val="auto"/>
        </w:rPr>
        <w:tab/>
      </w:r>
      <w:r>
        <w:rPr>
          <w:rFonts w:ascii="Courier New" w:cs="Courier New" w:eastAsia="Courier New" w:hAnsi="Courier New"/>
          <w:sz w:val="14"/>
          <w:szCs w:val="14"/>
          <w:color w:val="auto"/>
        </w:rPr>
        <w:t>per Occupied Square Foot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4140" w:space="440"/>
            <w:col w:w="6100"/>
          </w:cols>
          <w:pgMar w:left="220" w:top="1113" w:right="999" w:bottom="1440" w:gutter="0" w:footer="0" w:header="0"/>
          <w:type w:val="continuous"/>
        </w:sectPr>
      </w:pPr>
    </w:p>
    <w:p>
      <w:pPr>
        <w:ind w:left="1820"/>
        <w:spacing w:after="0"/>
        <w:rPr>
          <w:sz w:val="20"/>
          <w:szCs w:val="20"/>
          <w:color w:val="auto"/>
        </w:rPr>
      </w:pPr>
      <w:r>
        <w:rPr>
          <w:rFonts w:ascii="Courier New" w:cs="Courier New" w:eastAsia="Courier New" w:hAnsi="Courier New"/>
          <w:sz w:val="14"/>
          <w:szCs w:val="14"/>
          <w:color w:val="auto"/>
        </w:rPr>
        <w:t>Redevelopment Properties(1)</w:t>
      </w:r>
    </w:p>
    <w:p>
      <w:pPr>
        <w:sectPr>
          <w:pgSz w:w="11900" w:h="16838" w:orient="portrait"/>
          <w:cols w:equalWidth="0" w:num="1">
            <w:col w:w="10680"/>
          </w:cols>
          <w:pgMar w:left="220" w:top="1113" w:right="99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ABINGTON TOWNE CENTER (Pennsylvania)(2)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GATEWAY SHOPPING CENTER (Vermont)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METHUEN SHOPPING CENTER (Massachusetts)(3)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ELMWOOD PARK SHOPPING CENTER (New Jersey)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20"/>
        <w:spacing w:after="0"/>
        <w:tabs>
          <w:tab w:leader="none" w:pos="1780" w:val="left"/>
          <w:tab w:leader="none" w:pos="2980" w:val="left"/>
          <w:tab w:leader="none" w:pos="4020" w:val="left"/>
          <w:tab w:leader="none" w:pos="4800" w:val="left"/>
          <w:tab w:leader="none" w:pos="5580" w:val="left"/>
        </w:tabs>
        <w:rPr>
          <w:sz w:val="20"/>
          <w:szCs w:val="20"/>
          <w:color w:val="auto"/>
        </w:rPr>
      </w:pPr>
      <w:r>
        <w:rPr>
          <w:rFonts w:ascii="Courier New" w:cs="Courier New" w:eastAsia="Courier New" w:hAnsi="Courier New"/>
          <w:sz w:val="14"/>
          <w:szCs w:val="14"/>
          <w:color w:val="auto"/>
        </w:rPr>
        <w:t>256,500</w:t>
      </w:r>
      <w:r>
        <w:rPr>
          <w:sz w:val="20"/>
          <w:szCs w:val="20"/>
          <w:color w:val="auto"/>
        </w:rPr>
        <w:tab/>
      </w:r>
      <w:r>
        <w:rPr>
          <w:rFonts w:ascii="Courier New" w:cs="Courier New" w:eastAsia="Courier New" w:hAnsi="Courier New"/>
          <w:sz w:val="14"/>
          <w:szCs w:val="14"/>
          <w:color w:val="auto"/>
        </w:rPr>
        <w:t>463,012</w:t>
      </w:r>
      <w:r>
        <w:rPr>
          <w:sz w:val="20"/>
          <w:szCs w:val="20"/>
          <w:color w:val="auto"/>
        </w:rPr>
        <w:tab/>
      </w:r>
      <w:r>
        <w:rPr>
          <w:rFonts w:ascii="Courier New" w:cs="Courier New" w:eastAsia="Courier New" w:hAnsi="Courier New"/>
          <w:sz w:val="14"/>
          <w:szCs w:val="14"/>
          <w:color w:val="auto"/>
        </w:rPr>
        <w:t>719,512</w:t>
      </w:r>
      <w:r>
        <w:rPr>
          <w:sz w:val="20"/>
          <w:szCs w:val="20"/>
          <w:color w:val="auto"/>
        </w:rPr>
        <w:tab/>
      </w:r>
      <w:r>
        <w:rPr>
          <w:rFonts w:ascii="Courier New" w:cs="Courier New" w:eastAsia="Courier New" w:hAnsi="Courier New"/>
          <w:sz w:val="14"/>
          <w:szCs w:val="14"/>
          <w:color w:val="auto"/>
        </w:rPr>
        <w:t>9.50</w:t>
      </w:r>
      <w:r>
        <w:rPr>
          <w:sz w:val="20"/>
          <w:szCs w:val="20"/>
          <w:color w:val="auto"/>
        </w:rPr>
        <w:tab/>
      </w:r>
      <w:r>
        <w:rPr>
          <w:rFonts w:ascii="Courier New" w:cs="Courier New" w:eastAsia="Courier New" w:hAnsi="Courier New"/>
          <w:sz w:val="14"/>
          <w:szCs w:val="14"/>
          <w:color w:val="auto"/>
        </w:rPr>
        <w:t>17.96</w:t>
      </w:r>
      <w:r>
        <w:rPr>
          <w:sz w:val="20"/>
          <w:szCs w:val="20"/>
          <w:color w:val="auto"/>
        </w:rPr>
        <w:tab/>
      </w:r>
      <w:r>
        <w:rPr>
          <w:rFonts w:ascii="Courier New" w:cs="Courier New" w:eastAsia="Courier New" w:hAnsi="Courier New"/>
          <w:sz w:val="14"/>
          <w:szCs w:val="14"/>
          <w:color w:val="auto"/>
        </w:rPr>
        <w:t>13.63</w:t>
      </w:r>
    </w:p>
    <w:p>
      <w:pPr>
        <w:spacing w:after="0" w:line="7" w:lineRule="exact"/>
        <w:rPr>
          <w:sz w:val="20"/>
          <w:szCs w:val="20"/>
          <w:color w:val="auto"/>
        </w:rPr>
      </w:pPr>
    </w:p>
    <w:p>
      <w:pPr>
        <w:ind w:left="520"/>
        <w:spacing w:after="0"/>
        <w:tabs>
          <w:tab w:leader="none" w:pos="1780" w:val="left"/>
          <w:tab w:leader="none" w:pos="2980" w:val="left"/>
          <w:tab w:leader="none" w:pos="4020" w:val="left"/>
          <w:tab w:leader="none" w:pos="4800" w:val="left"/>
          <w:tab w:leader="none" w:pos="5660" w:val="left"/>
        </w:tabs>
        <w:rPr>
          <w:sz w:val="20"/>
          <w:szCs w:val="20"/>
          <w:color w:val="auto"/>
        </w:rPr>
      </w:pPr>
      <w:r>
        <w:rPr>
          <w:rFonts w:ascii="Courier New" w:cs="Courier New" w:eastAsia="Courier New" w:hAnsi="Courier New"/>
          <w:sz w:val="14"/>
          <w:szCs w:val="14"/>
          <w:color w:val="auto"/>
        </w:rPr>
        <w:t>126,400</w:t>
      </w:r>
      <w:r>
        <w:rPr>
          <w:sz w:val="20"/>
          <w:szCs w:val="20"/>
          <w:color w:val="auto"/>
        </w:rPr>
        <w:tab/>
      </w:r>
      <w:r>
        <w:rPr>
          <w:rFonts w:ascii="Courier New" w:cs="Courier New" w:eastAsia="Courier New" w:hAnsi="Courier New"/>
          <w:sz w:val="14"/>
          <w:szCs w:val="14"/>
          <w:color w:val="auto"/>
        </w:rPr>
        <w:t>195,695</w:t>
      </w:r>
      <w:r>
        <w:rPr>
          <w:sz w:val="20"/>
          <w:szCs w:val="20"/>
          <w:color w:val="auto"/>
        </w:rPr>
        <w:tab/>
      </w:r>
      <w:r>
        <w:rPr>
          <w:rFonts w:ascii="Courier New" w:cs="Courier New" w:eastAsia="Courier New" w:hAnsi="Courier New"/>
          <w:sz w:val="14"/>
          <w:szCs w:val="14"/>
          <w:color w:val="auto"/>
        </w:rPr>
        <w:t>322,095</w:t>
      </w:r>
      <w:r>
        <w:rPr>
          <w:sz w:val="20"/>
          <w:szCs w:val="20"/>
          <w:color w:val="auto"/>
        </w:rPr>
        <w:tab/>
      </w:r>
      <w:r>
        <w:rPr>
          <w:rFonts w:ascii="Courier New" w:cs="Courier New" w:eastAsia="Courier New" w:hAnsi="Courier New"/>
          <w:sz w:val="14"/>
          <w:szCs w:val="14"/>
          <w:color w:val="auto"/>
        </w:rPr>
        <w:t>4.00</w:t>
      </w:r>
      <w:r>
        <w:rPr>
          <w:sz w:val="20"/>
          <w:szCs w:val="20"/>
          <w:color w:val="auto"/>
        </w:rPr>
        <w:tab/>
      </w:r>
      <w:r>
        <w:rPr>
          <w:rFonts w:ascii="Courier New" w:cs="Courier New" w:eastAsia="Courier New" w:hAnsi="Courier New"/>
          <w:sz w:val="14"/>
          <w:szCs w:val="14"/>
          <w:color w:val="auto"/>
        </w:rPr>
        <w:t>17.40</w:t>
      </w:r>
      <w:r>
        <w:rPr>
          <w:sz w:val="20"/>
          <w:szCs w:val="20"/>
          <w:color w:val="auto"/>
        </w:rPr>
        <w:tab/>
      </w:r>
      <w:r>
        <w:rPr>
          <w:rFonts w:ascii="Courier New" w:cs="Courier New" w:eastAsia="Courier New" w:hAnsi="Courier New"/>
          <w:sz w:val="14"/>
          <w:szCs w:val="14"/>
          <w:color w:val="auto"/>
        </w:rPr>
        <w:t>7.52</w:t>
      </w:r>
    </w:p>
    <w:p>
      <w:pPr>
        <w:spacing w:after="0" w:line="7" w:lineRule="exact"/>
        <w:rPr>
          <w:sz w:val="20"/>
          <w:szCs w:val="20"/>
          <w:color w:val="auto"/>
        </w:rPr>
      </w:pPr>
    </w:p>
    <w:p>
      <w:pPr>
        <w:ind w:left="520"/>
        <w:spacing w:after="0"/>
        <w:tabs>
          <w:tab w:leader="none" w:pos="1860" w:val="left"/>
          <w:tab w:leader="none" w:pos="2980" w:val="left"/>
          <w:tab w:leader="none" w:pos="4020" w:val="left"/>
          <w:tab w:leader="none" w:pos="4880" w:val="left"/>
          <w:tab w:leader="none" w:pos="5660" w:val="left"/>
        </w:tabs>
        <w:rPr>
          <w:sz w:val="20"/>
          <w:szCs w:val="20"/>
          <w:color w:val="auto"/>
        </w:rPr>
      </w:pPr>
      <w:r>
        <w:rPr>
          <w:rFonts w:ascii="Courier New" w:cs="Courier New" w:eastAsia="Courier New" w:hAnsi="Courier New"/>
          <w:sz w:val="14"/>
          <w:szCs w:val="14"/>
          <w:color w:val="auto"/>
        </w:rPr>
        <w:t>109,656</w:t>
      </w:r>
      <w:r>
        <w:rPr>
          <w:sz w:val="20"/>
          <w:szCs w:val="20"/>
          <w:color w:val="auto"/>
        </w:rPr>
        <w:tab/>
      </w:r>
      <w:r>
        <w:rPr>
          <w:rFonts w:ascii="Courier New" w:cs="Courier New" w:eastAsia="Courier New" w:hAnsi="Courier New"/>
          <w:sz w:val="14"/>
          <w:szCs w:val="14"/>
          <w:color w:val="auto"/>
        </w:rPr>
        <w:t>92,308</w:t>
      </w:r>
      <w:r>
        <w:rPr>
          <w:sz w:val="20"/>
          <w:szCs w:val="20"/>
          <w:color w:val="auto"/>
        </w:rPr>
        <w:tab/>
      </w:r>
      <w:r>
        <w:rPr>
          <w:rFonts w:ascii="Courier New" w:cs="Courier New" w:eastAsia="Courier New" w:hAnsi="Courier New"/>
          <w:sz w:val="14"/>
          <w:szCs w:val="14"/>
          <w:color w:val="auto"/>
        </w:rPr>
        <w:t>201,964</w:t>
      </w:r>
      <w:r>
        <w:rPr>
          <w:sz w:val="20"/>
          <w:szCs w:val="20"/>
          <w:color w:val="auto"/>
        </w:rPr>
        <w:tab/>
      </w:r>
      <w:r>
        <w:rPr>
          <w:rFonts w:ascii="Courier New" w:cs="Courier New" w:eastAsia="Courier New" w:hAnsi="Courier New"/>
          <w:sz w:val="14"/>
          <w:szCs w:val="14"/>
          <w:color w:val="auto"/>
        </w:rPr>
        <w:t>3.60</w:t>
      </w:r>
      <w:r>
        <w:rPr>
          <w:sz w:val="20"/>
          <w:szCs w:val="20"/>
          <w:color w:val="auto"/>
        </w:rPr>
        <w:tab/>
      </w:r>
      <w:r>
        <w:rPr>
          <w:rFonts w:ascii="Courier New" w:cs="Courier New" w:eastAsia="Courier New" w:hAnsi="Courier New"/>
          <w:sz w:val="14"/>
          <w:szCs w:val="14"/>
          <w:color w:val="auto"/>
        </w:rPr>
        <w:t>9.02</w:t>
      </w:r>
      <w:r>
        <w:rPr>
          <w:sz w:val="20"/>
          <w:szCs w:val="20"/>
          <w:color w:val="auto"/>
        </w:rPr>
        <w:tab/>
      </w:r>
      <w:r>
        <w:rPr>
          <w:rFonts w:ascii="Courier New" w:cs="Courier New" w:eastAsia="Courier New" w:hAnsi="Courier New"/>
          <w:sz w:val="14"/>
          <w:szCs w:val="14"/>
          <w:color w:val="auto"/>
        </w:rPr>
        <w:t>4.96</w:t>
      </w:r>
    </w:p>
    <w:p>
      <w:pPr>
        <w:spacing w:after="0" w:line="7" w:lineRule="exact"/>
        <w:rPr>
          <w:sz w:val="20"/>
          <w:szCs w:val="20"/>
          <w:color w:val="auto"/>
        </w:rPr>
      </w:pPr>
    </w:p>
    <w:p>
      <w:pPr>
        <w:ind w:left="600"/>
        <w:spacing w:after="0"/>
        <w:tabs>
          <w:tab w:leader="none" w:pos="1620" w:val="left"/>
          <w:tab w:leader="none" w:pos="2820" w:val="left"/>
          <w:tab w:leader="none" w:pos="4020" w:val="left"/>
          <w:tab w:leader="none" w:pos="4800" w:val="left"/>
          <w:tab w:leader="none" w:pos="5580" w:val="left"/>
        </w:tabs>
        <w:rPr>
          <w:sz w:val="20"/>
          <w:szCs w:val="20"/>
          <w:color w:val="auto"/>
        </w:rPr>
      </w:pPr>
      <w:r>
        <w:rPr>
          <w:rFonts w:ascii="Courier New" w:cs="Courier New" w:eastAsia="Courier New" w:hAnsi="Courier New"/>
          <w:sz w:val="14"/>
          <w:szCs w:val="14"/>
          <w:color w:val="auto"/>
        </w:rPr>
        <w:t>79,665</w:t>
      </w:r>
      <w:r>
        <w:rPr>
          <w:sz w:val="20"/>
          <w:szCs w:val="20"/>
          <w:color w:val="auto"/>
        </w:rPr>
        <w:tab/>
      </w:r>
      <w:r>
        <w:rPr>
          <w:rFonts w:ascii="Courier New" w:cs="Courier New" w:eastAsia="Courier New" w:hAnsi="Courier New"/>
          <w:sz w:val="14"/>
          <w:szCs w:val="14"/>
          <w:color w:val="auto"/>
        </w:rPr>
        <w:t>1,201,225</w:t>
      </w:r>
      <w:r>
        <w:rPr>
          <w:sz w:val="20"/>
          <w:szCs w:val="20"/>
          <w:color w:val="auto"/>
        </w:rPr>
        <w:tab/>
      </w:r>
      <w:r>
        <w:rPr>
          <w:rFonts w:ascii="Courier New" w:cs="Courier New" w:eastAsia="Courier New" w:hAnsi="Courier New"/>
          <w:sz w:val="14"/>
          <w:szCs w:val="14"/>
          <w:color w:val="auto"/>
        </w:rPr>
        <w:t>1,280,890</w:t>
      </w:r>
      <w:r>
        <w:rPr>
          <w:sz w:val="20"/>
          <w:szCs w:val="20"/>
          <w:color w:val="auto"/>
        </w:rPr>
        <w:tab/>
      </w:r>
      <w:r>
        <w:rPr>
          <w:rFonts w:ascii="Courier New" w:cs="Courier New" w:eastAsia="Courier New" w:hAnsi="Courier New"/>
          <w:sz w:val="14"/>
          <w:szCs w:val="14"/>
          <w:color w:val="auto"/>
        </w:rPr>
        <w:t>6.78</w:t>
      </w:r>
      <w:r>
        <w:rPr>
          <w:sz w:val="20"/>
          <w:szCs w:val="20"/>
          <w:color w:val="auto"/>
        </w:rPr>
        <w:tab/>
      </w:r>
      <w:r>
        <w:rPr>
          <w:rFonts w:ascii="Courier New" w:cs="Courier New" w:eastAsia="Courier New" w:hAnsi="Courier New"/>
          <w:sz w:val="14"/>
          <w:szCs w:val="14"/>
          <w:color w:val="auto"/>
        </w:rPr>
        <w:t>21.12</w:t>
      </w:r>
      <w:r>
        <w:rPr>
          <w:sz w:val="20"/>
          <w:szCs w:val="20"/>
          <w:color w:val="auto"/>
        </w:rPr>
        <w:tab/>
      </w:r>
      <w:r>
        <w:rPr>
          <w:rFonts w:ascii="Courier New" w:cs="Courier New" w:eastAsia="Courier New" w:hAnsi="Courier New"/>
          <w:sz w:val="14"/>
          <w:szCs w:val="14"/>
          <w:color w:val="auto"/>
        </w:rPr>
        <w:t>18.66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860" w:space="720"/>
            <w:col w:w="6100"/>
          </w:cols>
          <w:pgMar w:left="220" w:top="1113" w:right="9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 Retail Properties - Redevelopment Properties</w:t>
      </w:r>
    </w:p>
    <w:p>
      <w:pPr>
        <w:spacing w:after="0" w:line="20" w:lineRule="exact"/>
        <w:rPr>
          <w:sz w:val="20"/>
          <w:szCs w:val="20"/>
          <w:color w:val="auto"/>
        </w:rPr>
      </w:pPr>
      <w:r>
        <w:rPr>
          <w:sz w:val="20"/>
          <w:szCs w:val="20"/>
          <w:color w:val="auto"/>
        </w:rPr>
        <w:br w:type="column"/>
      </w:r>
    </w:p>
    <w:p>
      <w:pPr>
        <w:ind w:left="340"/>
        <w:spacing w:after="0"/>
        <w:tabs>
          <w:tab w:leader="none" w:pos="1440" w:val="left"/>
          <w:tab w:leader="none" w:pos="2640" w:val="left"/>
          <w:tab w:leader="none" w:pos="3840" w:val="left"/>
          <w:tab w:leader="none" w:pos="4620" w:val="left"/>
          <w:tab w:leader="none" w:pos="5400" w:val="left"/>
        </w:tabs>
        <w:rPr>
          <w:sz w:val="20"/>
          <w:szCs w:val="20"/>
          <w:color w:val="auto"/>
        </w:rPr>
      </w:pPr>
      <w:r>
        <w:rPr>
          <w:rFonts w:ascii="Courier New" w:cs="Courier New" w:eastAsia="Courier New" w:hAnsi="Courier New"/>
          <w:sz w:val="14"/>
          <w:szCs w:val="14"/>
          <w:color w:val="auto"/>
        </w:rPr>
        <w:t>$ 572,221</w:t>
      </w:r>
      <w:r>
        <w:rPr>
          <w:sz w:val="20"/>
          <w:szCs w:val="20"/>
          <w:color w:val="auto"/>
        </w:rPr>
        <w:tab/>
      </w:r>
      <w:r>
        <w:rPr>
          <w:rFonts w:ascii="Courier New" w:cs="Courier New" w:eastAsia="Courier New" w:hAnsi="Courier New"/>
          <w:sz w:val="14"/>
          <w:szCs w:val="14"/>
          <w:color w:val="auto"/>
        </w:rPr>
        <w:t>$ 1,952,240</w:t>
      </w:r>
      <w:r>
        <w:rPr>
          <w:sz w:val="20"/>
          <w:szCs w:val="20"/>
          <w:color w:val="auto"/>
        </w:rPr>
        <w:tab/>
      </w:r>
      <w:r>
        <w:rPr>
          <w:rFonts w:ascii="Courier New" w:cs="Courier New" w:eastAsia="Courier New" w:hAnsi="Courier New"/>
          <w:sz w:val="14"/>
          <w:szCs w:val="14"/>
          <w:color w:val="auto"/>
        </w:rPr>
        <w:t>$ 2,524,461</w:t>
        <w:tab/>
        <w:t>$ 5.68</w:t>
      </w:r>
      <w:r>
        <w:rPr>
          <w:sz w:val="20"/>
          <w:szCs w:val="20"/>
          <w:color w:val="auto"/>
        </w:rPr>
        <w:tab/>
      </w:r>
      <w:r>
        <w:rPr>
          <w:rFonts w:ascii="Courier New" w:cs="Courier New" w:eastAsia="Courier New" w:hAnsi="Courier New"/>
          <w:sz w:val="14"/>
          <w:szCs w:val="14"/>
          <w:color w:val="auto"/>
        </w:rPr>
        <w:t>$ 18.74</w:t>
        <w:tab/>
        <w:t>$ 12.32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400" w:space="180"/>
            <w:col w:w="6100"/>
          </w:cols>
          <w:pgMar w:left="220" w:top="1113" w:right="999" w:bottom="1440" w:gutter="0" w:footer="0" w:header="0"/>
          <w:type w:val="continuous"/>
        </w:sectPr>
      </w:pPr>
    </w:p>
    <w:p>
      <w:pPr>
        <w:spacing w:after="0" w:line="138"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680"/>
          </w:cols>
          <w:pgMar w:left="220" w:top="1113" w:right="999" w:bottom="1440" w:gutter="0" w:footer="0" w:header="0"/>
          <w:type w:val="continuous"/>
        </w:sectPr>
      </w:pP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 All Wholly-Owned Retail Properties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line="255" w:lineRule="auto"/>
        <w:rPr>
          <w:sz w:val="20"/>
          <w:szCs w:val="20"/>
          <w:color w:val="auto"/>
        </w:rPr>
      </w:pPr>
      <w:r>
        <w:rPr>
          <w:rFonts w:ascii="Courier New" w:cs="Courier New" w:eastAsia="Courier New" w:hAnsi="Courier New"/>
          <w:sz w:val="14"/>
          <w:szCs w:val="14"/>
          <w:color w:val="auto"/>
        </w:rPr>
        <w:t>$ 26,524,136   $ 23,736,260  $ 50,260,396   $ 5.79   $ 10.57   $ 7.37 -----------------------------------------------------------------------</w:t>
      </w:r>
    </w:p>
    <w:p>
      <w:pPr>
        <w:spacing w:after="0" w:line="160" w:lineRule="exact"/>
        <w:rPr>
          <w:sz w:val="20"/>
          <w:szCs w:val="20"/>
          <w:color w:val="auto"/>
        </w:rPr>
      </w:pPr>
    </w:p>
    <w:p>
      <w:pPr>
        <w:sectPr>
          <w:pgSz w:w="11900" w:h="16838" w:orient="portrait"/>
          <w:cols w:equalWidth="0" w:num="2">
            <w:col w:w="4400" w:space="180"/>
            <w:col w:w="6100"/>
          </w:cols>
          <w:pgMar w:left="220" w:top="1113" w:right="999" w:bottom="1440" w:gutter="0" w:footer="0" w:header="0"/>
          <w:type w:val="continuous"/>
        </w:sectPr>
      </w:pPr>
    </w:p>
    <w:p>
      <w:pPr>
        <w:ind w:left="10080"/>
        <w:spacing w:after="0"/>
        <w:rPr>
          <w:sz w:val="20"/>
          <w:szCs w:val="20"/>
          <w:color w:val="auto"/>
        </w:rPr>
      </w:pPr>
      <w:r>
        <w:rPr>
          <w:rFonts w:ascii="Courier New" w:cs="Courier New" w:eastAsia="Courier New" w:hAnsi="Courier New"/>
          <w:sz w:val="14"/>
          <w:szCs w:val="14"/>
          <w:color w:val="auto"/>
        </w:rPr>
        <w:t>$ 7.37</w:t>
      </w:r>
    </w:p>
    <w:p>
      <w:pPr>
        <w:sectPr>
          <w:pgSz w:w="11900" w:h="16838" w:orient="portrait"/>
          <w:cols w:equalWidth="0" w:num="1">
            <w:col w:w="10680"/>
          </w:cols>
          <w:pgMar w:left="220" w:top="1113" w:right="99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[RESTUBBED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Unconsolidated Retail Properties</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6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Annualized Base Rent</w:t>
            </w:r>
          </w:p>
        </w:tc>
        <w:tc>
          <w:tcPr>
            <w:tcW w:w="680" w:type="dxa"/>
            <w:vAlign w:val="bottom"/>
          </w:tcPr>
          <w:p>
            <w:pPr>
              <w:spacing w:after="0"/>
              <w:rPr>
                <w:sz w:val="14"/>
                <w:szCs w:val="14"/>
                <w:color w:val="auto"/>
              </w:rPr>
            </w:pPr>
          </w:p>
        </w:tc>
      </w:tr>
      <w:tr>
        <w:trPr>
          <w:trHeight w:val="166"/>
        </w:trPr>
        <w:tc>
          <w:tcPr>
            <w:tcW w:w="3720" w:type="dxa"/>
            <w:vAlign w:val="bottom"/>
          </w:tcPr>
          <w:p>
            <w:pPr>
              <w:ind w:left="2240"/>
              <w:spacing w:after="0"/>
              <w:rPr>
                <w:sz w:val="20"/>
                <w:szCs w:val="20"/>
                <w:color w:val="auto"/>
              </w:rPr>
            </w:pPr>
            <w:r>
              <w:rPr>
                <w:rFonts w:ascii="Courier New" w:cs="Courier New" w:eastAsia="Courier New" w:hAnsi="Courier New"/>
                <w:sz w:val="14"/>
                <w:szCs w:val="14"/>
                <w:color w:val="auto"/>
              </w:rPr>
              <w:t>New York Region</w:t>
            </w:r>
          </w:p>
        </w:tc>
        <w:tc>
          <w:tcPr>
            <w:tcW w:w="29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Annualized Base Rent</w:t>
            </w:r>
          </w:p>
        </w:tc>
        <w:tc>
          <w:tcPr>
            <w:tcW w:w="1300" w:type="dxa"/>
            <w:vAlign w:val="bottom"/>
          </w:tcPr>
          <w:p>
            <w:pPr>
              <w:spacing w:after="0"/>
              <w:rPr>
                <w:sz w:val="14"/>
                <w:szCs w:val="14"/>
                <w:color w:val="auto"/>
              </w:rPr>
            </w:pPr>
          </w:p>
        </w:tc>
        <w:tc>
          <w:tcPr>
            <w:tcW w:w="27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per Occupied Square Foot</w:t>
            </w:r>
          </w:p>
        </w:tc>
      </w:tr>
      <w:tr>
        <w:trPr>
          <w:trHeight w:val="166"/>
        </w:trPr>
        <w:tc>
          <w:tcPr>
            <w:tcW w:w="3720" w:type="dxa"/>
            <w:vAlign w:val="bottom"/>
          </w:tcPr>
          <w:p>
            <w:pPr>
              <w:ind w:left="2240"/>
              <w:spacing w:after="0"/>
              <w:rPr>
                <w:sz w:val="20"/>
                <w:szCs w:val="20"/>
                <w:color w:val="auto"/>
              </w:rPr>
            </w:pPr>
            <w:r>
              <w:rPr>
                <w:rFonts w:ascii="Courier New" w:cs="Courier New" w:eastAsia="Courier New" w:hAnsi="Courier New"/>
                <w:sz w:val="14"/>
                <w:szCs w:val="14"/>
                <w:color w:val="auto"/>
              </w:rPr>
              <w:t>---------------</w:t>
            </w:r>
          </w:p>
        </w:tc>
        <w:tc>
          <w:tcPr>
            <w:tcW w:w="6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Anchors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Shops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Anchors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Shops</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720" w:type="dxa"/>
            <w:vAlign w:val="bottom"/>
          </w:tcPr>
          <w:p>
            <w:pPr>
              <w:spacing w:after="0"/>
              <w:rPr>
                <w:sz w:val="14"/>
                <w:szCs w:val="14"/>
                <w:color w:val="auto"/>
              </w:rPr>
            </w:pPr>
          </w:p>
        </w:tc>
        <w:tc>
          <w:tcPr>
            <w:tcW w:w="6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CROSSROADS JOINT VENTURE (4)</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$ 1,070,250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$ 1,344,637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$ 2,414,887</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$ 7.70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$ 27.81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$ 12.89</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CROSSROADS II (4)</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720,296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1,757,992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2,478,288</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22.28</w:t>
            </w:r>
          </w:p>
        </w:tc>
      </w:tr>
      <w:tr>
        <w:trPr>
          <w:trHeight w:val="166"/>
        </w:trPr>
        <w:tc>
          <w:tcPr>
            <w:tcW w:w="3720" w:type="dxa"/>
            <w:vAlign w:val="bottom"/>
          </w:tcPr>
          <w:p>
            <w:pPr>
              <w:spacing w:after="0"/>
              <w:rPr>
                <w:sz w:val="14"/>
                <w:szCs w:val="14"/>
                <w:color w:val="auto"/>
              </w:rPr>
            </w:pPr>
          </w:p>
        </w:tc>
        <w:tc>
          <w:tcPr>
            <w:tcW w:w="6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New York</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1,790,546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3,102,629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4,893,175</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16.39</w:t>
            </w:r>
          </w:p>
        </w:tc>
      </w:tr>
      <w:tr>
        <w:trPr>
          <w:trHeight w:val="166"/>
        </w:trPr>
        <w:tc>
          <w:tcPr>
            <w:tcW w:w="3720" w:type="dxa"/>
            <w:vAlign w:val="bottom"/>
          </w:tcPr>
          <w:p>
            <w:pPr>
              <w:spacing w:after="0"/>
              <w:rPr>
                <w:sz w:val="14"/>
                <w:szCs w:val="14"/>
                <w:color w:val="auto"/>
              </w:rPr>
            </w:pPr>
          </w:p>
        </w:tc>
        <w:tc>
          <w:tcPr>
            <w:tcW w:w="6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New York Region</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1,790,546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3,102,629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4,893,175</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16.39</w:t>
            </w:r>
          </w:p>
        </w:tc>
      </w:tr>
      <w:tr>
        <w:trPr>
          <w:trHeight w:val="166"/>
        </w:trPr>
        <w:tc>
          <w:tcPr>
            <w:tcW w:w="3720" w:type="dxa"/>
            <w:vAlign w:val="bottom"/>
          </w:tcPr>
          <w:p>
            <w:pPr>
              <w:spacing w:after="0"/>
              <w:rPr>
                <w:sz w:val="14"/>
                <w:szCs w:val="14"/>
                <w:color w:val="auto"/>
              </w:rPr>
            </w:pPr>
          </w:p>
        </w:tc>
        <w:tc>
          <w:tcPr>
            <w:tcW w:w="6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$ 1,790,546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$ 3,102,629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$ 4,893,175</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$ 9.36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$ 28.95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$ 16.39</w:t>
            </w:r>
          </w:p>
        </w:tc>
      </w:tr>
      <w:tr>
        <w:trPr>
          <w:trHeight w:val="166"/>
        </w:trPr>
        <w:tc>
          <w:tcPr>
            <w:tcW w:w="3720" w:type="dxa"/>
            <w:vAlign w:val="bottom"/>
          </w:tcPr>
          <w:p>
            <w:pPr>
              <w:spacing w:after="0"/>
              <w:rPr>
                <w:sz w:val="14"/>
                <w:szCs w:val="14"/>
                <w:color w:val="auto"/>
              </w:rPr>
            </w:pPr>
          </w:p>
        </w:tc>
        <w:tc>
          <w:tcPr>
            <w:tcW w:w="69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3960"/>
        <w:spacing w:after="0" w:line="252" w:lineRule="auto"/>
        <w:rPr>
          <w:sz w:val="20"/>
          <w:szCs w:val="20"/>
          <w:color w:val="auto"/>
        </w:rPr>
      </w:pPr>
      <w:r>
        <w:rPr>
          <w:rFonts w:ascii="Courier New" w:cs="Courier New" w:eastAsia="Courier New" w:hAnsi="Courier New"/>
          <w:sz w:val="14"/>
          <w:szCs w:val="14"/>
          <w:color w:val="auto"/>
        </w:rPr>
        <w:t>General note - The above occupancy and rent amounts do not include space which is currently leased, but for which rent payment has not yet commenced. Tenants who comprise greater than 10% of a center's GLA are considered anchor tenants.</w:t>
      </w:r>
    </w:p>
    <w:p>
      <w:pPr>
        <w:spacing w:after="0" w:line="163" w:lineRule="exact"/>
        <w:rPr>
          <w:sz w:val="20"/>
          <w:szCs w:val="20"/>
          <w:color w:val="auto"/>
        </w:rPr>
      </w:pPr>
    </w:p>
    <w:p>
      <w:pPr>
        <w:ind w:left="440" w:right="3860" w:hanging="432"/>
        <w:spacing w:after="0" w:line="250"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currently has 4 redevelopment projects as further described on page 41</w:t>
      </w:r>
    </w:p>
    <w:p>
      <w:pPr>
        <w:ind w:left="440" w:right="3860" w:hanging="432"/>
        <w:spacing w:after="0" w:line="250"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GLA includes a 157,616 square foot Target which is not owned by the Company. This square footage has been adjusted out in calculating annualized base rent per square foot.</w:t>
      </w:r>
    </w:p>
    <w:p>
      <w:pPr>
        <w:spacing w:after="0" w:line="1" w:lineRule="exact"/>
        <w:rPr>
          <w:rFonts w:ascii="Courier New" w:cs="Courier New" w:eastAsia="Courier New" w:hAnsi="Courier New"/>
          <w:sz w:val="14"/>
          <w:szCs w:val="14"/>
          <w:color w:val="auto"/>
        </w:rPr>
      </w:pPr>
    </w:p>
    <w:p>
      <w:pPr>
        <w:ind w:left="440" w:right="3860" w:hanging="432"/>
        <w:spacing w:after="0" w:line="250"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Wal*Mart opened in 89,000 square feet subsequent to the third quarter 2001 (October 29, 2001). This occupancy is not reflected as of September 30, 2001.</w:t>
      </w:r>
    </w:p>
    <w:p>
      <w:pPr>
        <w:spacing w:after="0" w:line="1" w:lineRule="exact"/>
        <w:rPr>
          <w:rFonts w:ascii="Courier New" w:cs="Courier New" w:eastAsia="Courier New" w:hAnsi="Courier New"/>
          <w:sz w:val="14"/>
          <w:szCs w:val="14"/>
          <w:color w:val="auto"/>
        </w:rPr>
      </w:pPr>
    </w:p>
    <w:p>
      <w:pPr>
        <w:ind w:left="440" w:right="3960" w:hanging="432"/>
        <w:spacing w:after="0" w:line="255"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49% interest in these partnerships which, together, own the Crossroads Shopping Center.</w:t>
      </w:r>
    </w:p>
    <w:p>
      <w:pPr>
        <w:sectPr>
          <w:pgSz w:w="11900" w:h="16838" w:orient="portrait"/>
          <w:cols w:equalWidth="0" w:num="1">
            <w:col w:w="10680"/>
          </w:cols>
          <w:pgMar w:left="220" w:top="1113" w:right="999" w:bottom="1440" w:gutter="0" w:footer="0" w:header="0"/>
          <w:type w:val="continuous"/>
        </w:sectPr>
      </w:pPr>
    </w:p>
    <w:bookmarkStart w:id="52" w:name="page53"/>
    <w:bookmarkEnd w:id="52"/>
    <w:p>
      <w:pPr>
        <w:spacing w:after="0" w:line="38"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SEPTEMBER 30, 2001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338" w:lineRule="exact"/>
        <w:rPr>
          <w:sz w:val="20"/>
          <w:szCs w:val="20"/>
          <w:color w:val="auto"/>
        </w:rPr>
      </w:pPr>
    </w:p>
    <w:p>
      <w:pPr>
        <w:sectPr>
          <w:pgSz w:w="11900" w:h="16877" w:orient="portrait"/>
          <w:cols w:equalWidth="0" w:num="2">
            <w:col w:w="10132" w:space="720"/>
            <w:col w:w="520"/>
          </w:cols>
          <w:pgMar w:left="228" w:top="947" w:right="299" w:bottom="0" w:gutter="0" w:footer="0" w:header="0"/>
        </w:sectPr>
      </w:pPr>
    </w:p>
    <w:p>
      <w:pPr>
        <w:ind w:left="2592"/>
        <w:spacing w:after="0"/>
        <w:rPr>
          <w:sz w:val="20"/>
          <w:szCs w:val="20"/>
          <w:color w:val="auto"/>
        </w:rPr>
      </w:pPr>
      <w:r>
        <w:rPr>
          <w:rFonts w:ascii="Courier New" w:cs="Courier New" w:eastAsia="Courier New" w:hAnsi="Courier New"/>
          <w:sz w:val="14"/>
          <w:szCs w:val="14"/>
          <w:color w:val="auto"/>
        </w:rPr>
        <w:t>Top 25 Retail Tenants - Ranked by Annualized Base Rent</w:t>
      </w:r>
    </w:p>
    <w:p>
      <w:pPr>
        <w:spacing w:after="0" w:line="7"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1372"/>
          </w:cols>
          <w:pgMar w:left="228" w:top="947" w:right="299" w:bottom="0" w:gutter="0" w:footer="0" w:header="0"/>
          <w:type w:val="continuous"/>
        </w:sectPr>
      </w:pPr>
    </w:p>
    <w:p>
      <w:pPr>
        <w:spacing w:after="0" w:line="7" w:lineRule="exact"/>
        <w:rPr>
          <w:sz w:val="20"/>
          <w:szCs w:val="20"/>
          <w:color w:val="auto"/>
        </w:rPr>
      </w:pPr>
    </w:p>
    <w:tbl>
      <w:tblPr>
        <w:tblLayout w:type="fixed"/>
        <w:tblInd w:w="252"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660" w:type="dxa"/>
            <w:vAlign w:val="bottom"/>
            <w:gridSpan w:val="3"/>
          </w:tcPr>
          <w:p>
            <w:pPr>
              <w:jc w:val="right"/>
              <w:ind w:right="1308"/>
              <w:spacing w:after="0"/>
              <w:rPr>
                <w:sz w:val="20"/>
                <w:szCs w:val="20"/>
                <w:color w:val="auto"/>
              </w:rPr>
            </w:pPr>
            <w:r>
              <w:rPr>
                <w:rFonts w:ascii="Courier New" w:cs="Courier New" w:eastAsia="Courier New" w:hAnsi="Courier New"/>
                <w:sz w:val="14"/>
                <w:szCs w:val="14"/>
                <w:color w:val="auto"/>
              </w:rPr>
              <w:t>(excludes Unconsolidated Partnerships)</w:t>
            </w:r>
          </w:p>
        </w:tc>
        <w:tc>
          <w:tcPr>
            <w:tcW w:w="32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Percentage of Total</w:t>
            </w:r>
          </w:p>
        </w:tc>
      </w:tr>
      <w:tr>
        <w:trPr>
          <w:trHeight w:val="166"/>
        </w:trPr>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Represented by Retail Tenant</w:t>
            </w:r>
          </w:p>
        </w:tc>
      </w:tr>
      <w:tr>
        <w:trPr>
          <w:trHeight w:val="166"/>
        </w:trPr>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820" w:type="dxa"/>
            <w:vAlign w:val="bottom"/>
          </w:tcPr>
          <w:p>
            <w:pPr>
              <w:spacing w:after="0"/>
              <w:rPr>
                <w:sz w:val="14"/>
                <w:szCs w:val="14"/>
                <w:color w:val="auto"/>
              </w:rPr>
            </w:pPr>
          </w:p>
        </w:tc>
        <w:tc>
          <w:tcPr>
            <w:tcW w:w="2200" w:type="dxa"/>
            <w:vAlign w:val="bottom"/>
          </w:tcPr>
          <w:p>
            <w:pPr>
              <w:ind w:left="660"/>
              <w:spacing w:after="0"/>
              <w:rPr>
                <w:sz w:val="20"/>
                <w:szCs w:val="20"/>
                <w:color w:val="auto"/>
              </w:rPr>
            </w:pPr>
            <w:r>
              <w:rPr>
                <w:rFonts w:ascii="Courier New" w:cs="Courier New" w:eastAsia="Courier New" w:hAnsi="Courier New"/>
                <w:sz w:val="14"/>
                <w:szCs w:val="14"/>
                <w:color w:val="auto"/>
              </w:rPr>
              <w:t>Retail</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Stores in</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Annualized Base</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Annualized Base</w:t>
            </w:r>
          </w:p>
        </w:tc>
      </w:tr>
      <w:tr>
        <w:trPr>
          <w:trHeight w:val="166"/>
        </w:trPr>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Ranking</w:t>
            </w:r>
          </w:p>
        </w:tc>
        <w:tc>
          <w:tcPr>
            <w:tcW w:w="2200" w:type="dxa"/>
            <w:vAlign w:val="bottom"/>
          </w:tcPr>
          <w:p>
            <w:pPr>
              <w:ind w:left="660"/>
              <w:spacing w:after="0"/>
              <w:rPr>
                <w:sz w:val="20"/>
                <w:szCs w:val="20"/>
                <w:color w:val="auto"/>
              </w:rPr>
            </w:pPr>
            <w:r>
              <w:rPr>
                <w:rFonts w:ascii="Courier New" w:cs="Courier New" w:eastAsia="Courier New" w:hAnsi="Courier New"/>
                <w:sz w:val="14"/>
                <w:szCs w:val="14"/>
                <w:color w:val="auto"/>
              </w:rPr>
              <w:t>Tenant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GLA</w:t>
            </w:r>
          </w:p>
        </w:tc>
        <w:tc>
          <w:tcPr>
            <w:tcW w:w="1720" w:type="dxa"/>
            <w:vAlign w:val="bottom"/>
          </w:tcPr>
          <w:p>
            <w:pPr>
              <w:ind w:left="600"/>
              <w:spacing w:after="0"/>
              <w:rPr>
                <w:sz w:val="20"/>
                <w:szCs w:val="20"/>
                <w:color w:val="auto"/>
              </w:rPr>
            </w:pPr>
            <w:r>
              <w:rPr>
                <w:rFonts w:ascii="Courier New" w:cs="Courier New" w:eastAsia="Courier New" w:hAnsi="Courier New"/>
                <w:sz w:val="14"/>
                <w:szCs w:val="14"/>
                <w:color w:val="auto"/>
              </w:rPr>
              <w:t>Rent(1)</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Portfolio GLA(2)</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Rent(2)</w:t>
            </w:r>
          </w:p>
        </w:tc>
      </w:tr>
      <w:tr>
        <w:trPr>
          <w:trHeight w:val="166"/>
        </w:trPr>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220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497"/>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Kmart</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924,282</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$ 3,431,692</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Ames(3)</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665,571</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2,148,083</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T.J. Maxx</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239,737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1,802,365</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Price Chopper(4)</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268,587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1,596,727</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Eckerd Drug(5)</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156,963</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1,325,144</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Shaw's(6)</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134,217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1,141,084</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Walmart(7)</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232,540</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1,116,575</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Acme (Albertson's)</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76,864</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918,664</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Fashion Bug(8)</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111,294</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912,200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PharMor(9)</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90,471</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843,981</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Pathmark</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63,000</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837,270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Redner's Supermarket</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111,739</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837,112</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Restoration Hardware</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12,293</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830,000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A&amp;P (Waldbaum's)</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64,665</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730,000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Sears</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159,640</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703,230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CVS(10)</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62,610</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625,855</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Macy's</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73,349</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610,745</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Clearview Cinemas(11)</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25,400</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596,250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Kay Bee Toys</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41,025</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559,050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JC Penney</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72,580</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546,747</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Payless Shoe Source</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38,209</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507,470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Office Depot</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83,821</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499,817</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McDonald's(12)</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455,929</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Circuit City</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33,294</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449,469</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r>
      <w:tr>
        <w:trPr>
          <w:trHeight w:val="166"/>
        </w:trPr>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w:t>
            </w:r>
          </w:p>
        </w:tc>
        <w:tc>
          <w:tcPr>
            <w:tcW w:w="2200" w:type="dxa"/>
            <w:vAlign w:val="bottom"/>
          </w:tcPr>
          <w:p>
            <w:pPr>
              <w:ind w:left="220"/>
              <w:spacing w:after="0"/>
              <w:rPr>
                <w:sz w:val="20"/>
                <w:szCs w:val="20"/>
                <w:color w:val="auto"/>
              </w:rPr>
            </w:pPr>
            <w:r>
              <w:rPr>
                <w:rFonts w:ascii="Courier New" w:cs="Courier New" w:eastAsia="Courier New" w:hAnsi="Courier New"/>
                <w:sz w:val="14"/>
                <w:szCs w:val="14"/>
                <w:color w:val="auto"/>
              </w:rPr>
              <w:t>Blockbuster Video</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21,930</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443,860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r>
      <w:tr>
        <w:trPr>
          <w:trHeight w:val="166"/>
        </w:trPr>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820" w:type="dxa"/>
            <w:vAlign w:val="bottom"/>
          </w:tcPr>
          <w:p>
            <w:pPr>
              <w:spacing w:after="0"/>
              <w:rPr>
                <w:sz w:val="24"/>
                <w:szCs w:val="24"/>
                <w:color w:val="auto"/>
              </w:rPr>
            </w:pPr>
          </w:p>
        </w:tc>
        <w:tc>
          <w:tcPr>
            <w:tcW w:w="2200" w:type="dxa"/>
            <w:vAlign w:val="bottom"/>
          </w:tcPr>
          <w:p>
            <w:pPr>
              <w:ind w:left="1780"/>
              <w:spacing w:after="0"/>
              <w:rPr>
                <w:sz w:val="20"/>
                <w:szCs w:val="20"/>
                <w:color w:val="auto"/>
              </w:rPr>
            </w:pPr>
            <w:r>
              <w:rPr>
                <w:rFonts w:ascii="Courier New" w:cs="Courier New" w:eastAsia="Courier New" w:hAnsi="Courier New"/>
                <w:sz w:val="14"/>
                <w:szCs w:val="14"/>
                <w:color w:val="auto"/>
                <w:w w:val="95"/>
              </w:rPr>
              <w:t>Total</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3,764,081</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$ 24,469,319</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w:t>
            </w:r>
          </w:p>
        </w:tc>
      </w:tr>
      <w:tr>
        <w:trPr>
          <w:trHeight w:val="166"/>
        </w:trPr>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left="432" w:right="4480" w:hanging="432"/>
        <w:spacing w:after="0" w:line="252"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rents do not include percentage rents (except where noted), additional rents for property expense reimbursements, and contractual rent escalations due after September 30, 2001</w:t>
      </w:r>
    </w:p>
    <w:p>
      <w:pPr>
        <w:spacing w:after="0" w:line="162" w:lineRule="exact"/>
        <w:rPr>
          <w:rFonts w:ascii="Courier New" w:cs="Courier New" w:eastAsia="Courier New" w:hAnsi="Courier New"/>
          <w:sz w:val="14"/>
          <w:szCs w:val="14"/>
          <w:color w:val="auto"/>
        </w:rPr>
      </w:pPr>
    </w:p>
    <w:p>
      <w:pPr>
        <w:ind w:left="432" w:right="4920" w:hanging="432"/>
        <w:spacing w:after="0" w:line="255"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total GLA and annualized base rent for the Company's retail properties excluding joint venture properties</w:t>
      </w:r>
    </w:p>
    <w:p>
      <w:pPr>
        <w:spacing w:after="0" w:line="159" w:lineRule="exact"/>
        <w:rPr>
          <w:rFonts w:ascii="Courier New" w:cs="Courier New" w:eastAsia="Courier New" w:hAnsi="Courier New"/>
          <w:sz w:val="14"/>
          <w:szCs w:val="14"/>
          <w:color w:val="auto"/>
        </w:rPr>
      </w:pPr>
    </w:p>
    <w:p>
      <w:pPr>
        <w:ind w:left="432" w:right="4480" w:hanging="432"/>
        <w:spacing w:after="0" w:line="251"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is currently operating under Chapter 11 Bankruptcy and, as of September 30, 2001, had not affirmed or rejected the lease at any of these remaining locations. Subsequent to September 30, 2001, Ames filed to reject the lease for 94,000 square feet at the Union Plaza for which the tenant pays $493,500 in annual rent. The above table, which is as of September 30, 2001, includes this location. The Union Plaza is currently under contract for sale (provisions have been set forth in the contract for Ames) and the Company anticipates the sale to close by the first quarter of 2002.</w:t>
      </w:r>
    </w:p>
    <w:p>
      <w:pPr>
        <w:spacing w:after="0" w:line="163" w:lineRule="exact"/>
        <w:rPr>
          <w:rFonts w:ascii="Courier New" w:cs="Courier New" w:eastAsia="Courier New" w:hAnsi="Courier New"/>
          <w:sz w:val="14"/>
          <w:szCs w:val="14"/>
          <w:color w:val="auto"/>
        </w:rPr>
      </w:pPr>
    </w:p>
    <w:p>
      <w:pPr>
        <w:ind w:left="432" w:right="4740" w:hanging="432"/>
        <w:spacing w:after="0" w:line="252"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is currently not operating the store at the Luzerne Street Shopping Center. They are obligated, and continue, to pay annual minimum rent of $177,650 until the lease expires in April 30, 2004</w:t>
      </w:r>
    </w:p>
    <w:p>
      <w:pPr>
        <w:spacing w:after="0" w:line="162" w:lineRule="exact"/>
        <w:rPr>
          <w:rFonts w:ascii="Courier New" w:cs="Courier New" w:eastAsia="Courier New" w:hAnsi="Courier New"/>
          <w:sz w:val="14"/>
          <w:szCs w:val="14"/>
          <w:color w:val="auto"/>
        </w:rPr>
      </w:pPr>
    </w:p>
    <w:p>
      <w:pPr>
        <w:ind w:left="432" w:right="4480" w:hanging="432"/>
        <w:spacing w:after="0" w:line="252"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JC Penney. The store at the Route 6 Mall has ceased operating but continues to pay annual rent of $106,560 through January 31, 2011 pursuant to the lease</w:t>
      </w:r>
    </w:p>
    <w:p>
      <w:pPr>
        <w:spacing w:after="0" w:line="162" w:lineRule="exact"/>
        <w:rPr>
          <w:rFonts w:ascii="Courier New" w:cs="Courier New" w:eastAsia="Courier New" w:hAnsi="Courier New"/>
          <w:sz w:val="14"/>
          <w:szCs w:val="14"/>
          <w:color w:val="auto"/>
        </w:rPr>
      </w:pPr>
    </w:p>
    <w:p>
      <w:pPr>
        <w:ind w:left="432" w:right="4560" w:hanging="432"/>
        <w:spacing w:after="0" w:line="251"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September 30, 2001, Shaw's signed an agreement to expand their premise at the Gateway Shopping Center in connection with the redevelopment of the entire center. Their current space of 31,600 square feet for which they pay an annual rental of $126,400 (this lease is reflected in the above table as of September 30, 2001) will be expanded to 66,328 square feet with an annual rent of $1,193,904.</w:t>
      </w:r>
    </w:p>
    <w:p>
      <w:pPr>
        <w:spacing w:after="0" w:line="164" w:lineRule="exact"/>
        <w:rPr>
          <w:rFonts w:ascii="Courier New" w:cs="Courier New" w:eastAsia="Courier New" w:hAnsi="Courier New"/>
          <w:sz w:val="14"/>
          <w:szCs w:val="14"/>
          <w:color w:val="auto"/>
        </w:rPr>
      </w:pPr>
    </w:p>
    <w:p>
      <w:pPr>
        <w:ind w:left="432" w:right="4740" w:hanging="432"/>
        <w:spacing w:after="0" w:line="252"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September 30, 2001, Wal*Mart opened in a third location in 89,000 square feet at the Methuen Shopping Center with an annual rent of $626,808. This is not reflected in the above table as of September 30, 2001.</w:t>
      </w:r>
    </w:p>
    <w:p>
      <w:pPr>
        <w:spacing w:after="0" w:line="162" w:lineRule="exact"/>
        <w:rPr>
          <w:rFonts w:ascii="Courier New" w:cs="Courier New" w:eastAsia="Courier New" w:hAnsi="Courier New"/>
          <w:sz w:val="14"/>
          <w:szCs w:val="14"/>
          <w:color w:val="auto"/>
        </w:rPr>
      </w:pPr>
    </w:p>
    <w:p>
      <w:pPr>
        <w:ind w:left="432" w:right="4660" w:hanging="432"/>
        <w:spacing w:after="0" w:line="252"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tenant pays percentage rent only (no minimum rent) at 7 of these locations. Included in the above rent is $637,997 of percentage rent paid for calendar 2000</w:t>
      </w:r>
    </w:p>
    <w:p>
      <w:pPr>
        <w:spacing w:after="0" w:line="162" w:lineRule="exact"/>
        <w:rPr>
          <w:rFonts w:ascii="Courier New" w:cs="Courier New" w:eastAsia="Courier New" w:hAnsi="Courier New"/>
          <w:sz w:val="14"/>
          <w:szCs w:val="14"/>
          <w:color w:val="auto"/>
        </w:rPr>
      </w:pPr>
    </w:p>
    <w:p>
      <w:pPr>
        <w:ind w:left="432" w:right="4660" w:hanging="432"/>
        <w:spacing w:after="0" w:line="255"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is currently operating under Chapter 11 Bankruptcy and has not affirmed or rejected the lease at any of its locations.</w:t>
      </w:r>
    </w:p>
    <w:p>
      <w:pPr>
        <w:spacing w:after="0" w:line="159" w:lineRule="exact"/>
        <w:rPr>
          <w:rFonts w:ascii="Courier New" w:cs="Courier New" w:eastAsia="Courier New" w:hAnsi="Courier New"/>
          <w:sz w:val="14"/>
          <w:szCs w:val="14"/>
          <w:color w:val="auto"/>
        </w:rPr>
      </w:pPr>
    </w:p>
    <w:p>
      <w:pPr>
        <w:jc w:val="both"/>
        <w:ind w:left="432" w:right="4740" w:hanging="432"/>
        <w:spacing w:after="0" w:line="252" w:lineRule="auto"/>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is currently not operating the store at the Kings Fairgrounds Shopping Center. They are obligated, and continue, to pay annual minimum rent of $29,184 until the lease expires in February 28, 2002</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Subsidiary of Cablevision</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Restaurants located in shopping center outparcels</w:t>
      </w:r>
    </w:p>
    <w:p>
      <w:pPr>
        <w:sectPr>
          <w:pgSz w:w="11900" w:h="16877" w:orient="portrait"/>
          <w:cols w:equalWidth="0" w:num="1">
            <w:col w:w="11372"/>
          </w:cols>
          <w:pgMar w:left="228" w:top="947" w:right="299" w:bottom="0" w:gutter="0" w:footer="0" w:header="0"/>
          <w:type w:val="continuous"/>
        </w:sectPr>
      </w:pPr>
    </w:p>
    <w:bookmarkStart w:id="53" w:name="page54"/>
    <w:bookmarkEnd w:id="53"/>
    <w:p>
      <w:pPr>
        <w:ind w:left="638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4"/>
          <w:szCs w:val="14"/>
          <w:color w:val="auto"/>
        </w:rPr>
        <w:t>SEPTEMEBER 30, 2001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Anchor Tenant Summary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spacing w:after="0"/>
        <w:tabs>
          <w:tab w:leader="none" w:pos="4200" w:val="left"/>
          <w:tab w:leader="none" w:pos="5240" w:val="left"/>
          <w:tab w:leader="none" w:pos="6440" w:val="left"/>
          <w:tab w:leader="none" w:pos="740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960"/>
        <w:spacing w:after="0"/>
        <w:tabs>
          <w:tab w:leader="none" w:pos="4120" w:val="left"/>
          <w:tab w:leader="none" w:pos="5080" w:val="left"/>
          <w:tab w:leader="none" w:pos="6540" w:val="left"/>
          <w:tab w:leader="none" w:pos="7300" w:val="left"/>
          <w:tab w:leader="none" w:pos="842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860"/>
        <w:spacing w:after="0" w:line="252" w:lineRule="auto"/>
        <w:rPr>
          <w:sz w:val="20"/>
          <w:szCs w:val="20"/>
          <w:color w:val="auto"/>
        </w:rPr>
      </w:pPr>
      <w:r>
        <w:rPr>
          <w:rFonts w:ascii="Courier New" w:cs="Courier New" w:eastAsia="Courier New" w:hAnsi="Courier New"/>
          <w:sz w:val="14"/>
          <w:szCs w:val="14"/>
          <w:color w:val="auto"/>
        </w:rPr>
        <w:t>THE COMPANY CONSIDERS THOSE TENANTS WHO COMPRISE GREATER THAN 10% OF A CENTER'S GLA AS ANCHOR TENANTS (The below detail does not include space which is currently leased, but for which rent payment has not yet commenced)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Retail Anchor Properties- Wholly Owned</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980" w:type="dxa"/>
            <w:vAlign w:val="bottom"/>
          </w:tcPr>
          <w:p>
            <w:pPr>
              <w:ind w:left="360"/>
              <w:spacing w:after="0"/>
              <w:rPr>
                <w:sz w:val="20"/>
                <w:szCs w:val="20"/>
                <w:color w:val="auto"/>
              </w:rPr>
            </w:pPr>
            <w:r>
              <w:rPr>
                <w:rFonts w:ascii="Courier New" w:cs="Courier New" w:eastAsia="Courier New" w:hAnsi="Courier New"/>
                <w:sz w:val="14"/>
                <w:szCs w:val="14"/>
                <w:color w:val="auto"/>
              </w:rPr>
              <w:t>TOWN LINE PLAZA, ROCKY HILL</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WAL-MART(1)</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97,300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REA AGREEEMENT</w:t>
            </w: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A&amp;P SUPERFRESH</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64,665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03/08/2017</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730,000</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11.29</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(7) 5 YEAR (6 MONTHS)</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Total: TOWN LINE PLAZA</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161,965</w:t>
            </w:r>
          </w:p>
        </w:tc>
        <w:tc>
          <w:tcPr>
            <w:tcW w:w="1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730,000</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11.29</w:t>
            </w:r>
          </w:p>
        </w:tc>
        <w:tc>
          <w:tcPr>
            <w:tcW w:w="216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331"/>
        </w:trPr>
        <w:tc>
          <w:tcPr>
            <w:tcW w:w="3980" w:type="dxa"/>
            <w:vAlign w:val="bottom"/>
          </w:tcPr>
          <w:p>
            <w:pPr>
              <w:ind w:left="360"/>
              <w:spacing w:after="0"/>
              <w:rPr>
                <w:sz w:val="20"/>
                <w:szCs w:val="20"/>
                <w:color w:val="auto"/>
              </w:rPr>
            </w:pPr>
            <w:r>
              <w:rPr>
                <w:rFonts w:ascii="Courier New" w:cs="Courier New" w:eastAsia="Courier New" w:hAnsi="Courier New"/>
                <w:sz w:val="14"/>
                <w:szCs w:val="14"/>
                <w:color w:val="auto"/>
              </w:rPr>
              <w:t>239 GREENWICH AVE., GREENWICH</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CHICO'S FASHION</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01/31/2010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295,165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65.00</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(2) 5 YEARS</w:t>
            </w: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RESTORATION HARDWARE INC.</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12,293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04/30/2015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830,000</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67.52</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(2) 5 YEARS (6 MONTHS)</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Total: 239 GREENWICH AVE.</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16,834</w:t>
            </w:r>
          </w:p>
        </w:tc>
        <w:tc>
          <w:tcPr>
            <w:tcW w:w="1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1,125,165</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66.84</w:t>
            </w:r>
          </w:p>
        </w:tc>
        <w:tc>
          <w:tcPr>
            <w:tcW w:w="216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980" w:type="dxa"/>
            <w:vAlign w:val="bottom"/>
          </w:tcPr>
          <w:p>
            <w:pPr>
              <w:ind w:left="360"/>
              <w:spacing w:after="0"/>
              <w:rPr>
                <w:sz w:val="20"/>
                <w:szCs w:val="20"/>
                <w:color w:val="auto"/>
              </w:rPr>
            </w:pPr>
            <w:r>
              <w:rPr>
                <w:rFonts w:ascii="Courier New" w:cs="Courier New" w:eastAsia="Courier New" w:hAnsi="Courier New"/>
                <w:sz w:val="14"/>
                <w:szCs w:val="14"/>
                <w:color w:val="auto"/>
              </w:rPr>
              <w:t>METHUEN SHOPPING CENTER, METHUEN(2)</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DEMOULAS SUPER MARKETS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30,460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01/31/2005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109,656</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(2) 5 YEAR</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Total: METHUEN SHOPPING CENTER</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30,460</w:t>
            </w:r>
          </w:p>
        </w:tc>
        <w:tc>
          <w:tcPr>
            <w:tcW w:w="1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109,656</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w:t>
            </w:r>
          </w:p>
        </w:tc>
        <w:tc>
          <w:tcPr>
            <w:tcW w:w="216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331"/>
        </w:trPr>
        <w:tc>
          <w:tcPr>
            <w:tcW w:w="3980" w:type="dxa"/>
            <w:vAlign w:val="bottom"/>
          </w:tcPr>
          <w:p>
            <w:pPr>
              <w:ind w:left="360"/>
              <w:spacing w:after="0"/>
              <w:rPr>
                <w:sz w:val="20"/>
                <w:szCs w:val="20"/>
                <w:color w:val="auto"/>
              </w:rPr>
            </w:pPr>
            <w:r>
              <w:rPr>
                <w:rFonts w:ascii="Courier New" w:cs="Courier New" w:eastAsia="Courier New" w:hAnsi="Courier New"/>
                <w:sz w:val="14"/>
                <w:szCs w:val="14"/>
                <w:color w:val="auto"/>
              </w:rPr>
              <w:t>CRESCENT PLAZA, BROCKTON</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HOME DEPOT 3</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104,640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10/31/2008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295,425</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(1) 8 YR &amp; (2) 5 YEAR</w:t>
            </w: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SHAWS SUPERMARKETS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50,225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12/31/2012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516,960</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10.29</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(6) 5 YEAR (6 MONTHS)</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Total: CRESCENT PLAZA</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154,865</w:t>
            </w:r>
          </w:p>
        </w:tc>
        <w:tc>
          <w:tcPr>
            <w:tcW w:w="1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812,385</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w:t>
            </w:r>
          </w:p>
        </w:tc>
        <w:tc>
          <w:tcPr>
            <w:tcW w:w="216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Rhode Island</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980" w:type="dxa"/>
            <w:vAlign w:val="bottom"/>
          </w:tcPr>
          <w:p>
            <w:pPr>
              <w:ind w:left="360"/>
              <w:spacing w:after="0"/>
              <w:rPr>
                <w:sz w:val="20"/>
                <w:szCs w:val="20"/>
                <w:color w:val="auto"/>
              </w:rPr>
            </w:pPr>
            <w:r>
              <w:rPr>
                <w:rFonts w:ascii="Courier New" w:cs="Courier New" w:eastAsia="Courier New" w:hAnsi="Courier New"/>
                <w:sz w:val="14"/>
                <w:szCs w:val="14"/>
                <w:color w:val="auto"/>
              </w:rPr>
              <w:t>WALNUT HILL PLAZA, WOONSOCKET</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SEARS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60,700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08/31/2003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258,000</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(6) 5 YEAR (12 MONTHS)</w:t>
            </w: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SHAWS SUPERMARKETS</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52,392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12/31/2013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497,724</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9.50</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(6) 5 YEAR (9 MONTHS)</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Total: WALNUT HILL PLAZA</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113,092</w:t>
            </w:r>
          </w:p>
        </w:tc>
        <w:tc>
          <w:tcPr>
            <w:tcW w:w="1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755,724</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w:t>
            </w:r>
          </w:p>
        </w:tc>
        <w:tc>
          <w:tcPr>
            <w:tcW w:w="216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Vermont</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980" w:type="dxa"/>
            <w:vAlign w:val="bottom"/>
          </w:tcPr>
          <w:p>
            <w:pPr>
              <w:ind w:left="360"/>
              <w:spacing w:after="0"/>
              <w:rPr>
                <w:sz w:val="20"/>
                <w:szCs w:val="20"/>
                <w:color w:val="auto"/>
              </w:rPr>
            </w:pPr>
            <w:r>
              <w:rPr>
                <w:rFonts w:ascii="Courier New" w:cs="Courier New" w:eastAsia="Courier New" w:hAnsi="Courier New"/>
                <w:sz w:val="14"/>
                <w:szCs w:val="14"/>
                <w:color w:val="auto"/>
              </w:rPr>
              <w:t>THE GATEWAY SHOPPING CENTER, BURLINGTON</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SHAWS SUPERMARKETS(4)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06/30/2005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126,400</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2160" w:type="dxa"/>
            <w:vAlign w:val="bottom"/>
          </w:tcPr>
          <w:p>
            <w:pPr>
              <w:ind w:left="260"/>
              <w:spacing w:after="0"/>
              <w:rPr>
                <w:sz w:val="20"/>
                <w:szCs w:val="20"/>
                <w:color w:val="auto"/>
              </w:rPr>
            </w:pPr>
            <w:r>
              <w:rPr>
                <w:rFonts w:ascii="Courier New" w:cs="Courier New" w:eastAsia="Courier New" w:hAnsi="Courier New"/>
                <w:sz w:val="14"/>
                <w:szCs w:val="14"/>
                <w:color w:val="auto"/>
              </w:rPr>
              <w:t>(1) 5 YEAR (12 MONTHS)</w:t>
            </w: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166"/>
        </w:trPr>
        <w:tc>
          <w:tcPr>
            <w:tcW w:w="3980" w:type="dxa"/>
            <w:vAlign w:val="bottom"/>
          </w:tcPr>
          <w:p>
            <w:pPr>
              <w:ind w:left="860"/>
              <w:spacing w:after="0"/>
              <w:rPr>
                <w:sz w:val="20"/>
                <w:szCs w:val="20"/>
                <w:color w:val="auto"/>
              </w:rPr>
            </w:pPr>
            <w:r>
              <w:rPr>
                <w:rFonts w:ascii="Courier New" w:cs="Courier New" w:eastAsia="Courier New" w:hAnsi="Courier New"/>
                <w:sz w:val="14"/>
                <w:szCs w:val="14"/>
                <w:color w:val="auto"/>
              </w:rPr>
              <w:t>Total: THE GATEWAY SHOPPING CENTER</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31,600</w:t>
            </w:r>
          </w:p>
        </w:tc>
        <w:tc>
          <w:tcPr>
            <w:tcW w:w="1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126,400</w:t>
            </w: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2160" w:type="dxa"/>
            <w:vAlign w:val="bottom"/>
          </w:tcPr>
          <w:p>
            <w:pPr>
              <w:spacing w:after="0"/>
              <w:rPr>
                <w:sz w:val="14"/>
                <w:szCs w:val="14"/>
                <w:color w:val="auto"/>
              </w:rPr>
            </w:pP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New England</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508,816</w:t>
            </w:r>
          </w:p>
        </w:tc>
        <w:tc>
          <w:tcPr>
            <w:tcW w:w="12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3,659,330</w:t>
            </w:r>
          </w:p>
        </w:tc>
        <w:tc>
          <w:tcPr>
            <w:tcW w:w="300" w:type="dxa"/>
            <w:vAlign w:val="bottom"/>
          </w:tcPr>
          <w:p>
            <w:pPr>
              <w:spacing w:after="0"/>
              <w:rPr>
                <w:sz w:val="24"/>
                <w:szCs w:val="2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8.89</w:t>
            </w:r>
          </w:p>
        </w:tc>
        <w:tc>
          <w:tcPr>
            <w:tcW w:w="2160" w:type="dxa"/>
            <w:vAlign w:val="bottom"/>
          </w:tcPr>
          <w:p>
            <w:pPr>
              <w:spacing w:after="0"/>
              <w:rPr>
                <w:sz w:val="24"/>
                <w:szCs w:val="24"/>
                <w:color w:val="auto"/>
              </w:rPr>
            </w:pPr>
          </w:p>
        </w:tc>
      </w:tr>
      <w:tr>
        <w:trPr>
          <w:trHeight w:val="166"/>
        </w:trPr>
        <w:tc>
          <w:tcPr>
            <w:tcW w:w="39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r>
    </w:tbl>
    <w:p>
      <w:pPr>
        <w:spacing w:after="0" w:line="335" w:lineRule="exact"/>
        <w:rPr>
          <w:sz w:val="20"/>
          <w:szCs w:val="20"/>
          <w:color w:val="auto"/>
        </w:rPr>
      </w:pPr>
    </w:p>
    <w:p>
      <w:pPr>
        <w:ind w:left="360" w:right="3960" w:hanging="352"/>
        <w:spacing w:after="0" w:line="250"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space is contiguous to the Company's property and is not owned by the Company.</w:t>
      </w:r>
    </w:p>
    <w:p>
      <w:pPr>
        <w:ind w:left="360" w:right="3780" w:hanging="352"/>
        <w:spacing w:after="0" w:line="257"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September 30, 2001, Wal*Mart had signed a lease for 89,000 square feet at this center. This tenant took occupancy during the fourth quarter of 2001.</w:t>
      </w:r>
    </w:p>
    <w:p>
      <w:pPr>
        <w:spacing w:after="0" w:line="157" w:lineRule="exact"/>
        <w:rPr>
          <w:rFonts w:ascii="Courier New" w:cs="Courier New" w:eastAsia="Courier New" w:hAnsi="Courier New"/>
          <w:sz w:val="14"/>
          <w:szCs w:val="14"/>
          <w:color w:val="auto"/>
        </w:rPr>
      </w:pPr>
    </w:p>
    <w:p>
      <w:pPr>
        <w:ind w:left="360" w:right="3860" w:hanging="352"/>
        <w:spacing w:after="0" w:line="250"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Home Depot aquired this lease from the former Bradlees. Estimated occupancy is during the first half of 2002.</w:t>
      </w:r>
    </w:p>
    <w:p>
      <w:pPr>
        <w:ind w:left="360" w:right="3860" w:hanging="352"/>
        <w:spacing w:after="0" w:line="251"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to September 30, 2001, Shaws signed an agreement to expand their premise at the Gateway Mall in connection with the redevelopment of the entire center. Their current space of 31,600 square feet for which they pay an annual rental of $126,400 will be expanded to 66,328 square feet with an annual rent of $1,193,904.</w:t>
      </w:r>
    </w:p>
    <w:p>
      <w:pPr>
        <w:sectPr>
          <w:pgSz w:w="11900" w:h="16838" w:orient="portrait"/>
          <w:cols w:equalWidth="0" w:num="1">
            <w:col w:w="10680"/>
          </w:cols>
          <w:pgMar w:left="220" w:top="616" w:right="999" w:bottom="1440" w:gutter="0" w:footer="0" w:header="0"/>
        </w:sectPr>
      </w:pPr>
    </w:p>
    <w:bookmarkStart w:id="54" w:name="page55"/>
    <w:bookmarkEnd w:id="54"/>
    <w:p>
      <w:pPr>
        <w:spacing w:after="0" w:line="41"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80"/>
        <w:spacing w:after="0"/>
        <w:tabs>
          <w:tab w:leader="none" w:pos="4640" w:val="left"/>
          <w:tab w:leader="none" w:pos="6020" w:val="left"/>
          <w:tab w:leader="none" w:pos="7060" w:val="left"/>
          <w:tab w:leader="none" w:pos="800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960"/>
        <w:spacing w:after="0"/>
        <w:tabs>
          <w:tab w:leader="none" w:pos="4640" w:val="left"/>
          <w:tab w:leader="none" w:pos="5760" w:val="left"/>
          <w:tab w:leader="none" w:pos="7140" w:val="left"/>
          <w:tab w:leader="none" w:pos="7920" w:val="left"/>
          <w:tab w:leader="none" w:pos="886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THE COMPANY CONSIDERS THOSE TENANTS WHO COMPRISE GREATER THAN 10% OF A CENTER'S GLA AS ANCHOR TENANTS (The below detail does not include space which is currently leased, but for which rent payment has not yet commenced)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Anchor Properties- Wholly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Region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ELMWOOD PARK SHOPPING CENTER, ELMWOOD PARK(1)</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VALLEY NATIONAL BANK</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11,750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05/31/2005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79,665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6.78</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 YEAR (10 MONTHS)</w:t>
            </w: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ELMWOOD PARK SHOPPING CENTER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11,750</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79,665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6.78</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MARKETPLACE OF ABSECON, ABSECON</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ECKERD DRUG</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13,207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09/20/2020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329,310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24.93</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ACME MARKETS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44,824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04/30/2015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598,264</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13.35</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(8)</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MARKETPLACE OF ABSECON</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58,031</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927,574</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15.98</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BERLIN SHOPPING CENTER, BERLIN</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ACME MARKETS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32,040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04/30/2005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320,400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95,810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11/30/2004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BERLIN SHOPPING CENTER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127,850</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619,400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4.84</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LEDGEWOOD MALL, LEDGEWOOD (Enclosed Mall)</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CIRCUIT CITY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33,294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01/31/2020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449,469</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MARSHALL'S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27,228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313,122</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PHARMHOUSE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47,271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05/31/2009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519,981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THE SPORTS AUTHORITY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52,205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05/31/2007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4.31</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(15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MACY'S DEPARTMENT STORE 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61,900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01/31/2005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553,500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8.94</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WAL*MART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120,570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03/31/2019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888,601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7.37</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LEDGEWOOD MALL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342,468</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2,949,673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MANAHAWKIN VILLAGE, MANAHAWKIN</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112,434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01/31/2019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843,255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(8)</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HOYTS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31,619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11/30/2018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363,618</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MANAHAWKIN VILLAGE SHOPPING CENTER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144,053</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1,206,873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8.38</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SOUNDVIEW MARKETPLACE, PORT WASHINGTON</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KING KULLEN</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41,400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09/26/2007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(11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CLEARVIEW CINEMA</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05/31/2010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596,250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23.47</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SOUNDVIEW MARKETPLACE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66,800</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1,010,250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15.12</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SMITHTOWN SHOPPING CENTER, SMITHTOWN</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DAFFY'S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16,125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05/30/2008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262,031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16.25</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WALGREENS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9,067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12/31/2021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145,024</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15.99</w:t>
            </w:r>
          </w:p>
        </w:tc>
        <w:tc>
          <w:tcPr>
            <w:tcW w:w="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SMITHTOWN SHOPPING CENTER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25,192</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407,055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16.16</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THE BRANCH SHOPPING CENTER, SMITHTOWN</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PATHMARK</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11/30/2013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837,270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13.29</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 YEAR &amp; (1) 5 YEAR</w:t>
            </w: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RD BRANCH ASSOCIATES L.P.</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63,000</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837,270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13.29</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NEW LOUDON CENTER, LATHAM</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AMES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76,641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02/28/2020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268,244</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CLUB PRO</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47,805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04/30/2006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215,123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MARSHALLS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26,015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01/31/2004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104,060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PRICE CHOPPER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77,450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05/31/2015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760,577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9.82</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NEW LOUDEN CENTER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227,911</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1,348,004</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TROY PLAZA, TROY</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AMES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71,665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05/31/2006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PRICE CHOPPER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29,044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09/30/2004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1.93</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TROY PLAZA</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100,709</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1"/>
        </w:trPr>
        <w:tc>
          <w:tcPr>
            <w:tcW w:w="4480" w:type="dxa"/>
            <w:vAlign w:val="bottom"/>
          </w:tcPr>
          <w:p>
            <w:pPr>
              <w:ind w:left="360"/>
              <w:spacing w:after="0"/>
              <w:rPr>
                <w:sz w:val="20"/>
                <w:szCs w:val="20"/>
                <w:color w:val="auto"/>
              </w:rPr>
            </w:pPr>
            <w:r>
              <w:rPr>
                <w:rFonts w:ascii="Courier New" w:cs="Courier New" w:eastAsia="Courier New" w:hAnsi="Courier New"/>
                <w:sz w:val="14"/>
                <w:szCs w:val="14"/>
                <w:color w:val="auto"/>
              </w:rPr>
              <w:t>PACESETTER PARK SHOPPING CENTER, POMONA</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STOP &amp; SHOP (Ahold subsidiary)</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52,052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08/31/2020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314,145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6.04</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 YEAR</w:t>
            </w:r>
          </w:p>
        </w:tc>
      </w:tr>
      <w:tr>
        <w:trPr>
          <w:trHeight w:val="166"/>
        </w:trPr>
        <w:tc>
          <w:tcPr>
            <w:tcW w:w="4480" w:type="dxa"/>
            <w:vAlign w:val="bottom"/>
          </w:tcPr>
          <w:p>
            <w:pPr>
              <w:ind w:left="860"/>
              <w:spacing w:after="0"/>
              <w:rPr>
                <w:sz w:val="20"/>
                <w:szCs w:val="20"/>
                <w:color w:val="auto"/>
              </w:rPr>
            </w:pPr>
            <w:r>
              <w:rPr>
                <w:rFonts w:ascii="Courier New" w:cs="Courier New" w:eastAsia="Courier New" w:hAnsi="Courier New"/>
                <w:sz w:val="14"/>
                <w:szCs w:val="14"/>
                <w:color w:val="auto"/>
              </w:rPr>
              <w:t>Total: PACESETTER PARK SHOPPING CENTER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52,052</w:t>
            </w:r>
          </w:p>
        </w:tc>
        <w:tc>
          <w:tcPr>
            <w:tcW w:w="1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314,145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6.04</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ectPr>
          <w:pgSz w:w="11900" w:h="16880" w:orient="portrait"/>
          <w:cols w:equalWidth="0" w:num="1">
            <w:col w:w="11040"/>
          </w:cols>
          <w:pgMar w:left="220" w:top="616" w:right="639" w:bottom="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9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New York Region</w:t>
            </w:r>
          </w:p>
        </w:tc>
        <w:tc>
          <w:tcPr>
            <w:tcW w:w="29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1,219,816</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9,895,909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8.11</w:t>
            </w:r>
          </w:p>
        </w:tc>
      </w:tr>
      <w:tr>
        <w:trPr>
          <w:trHeight w:val="166"/>
        </w:trPr>
        <w:tc>
          <w:tcPr>
            <w:tcW w:w="3240" w:type="dxa"/>
            <w:vAlign w:val="bottom"/>
          </w:tcPr>
          <w:p>
            <w:pPr>
              <w:spacing w:after="0"/>
              <w:rPr>
                <w:sz w:val="14"/>
                <w:szCs w:val="14"/>
                <w:color w:val="auto"/>
              </w:rPr>
            </w:pPr>
          </w:p>
        </w:tc>
        <w:tc>
          <w:tcPr>
            <w:tcW w:w="29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right="3419" w:hanging="352"/>
        <w:spacing w:after="0" w:line="250"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is a redevelopment property. The Company will be constructing a 48,000 sf free-standing supermarket to replace the former in-line supermarket.</w:t>
      </w:r>
    </w:p>
    <w:p>
      <w:pPr>
        <w:ind w:left="360" w:right="3339" w:hanging="352"/>
        <w:spacing w:after="0" w:line="255" w:lineRule="auto"/>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has additional expansion space bringing the total space to 74,815 s.f. with rents of $618,075.</w:t>
      </w:r>
    </w:p>
    <w:p>
      <w:pPr>
        <w:sectPr>
          <w:pgSz w:w="11900" w:h="16838" w:orient="portrait"/>
          <w:cols w:equalWidth="0" w:num="1">
            <w:col w:w="10239"/>
          </w:cols>
          <w:pgMar w:left="220" w:top="141" w:right="1440" w:bottom="1440" w:gutter="0" w:footer="0" w:header="0"/>
        </w:sectPr>
      </w:pPr>
    </w:p>
    <w:bookmarkStart w:id="56" w:name="page57"/>
    <w:bookmarkEnd w:id="56"/>
    <w:p>
      <w:pPr>
        <w:ind w:left="6380"/>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304" w:lineRule="exact"/>
        <w:rPr>
          <w:sz w:val="20"/>
          <w:szCs w:val="20"/>
          <w:color w:val="auto"/>
        </w:rPr>
      </w:pPr>
    </w:p>
    <w:p>
      <w:pPr>
        <w:ind w:left="780"/>
        <w:spacing w:after="0"/>
        <w:tabs>
          <w:tab w:leader="none" w:pos="4640" w:val="left"/>
          <w:tab w:leader="none" w:pos="6020" w:val="left"/>
          <w:tab w:leader="none" w:pos="7060" w:val="left"/>
          <w:tab w:leader="none" w:pos="800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960"/>
        <w:spacing w:after="0"/>
        <w:tabs>
          <w:tab w:leader="none" w:pos="4640" w:val="left"/>
          <w:tab w:leader="none" w:pos="5760" w:val="left"/>
          <w:tab w:leader="none" w:pos="7140" w:val="left"/>
          <w:tab w:leader="none" w:pos="7920" w:val="left"/>
          <w:tab w:leader="none" w:pos="886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THE COMPANY CONSIDERS THOSE TENANTS WHO COMPRISE GREATER THAN 10% OF A CENTER'S GLA AS ANCHOR TENANTS (The below detail does not include space which is currently leased, but for which rent payment has not yet commenced)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Retail Anchor Properties- Wholly Owned</w:t>
            </w: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Pennsylvania</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ABINGTON TOWNE CENTER, ABINGTON(1)</w:t>
            </w:r>
          </w:p>
        </w:tc>
        <w:tc>
          <w:tcPr>
            <w:tcW w:w="1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T.J. MAXX</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11/30/2010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256,500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TARGET(1)</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157,616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CONDOMINIUM AGREEMENT</w:t>
            </w: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Total: ABINGTON TOWNE CENTER</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184,616</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256,500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9.50</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AMES PLAZA, SHAMOKIN</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AMES</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59,116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01/31/2003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84,006</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BUY-RITE LIQUIDATORS</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29,238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08/30/2010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105,257</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(9 MONTHS)</w:t>
            </w: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Total: AMES PLAZA</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88,354</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189,263</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BIRNEY PLAZA, MOOSIC</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BIG LOTS</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30,537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01/31/2003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106,880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104,956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10/31/2004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204,664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Total: BIRNEY PLAZA</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135,493</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311,544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BLACKMAN PLAZA, WILKES-BARRE</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104,956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10/31/2004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204,664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Total: BLACKMAN PLAZA</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104,956</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204,664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BRADFORD TOWNE CENTRE, TOWANDA</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94,841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03/31/2019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474,205</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(10) 5 YEAR (6 MONTHS)</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PENN TRAFFIC</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51,658</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09/30/2014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413,264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Total: BRADFORD TOWNE CENTRE</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146,499</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887,469</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6.06</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CIRCLE PLAZA, SHAMOKIN DAM</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92,171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11/07/2004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252,289</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Total: CIRCLE PLAZA</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92,171</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252,289</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DUNMORE PLAZA, DUNMORE</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ECKERD DRUGS</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13,205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11/30/2004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89,134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6.75</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PRICE CHOPPER(2)</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26,475</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11/30/2005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Total: DUNMORE PLAZA</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39,680</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89,134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EAST END CENTER, WILKES-BARRE</w:t>
            </w: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AMES</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01/31/2007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436,000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5.25</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PHAR-MOR</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43,200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03/31/2003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324,000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7.50</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PRICE CHOPPER</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04/30/2008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357,500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7.15</w:t>
            </w:r>
          </w:p>
        </w:tc>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ind w:left="860"/>
              <w:spacing w:after="0"/>
              <w:rPr>
                <w:sz w:val="20"/>
                <w:szCs w:val="20"/>
                <w:color w:val="auto"/>
              </w:rPr>
            </w:pPr>
            <w:r>
              <w:rPr>
                <w:rFonts w:ascii="Courier New" w:cs="Courier New" w:eastAsia="Courier New" w:hAnsi="Courier New"/>
                <w:sz w:val="14"/>
                <w:szCs w:val="14"/>
                <w:color w:val="auto"/>
              </w:rPr>
              <w:t>Total: EAST END CENTER</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176,200</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1,117,500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6.34</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335" w:lineRule="exact"/>
        <w:rPr>
          <w:sz w:val="20"/>
          <w:szCs w:val="20"/>
          <w:color w:val="auto"/>
        </w:rPr>
      </w:pPr>
    </w:p>
    <w:p>
      <w:pPr>
        <w:ind w:left="360" w:right="4400" w:hanging="352"/>
        <w:spacing w:after="0" w:line="250"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redevelopment of the Abington Towne Center, the Company has sold 157,616 square feet of the main building to Target which operates a Target store at this location. The Company has retained and is redeveloping the remaining 58,610 square feet of the center.</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Acadia owns only the land and not the building for this tenant.</w:t>
      </w:r>
    </w:p>
    <w:p>
      <w:pPr>
        <w:sectPr>
          <w:pgSz w:w="11900" w:h="16838" w:orient="portrait"/>
          <w:cols w:equalWidth="0" w:num="1">
            <w:col w:w="11040"/>
          </w:cols>
          <w:pgMar w:left="220" w:top="616" w:right="639" w:bottom="1440" w:gutter="0" w:footer="0" w:header="0"/>
        </w:sectPr>
      </w:pPr>
    </w:p>
    <w:bookmarkStart w:id="57" w:name="page58"/>
    <w:bookmarkEnd w:id="57"/>
    <w:p>
      <w:pPr>
        <w:ind w:left="6380"/>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304" w:lineRule="exact"/>
        <w:rPr>
          <w:sz w:val="20"/>
          <w:szCs w:val="20"/>
          <w:color w:val="auto"/>
        </w:rPr>
      </w:pPr>
    </w:p>
    <w:p>
      <w:pPr>
        <w:ind w:left="780"/>
        <w:spacing w:after="0"/>
        <w:tabs>
          <w:tab w:leader="none" w:pos="4640" w:val="left"/>
          <w:tab w:leader="none" w:pos="6020" w:val="left"/>
          <w:tab w:leader="none" w:pos="7060" w:val="left"/>
          <w:tab w:leader="none" w:pos="800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960"/>
        <w:spacing w:after="0"/>
        <w:tabs>
          <w:tab w:leader="none" w:pos="4640" w:val="left"/>
          <w:tab w:leader="none" w:pos="5760" w:val="left"/>
          <w:tab w:leader="none" w:pos="7140" w:val="left"/>
          <w:tab w:leader="none" w:pos="7920" w:val="left"/>
          <w:tab w:leader="none" w:pos="886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THE COMPANY CONSIDERS THOSE TENANTS WHO COMPRISE GREATER THAN 10% OF A CENTER'S GLA AS ANCHOR TENANTS (The below detail does not include space which is currently leased, but for which rent payment has not yet commenced)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Retail Anchor Properties- Wholly Owned</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Mid-Atlantic (continued)</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Pennsylvania</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GREENRIDGE PLAZA, SCRANTON</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GIANT FOOD STORES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62,090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04/30/2021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279,405</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(AUTO)</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AMES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83,330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01/31/2007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GREENRIDGE PLAZA</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145,420</w:t>
            </w:r>
          </w:p>
        </w:tc>
        <w:tc>
          <w:tcPr>
            <w:tcW w:w="1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659,405</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4.53</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KINGSTON PLAZA, KINGSTON</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DOLLAR GENERAL</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06/30/2004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PRICE CHOPPER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12/31/2006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KINGSTON PLAZA</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51,500</w:t>
            </w:r>
          </w:p>
        </w:tc>
        <w:tc>
          <w:tcPr>
            <w:tcW w:w="1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LUZERNE STREET SHOPPING CENTER. SCRANTON</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ECKERD DRUGS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04/30/2004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94,500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PRICE CHOPPER 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40,618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04/30/2004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177,650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LUZERNE STREET SHOPPING CENTER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54,618</w:t>
            </w:r>
          </w:p>
        </w:tc>
        <w:tc>
          <w:tcPr>
            <w:tcW w:w="1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272,150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4.98</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MARK PLAZA, EDWARDSVILLE</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104,956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10/31/2004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204,664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w:t>
            </w:r>
          </w:p>
        </w:tc>
        <w:tc>
          <w:tcPr>
            <w:tcW w:w="2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(10) 5 YEAR (12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REDNER'S MARKET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52,639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05/31/2018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421,112</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MARK PLAZA</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157,595</w:t>
            </w:r>
          </w:p>
        </w:tc>
        <w:tc>
          <w:tcPr>
            <w:tcW w:w="1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625,776</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3.97</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MONROE PLAZA, STROUDSBURG</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AMES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61,489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01/29/2009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94,434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ECKERD DRUGS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13,716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10/31/2002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48,006</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SHOP-RITE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52,924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10/31/2005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281,278</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&amp; (1) 3 YEAR</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MONROE PLAZA</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128,129</w:t>
            </w:r>
          </w:p>
        </w:tc>
        <w:tc>
          <w:tcPr>
            <w:tcW w:w="1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423,718</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MOUNTAINVILLE SHOPPING CENTER, ALLENTOWN</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PRICE RITE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07/31/2011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ECKERD DRUGS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15,808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04/30/2004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KLING'S HANDYMAN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01/31/2005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MOUNTAINVILLE SHOPPING CENTER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69,608</w:t>
            </w:r>
          </w:p>
        </w:tc>
        <w:tc>
          <w:tcPr>
            <w:tcW w:w="1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PITTSTON PLAZA, PITTSTON</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ECKERD DRUGS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8,468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06/30/2006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80,446</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REDNER'S MARKETS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59,100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12/31/2018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PITTSTON PLAZA</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67,568</w:t>
            </w:r>
          </w:p>
        </w:tc>
        <w:tc>
          <w:tcPr>
            <w:tcW w:w="13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496,446</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335" w:lineRule="exact"/>
        <w:rPr>
          <w:sz w:val="20"/>
          <w:szCs w:val="20"/>
          <w:color w:val="auto"/>
        </w:rPr>
      </w:pPr>
    </w:p>
    <w:p>
      <w:pPr>
        <w:ind w:left="360" w:right="4140" w:hanging="352"/>
        <w:spacing w:after="0" w:line="255"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tenant has ceased operations at this location, however continues to pay rent pursuant to the lease.</w:t>
      </w:r>
    </w:p>
    <w:p>
      <w:pPr>
        <w:sectPr>
          <w:pgSz w:w="11900" w:h="16838" w:orient="portrait"/>
          <w:cols w:equalWidth="0" w:num="1">
            <w:col w:w="11040"/>
          </w:cols>
          <w:pgMar w:left="220" w:top="616" w:right="639" w:bottom="1440" w:gutter="0" w:footer="0" w:header="0"/>
        </w:sectPr>
      </w:pPr>
    </w:p>
    <w:bookmarkStart w:id="58" w:name="page59"/>
    <w:bookmarkEnd w:id="58"/>
    <w:p>
      <w:pPr>
        <w:ind w:left="6380"/>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304" w:lineRule="exact"/>
        <w:rPr>
          <w:sz w:val="20"/>
          <w:szCs w:val="20"/>
          <w:color w:val="auto"/>
        </w:rPr>
      </w:pPr>
    </w:p>
    <w:p>
      <w:pPr>
        <w:ind w:left="780"/>
        <w:spacing w:after="0"/>
        <w:tabs>
          <w:tab w:leader="none" w:pos="5240" w:val="left"/>
          <w:tab w:leader="none" w:pos="6440" w:val="left"/>
          <w:tab w:leader="none" w:pos="7560" w:val="left"/>
          <w:tab w:leader="none" w:pos="842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960"/>
        <w:spacing w:after="0"/>
        <w:tabs>
          <w:tab w:leader="none" w:pos="5240" w:val="left"/>
          <w:tab w:leader="none" w:pos="6280" w:val="left"/>
          <w:tab w:leader="none" w:pos="7660" w:val="left"/>
          <w:tab w:leader="none" w:pos="8340" w:val="left"/>
          <w:tab w:leader="none" w:pos="938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THE COMPANY CONSIDERS THOSE TENANTS WHO COMPRISE GREATER THAN 10% OF A CENTER'S GLA AS ANCHOR TENANTS (The below detail does not include space which is currently leased, but for which rent payment has not yet commenced)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Retail Anchor Properties- Wholly Owned</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Mid-Atlantic (continued)</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Pennsylvania</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360"/>
              <w:spacing w:after="0"/>
              <w:rPr>
                <w:sz w:val="20"/>
                <w:szCs w:val="20"/>
                <w:color w:val="auto"/>
              </w:rPr>
            </w:pPr>
            <w:r>
              <w:rPr>
                <w:rFonts w:ascii="Courier New" w:cs="Courier New" w:eastAsia="Courier New" w:hAnsi="Courier New"/>
                <w:sz w:val="14"/>
                <w:szCs w:val="14"/>
                <w:color w:val="auto"/>
              </w:rPr>
              <w:t>PLAZA 15, LEWISBURG</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AMES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04/30/2006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121,900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WEIS MARKETS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12/31/2001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95,088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(3 MONTHS)</w:t>
            </w: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Total: PLAZA 15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81,800</w:t>
            </w:r>
          </w:p>
        </w:tc>
        <w:tc>
          <w:tcPr>
            <w:tcW w:w="1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216,988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5140" w:type="dxa"/>
            <w:vAlign w:val="bottom"/>
          </w:tcPr>
          <w:p>
            <w:pPr>
              <w:ind w:left="360"/>
              <w:spacing w:after="0"/>
              <w:rPr>
                <w:sz w:val="20"/>
                <w:szCs w:val="20"/>
                <w:color w:val="auto"/>
              </w:rPr>
            </w:pPr>
            <w:r>
              <w:rPr>
                <w:rFonts w:ascii="Courier New" w:cs="Courier New" w:eastAsia="Courier New" w:hAnsi="Courier New"/>
                <w:sz w:val="14"/>
                <w:szCs w:val="14"/>
                <w:color w:val="auto"/>
              </w:rPr>
              <w:t>PLAZA 422, LEBANON</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PLAYTIME INC, (Sub-leased from Giant Food Stores)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40,783</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09/23/2004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132,030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3.24</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AMES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83,330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10/31/2006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130,000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Total: PLAZA 422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124,113</w:t>
            </w:r>
          </w:p>
        </w:tc>
        <w:tc>
          <w:tcPr>
            <w:tcW w:w="1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262,030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5140" w:type="dxa"/>
            <w:vAlign w:val="bottom"/>
          </w:tcPr>
          <w:p>
            <w:pPr>
              <w:ind w:left="360"/>
              <w:spacing w:after="0"/>
              <w:rPr>
                <w:sz w:val="20"/>
                <w:szCs w:val="20"/>
                <w:color w:val="auto"/>
              </w:rPr>
            </w:pPr>
            <w:r>
              <w:rPr>
                <w:rFonts w:ascii="Courier New" w:cs="Courier New" w:eastAsia="Courier New" w:hAnsi="Courier New"/>
                <w:sz w:val="14"/>
                <w:szCs w:val="14"/>
                <w:color w:val="auto"/>
              </w:rPr>
              <w:t>ROUTE 6 MALL, HONESDALE</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119,658</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04/30/2020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687,951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w:t>
            </w:r>
          </w:p>
        </w:tc>
        <w:tc>
          <w:tcPr>
            <w:tcW w:w="220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(10) 5 YEAR (AUTOMATIC)</w:t>
            </w: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Total: ROUTE 6 MALL</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119,658</w:t>
            </w:r>
          </w:p>
        </w:tc>
        <w:tc>
          <w:tcPr>
            <w:tcW w:w="1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687,951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5140" w:type="dxa"/>
            <w:vAlign w:val="bottom"/>
          </w:tcPr>
          <w:p>
            <w:pPr>
              <w:ind w:left="360"/>
              <w:spacing w:after="0"/>
              <w:rPr>
                <w:sz w:val="20"/>
                <w:szCs w:val="20"/>
                <w:color w:val="auto"/>
              </w:rPr>
            </w:pPr>
            <w:r>
              <w:rPr>
                <w:rFonts w:ascii="Courier New" w:cs="Courier New" w:eastAsia="Courier New" w:hAnsi="Courier New"/>
                <w:sz w:val="14"/>
                <w:szCs w:val="14"/>
                <w:color w:val="auto"/>
              </w:rPr>
              <w:t>SHILLINGTON PLAZA, READING</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94,500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07/31/2004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261,000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WEIS MARKETS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40,107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08/31/2004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106,720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(12 MONTHS)</w:t>
            </w: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Total: SHILLINGTON PLAZA</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134,607</w:t>
            </w:r>
          </w:p>
        </w:tc>
        <w:tc>
          <w:tcPr>
            <w:tcW w:w="1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367,720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5140" w:type="dxa"/>
            <w:vAlign w:val="bottom"/>
          </w:tcPr>
          <w:p>
            <w:pPr>
              <w:ind w:left="360"/>
              <w:spacing w:after="0"/>
              <w:rPr>
                <w:sz w:val="20"/>
                <w:szCs w:val="20"/>
                <w:color w:val="auto"/>
              </w:rPr>
            </w:pPr>
            <w:r>
              <w:rPr>
                <w:rFonts w:ascii="Courier New" w:cs="Courier New" w:eastAsia="Courier New" w:hAnsi="Courier New"/>
                <w:sz w:val="14"/>
                <w:szCs w:val="14"/>
                <w:color w:val="auto"/>
              </w:rPr>
              <w:t>25TH STREET SHOPPING CENTER, EASTON</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CVS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12/31/2005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147,400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11.00</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PETCO</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01/31/2009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127,050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8.25</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Total: 25TH STREET SHOPPING CENTER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28,800</w:t>
            </w:r>
          </w:p>
        </w:tc>
        <w:tc>
          <w:tcPr>
            <w:tcW w:w="1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274,450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9.53</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5140" w:type="dxa"/>
            <w:vAlign w:val="bottom"/>
          </w:tcPr>
          <w:p>
            <w:pPr>
              <w:ind w:left="360"/>
              <w:spacing w:after="0"/>
              <w:rPr>
                <w:sz w:val="20"/>
                <w:szCs w:val="20"/>
                <w:color w:val="auto"/>
              </w:rPr>
            </w:pPr>
            <w:r>
              <w:rPr>
                <w:rFonts w:ascii="Courier New" w:cs="Courier New" w:eastAsia="Courier New" w:hAnsi="Courier New"/>
                <w:sz w:val="14"/>
                <w:szCs w:val="14"/>
                <w:color w:val="auto"/>
              </w:rPr>
              <w:t>UNION PLAZA, NEW CASTLE</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AMES(1)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01/31/2017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493,500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PEEBLES (pays percentage rent only)</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25,052</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01/31/2017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(AUTOMATIC)</w:t>
            </w: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SEARS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98,940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10/25/2011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445,230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Total: UNION PLAZA</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217,992</w:t>
            </w:r>
          </w:p>
        </w:tc>
        <w:tc>
          <w:tcPr>
            <w:tcW w:w="1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938,730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4.31</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5140" w:type="dxa"/>
            <w:vAlign w:val="bottom"/>
          </w:tcPr>
          <w:p>
            <w:pPr>
              <w:ind w:left="360"/>
              <w:spacing w:after="0"/>
              <w:rPr>
                <w:sz w:val="20"/>
                <w:szCs w:val="20"/>
                <w:color w:val="auto"/>
              </w:rPr>
            </w:pPr>
            <w:r>
              <w:rPr>
                <w:rFonts w:ascii="Courier New" w:cs="Courier New" w:eastAsia="Courier New" w:hAnsi="Courier New"/>
                <w:sz w:val="14"/>
                <w:szCs w:val="14"/>
                <w:color w:val="auto"/>
              </w:rPr>
              <w:t>VALMONT PLAZA, WEST HAZELTON</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Virginia</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360"/>
              <w:spacing w:after="0"/>
              <w:rPr>
                <w:sz w:val="20"/>
                <w:szCs w:val="20"/>
                <w:color w:val="auto"/>
              </w:rPr>
            </w:pPr>
            <w:r>
              <w:rPr>
                <w:rFonts w:ascii="Courier New" w:cs="Courier New" w:eastAsia="Courier New" w:hAnsi="Courier New"/>
                <w:sz w:val="14"/>
                <w:szCs w:val="14"/>
                <w:color w:val="auto"/>
              </w:rPr>
              <w:t>KINGS FAIRGROUNDS, DANVILLE</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CVS(2)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12,160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02/28/2002</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29,184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SCHEWEL FURNITURE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60,200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01/31/2006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180,600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(3 MONTHS)</w:t>
            </w: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TRACTOR SUPPLY CO.</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30,975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11/30/2008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123,900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w:t>
            </w:r>
          </w:p>
        </w:tc>
        <w:tc>
          <w:tcPr>
            <w:tcW w:w="520" w:type="dxa"/>
            <w:vAlign w:val="bottom"/>
          </w:tcPr>
          <w:p>
            <w:pPr>
              <w:ind w:left="220"/>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YEAR (6 MONTHS)</w:t>
            </w: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ind w:left="860"/>
              <w:spacing w:after="0"/>
              <w:rPr>
                <w:sz w:val="20"/>
                <w:szCs w:val="20"/>
                <w:color w:val="auto"/>
              </w:rPr>
            </w:pPr>
            <w:r>
              <w:rPr>
                <w:rFonts w:ascii="Courier New" w:cs="Courier New" w:eastAsia="Courier New" w:hAnsi="Courier New"/>
                <w:sz w:val="14"/>
                <w:szCs w:val="14"/>
                <w:color w:val="auto"/>
              </w:rPr>
              <w:t>Total: KINGS FAIRGROUNDS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103,335</w:t>
            </w:r>
          </w:p>
        </w:tc>
        <w:tc>
          <w:tcPr>
            <w:tcW w:w="11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333,684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Total: Mid-Atlantic</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2,452,712</w:t>
            </w:r>
          </w:p>
        </w:tc>
        <w:tc>
          <w:tcPr>
            <w:tcW w:w="116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9,460,411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4.12</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51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170" w:lineRule="exact"/>
        <w:rPr>
          <w:sz w:val="20"/>
          <w:szCs w:val="20"/>
          <w:color w:val="auto"/>
        </w:rPr>
      </w:pPr>
    </w:p>
    <w:p>
      <w:pPr>
        <w:ind w:left="360" w:right="4820" w:hanging="352"/>
        <w:spacing w:after="0" w:line="250" w:lineRule="auto"/>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is currently operating under Chapter 11 Bankruptcy and, subsequent to September 30, 2001, filed to reject this lease. The Union Plaza is currently under contract for sale (provisions have been set forth in the contract for Ames) and the Company anticipates the sale to close during the fourth quarter of 2001.</w:t>
      </w:r>
    </w:p>
    <w:p>
      <w:pPr>
        <w:spacing w:after="0" w:line="2" w:lineRule="exact"/>
        <w:rPr>
          <w:rFonts w:ascii="Courier New" w:cs="Courier New" w:eastAsia="Courier New" w:hAnsi="Courier New"/>
          <w:sz w:val="14"/>
          <w:szCs w:val="14"/>
          <w:color w:val="auto"/>
        </w:rPr>
      </w:pPr>
    </w:p>
    <w:p>
      <w:pPr>
        <w:ind w:left="360" w:right="4640" w:hanging="352"/>
        <w:spacing w:after="0" w:line="255" w:lineRule="auto"/>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tenant has ceased operations at this location, however continues to pay rent pursuant to the lease.</w:t>
      </w:r>
    </w:p>
    <w:p>
      <w:pPr>
        <w:sectPr>
          <w:pgSz w:w="11900" w:h="16838" w:orient="portrait"/>
          <w:cols w:equalWidth="0" w:num="1">
            <w:col w:w="11540"/>
          </w:cols>
          <w:pgMar w:left="220" w:top="616" w:right="139" w:bottom="1440" w:gutter="0" w:footer="0" w:header="0"/>
        </w:sectPr>
      </w:pPr>
    </w:p>
    <w:bookmarkStart w:id="59" w:name="page60"/>
    <w:bookmarkEnd w:id="59"/>
    <w:p>
      <w:pPr>
        <w:ind w:left="6380"/>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304" w:lineRule="exact"/>
        <w:rPr>
          <w:sz w:val="20"/>
          <w:szCs w:val="20"/>
          <w:color w:val="auto"/>
        </w:rPr>
      </w:pPr>
    </w:p>
    <w:p>
      <w:pPr>
        <w:ind w:left="780"/>
        <w:spacing w:after="0"/>
        <w:tabs>
          <w:tab w:leader="none" w:pos="4640" w:val="left"/>
          <w:tab w:leader="none" w:pos="6020" w:val="left"/>
          <w:tab w:leader="none" w:pos="7060" w:val="left"/>
          <w:tab w:leader="none" w:pos="800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960"/>
        <w:spacing w:after="0"/>
        <w:tabs>
          <w:tab w:leader="none" w:pos="4640" w:val="left"/>
          <w:tab w:leader="none" w:pos="5760" w:val="left"/>
          <w:tab w:leader="none" w:pos="7140" w:val="left"/>
          <w:tab w:leader="none" w:pos="7920" w:val="left"/>
          <w:tab w:leader="none" w:pos="886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THE COMPANY CONSIDERS THOSE TENANTS WHO COMPRISE GREATER THAN 10% OF A CENTER'S GLA AS ANCHOR TENANTS (The below detail does not include space which is currently leased, but for which rent payment has not yet commenced)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Retail Anchor Properties- Wholly Owned</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Alabama</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620" w:type="dxa"/>
            <w:vAlign w:val="bottom"/>
          </w:tcPr>
          <w:p>
            <w:pPr>
              <w:ind w:left="360"/>
              <w:spacing w:after="0"/>
              <w:rPr>
                <w:sz w:val="20"/>
                <w:szCs w:val="20"/>
                <w:color w:val="auto"/>
              </w:rPr>
            </w:pPr>
            <w:r>
              <w:rPr>
                <w:rFonts w:ascii="Courier New" w:cs="Courier New" w:eastAsia="Courier New" w:hAnsi="Courier New"/>
                <w:sz w:val="14"/>
                <w:szCs w:val="14"/>
                <w:color w:val="auto"/>
              </w:rPr>
              <w:t>MIDWAY PLAZA, OPELIKA</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BEALL'S OUTLET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04/30/2004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OFFICE DEPOT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28,787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10/31/2007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69,380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(3) 5 YEAR (AUTOMATIC)</w:t>
            </w: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Total: MIDWAY PLAZA</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58,787</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102,380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w:t>
            </w:r>
          </w:p>
        </w:tc>
        <w:tc>
          <w:tcPr>
            <w:tcW w:w="208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620" w:type="dxa"/>
            <w:vAlign w:val="bottom"/>
          </w:tcPr>
          <w:p>
            <w:pPr>
              <w:ind w:left="360"/>
              <w:spacing w:after="0"/>
              <w:rPr>
                <w:sz w:val="20"/>
                <w:szCs w:val="20"/>
                <w:color w:val="auto"/>
              </w:rPr>
            </w:pPr>
            <w:r>
              <w:rPr>
                <w:rFonts w:ascii="Courier New" w:cs="Courier New" w:eastAsia="Courier New" w:hAnsi="Courier New"/>
                <w:sz w:val="14"/>
                <w:szCs w:val="14"/>
                <w:color w:val="auto"/>
              </w:rPr>
              <w:t>NORTHSIDE MALL, DOTHAN</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WAL*MART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111,970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01/31/2004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227,974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(6) 5 YEAR (6 MONTHS)</w:t>
            </w: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Total: NORTHSIDE MALL</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111,970</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227,974</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w:t>
            </w:r>
          </w:p>
        </w:tc>
        <w:tc>
          <w:tcPr>
            <w:tcW w:w="208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620" w:type="dxa"/>
            <w:vAlign w:val="bottom"/>
          </w:tcPr>
          <w:p>
            <w:pPr>
              <w:ind w:left="360"/>
              <w:spacing w:after="0"/>
              <w:rPr>
                <w:sz w:val="20"/>
                <w:szCs w:val="20"/>
                <w:color w:val="auto"/>
              </w:rPr>
            </w:pPr>
            <w:r>
              <w:rPr>
                <w:rFonts w:ascii="Courier New" w:cs="Courier New" w:eastAsia="Courier New" w:hAnsi="Courier New"/>
                <w:sz w:val="14"/>
                <w:szCs w:val="14"/>
                <w:color w:val="auto"/>
              </w:rPr>
              <w:t>NEW SMYRNA BEACH SHOPPING CNTR, NEW SMYRNA BEACH</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THEATRE MANAGEMENT INC.(1)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24,780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11/30/2005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223,020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(4) 5 YEAR (6 MONTHS)</w:t>
            </w: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Total: NEW SMYRNA BEACH SHOPPING CNTR</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24,780</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223,020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w:t>
            </w:r>
          </w:p>
        </w:tc>
        <w:tc>
          <w:tcPr>
            <w:tcW w:w="208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Georgia</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620" w:type="dxa"/>
            <w:vAlign w:val="bottom"/>
          </w:tcPr>
          <w:p>
            <w:pPr>
              <w:ind w:left="360"/>
              <w:spacing w:after="0"/>
              <w:rPr>
                <w:sz w:val="20"/>
                <w:szCs w:val="20"/>
                <w:color w:val="auto"/>
              </w:rPr>
            </w:pPr>
            <w:r>
              <w:rPr>
                <w:rFonts w:ascii="Courier New" w:cs="Courier New" w:eastAsia="Courier New" w:hAnsi="Courier New"/>
                <w:sz w:val="14"/>
                <w:szCs w:val="14"/>
                <w:color w:val="auto"/>
              </w:rPr>
              <w:t>CLOUD SPRINGS PLAZA, FORT OGLETHORPE</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BIG LOTS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10/31/2005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FOOD LION</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01/31/2011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181,250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6.25</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(4) 5 YEAR</w:t>
            </w: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W.S. BADCOCK</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15,260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09/28/2005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51,121</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(1) 5 YEAR (6 MONTHS)</w:t>
            </w: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Total: CLOUD SPRINGS PLAZA</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74,260</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340,371</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4.58</w:t>
            </w:r>
          </w:p>
        </w:tc>
        <w:tc>
          <w:tcPr>
            <w:tcW w:w="208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South Carolina</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620" w:type="dxa"/>
            <w:vAlign w:val="bottom"/>
          </w:tcPr>
          <w:p>
            <w:pPr>
              <w:ind w:left="360"/>
              <w:spacing w:after="0"/>
              <w:rPr>
                <w:sz w:val="20"/>
                <w:szCs w:val="20"/>
                <w:color w:val="auto"/>
              </w:rPr>
            </w:pPr>
            <w:r>
              <w:rPr>
                <w:rFonts w:ascii="Courier New" w:cs="Courier New" w:eastAsia="Courier New" w:hAnsi="Courier New"/>
                <w:sz w:val="14"/>
                <w:szCs w:val="14"/>
                <w:color w:val="auto"/>
              </w:rPr>
              <w:t>MARTINTOWN PLAZA, NORTH AUGUSTA</w:t>
            </w: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BELK'S</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01/31/2004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154,000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(4) 5 YEAR (6 MONTHS)</w:t>
            </w: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OFFICE DEPOT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29,996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06/30/2008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142,500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4.75</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(2) 5 YEAR (12 MONTHS)</w:t>
            </w: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Total: MARTINTOWN PLAZA</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73,996</w:t>
            </w:r>
          </w:p>
        </w:tc>
        <w:tc>
          <w:tcPr>
            <w:tcW w:w="12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296,500</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4.01</w:t>
            </w:r>
          </w:p>
        </w:tc>
        <w:tc>
          <w:tcPr>
            <w:tcW w:w="208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Total: Southeast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343,793</w:t>
            </w:r>
          </w:p>
        </w:tc>
        <w:tc>
          <w:tcPr>
            <w:tcW w:w="12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1,190,245</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3.46</w:t>
            </w:r>
          </w:p>
        </w:tc>
        <w:tc>
          <w:tcPr>
            <w:tcW w:w="2080" w:type="dxa"/>
            <w:vAlign w:val="bottom"/>
          </w:tcPr>
          <w:p>
            <w:pPr>
              <w:spacing w:after="0"/>
              <w:rPr>
                <w:sz w:val="24"/>
                <w:szCs w:val="24"/>
                <w:color w:val="auto"/>
              </w:rPr>
            </w:pPr>
          </w:p>
        </w:tc>
      </w:tr>
      <w:tr>
        <w:trPr>
          <w:trHeight w:val="166"/>
        </w:trPr>
        <w:tc>
          <w:tcPr>
            <w:tcW w:w="462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8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bl>
    <w:p>
      <w:pPr>
        <w:spacing w:after="0" w:line="335" w:lineRule="exact"/>
        <w:rPr>
          <w:sz w:val="20"/>
          <w:szCs w:val="20"/>
          <w:color w:val="auto"/>
        </w:rPr>
      </w:pPr>
    </w:p>
    <w:p>
      <w:pPr>
        <w:ind w:left="360" w:right="4320" w:hanging="352"/>
        <w:spacing w:after="0" w:line="255" w:lineRule="auto"/>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tenant has expanded bringing the total space to 35,280 s.f. with rents of $349,020. Retail Anchor Properties- Wholly Owned</w:t>
      </w:r>
    </w:p>
    <w:p>
      <w:pPr>
        <w:sectPr>
          <w:pgSz w:w="11900" w:h="16838" w:orient="portrait"/>
          <w:cols w:equalWidth="0" w:num="1">
            <w:col w:w="11040"/>
          </w:cols>
          <w:pgMar w:left="220" w:top="782" w:right="639" w:bottom="1440" w:gutter="0" w:footer="0" w:header="0"/>
        </w:sectPr>
      </w:pPr>
    </w:p>
    <w:bookmarkStart w:id="60" w:name="page61"/>
    <w:bookmarkEnd w:id="60"/>
    <w:p>
      <w:pPr>
        <w:ind w:left="6380"/>
        <w:spacing w:after="0"/>
        <w:rPr>
          <w:sz w:val="20"/>
          <w:szCs w:val="20"/>
          <w:color w:val="auto"/>
        </w:rPr>
      </w:pPr>
      <w:r>
        <w:rPr>
          <w:rFonts w:ascii="Courier New" w:cs="Courier New" w:eastAsia="Courier New" w:hAnsi="Courier New"/>
          <w:sz w:val="14"/>
          <w:szCs w:val="14"/>
          <w:color w:val="auto"/>
        </w:rPr>
        <w:t>[LOGO]</w:t>
      </w:r>
    </w:p>
    <w:p>
      <w:pPr>
        <w:spacing w:after="0" w:line="200" w:lineRule="exact"/>
        <w:rPr>
          <w:sz w:val="20"/>
          <w:szCs w:val="20"/>
          <w:color w:val="auto"/>
        </w:rPr>
      </w:pPr>
    </w:p>
    <w:p>
      <w:pPr>
        <w:spacing w:after="0" w:line="304" w:lineRule="exact"/>
        <w:rPr>
          <w:sz w:val="20"/>
          <w:szCs w:val="20"/>
          <w:color w:val="auto"/>
        </w:rPr>
      </w:pPr>
    </w:p>
    <w:p>
      <w:pPr>
        <w:ind w:left="780"/>
        <w:spacing w:after="0"/>
        <w:tabs>
          <w:tab w:leader="none" w:pos="4640" w:val="left"/>
          <w:tab w:leader="none" w:pos="6020" w:val="left"/>
          <w:tab w:leader="none" w:pos="7060" w:val="left"/>
          <w:tab w:leader="none" w:pos="8000" w:val="left"/>
        </w:tabs>
        <w:rPr>
          <w:sz w:val="20"/>
          <w:szCs w:val="20"/>
          <w:color w:val="auto"/>
        </w:rPr>
      </w:pPr>
      <w:r>
        <w:rPr>
          <w:rFonts w:ascii="Courier New" w:cs="Courier New" w:eastAsia="Courier New" w:hAnsi="Courier New"/>
          <w:sz w:val="14"/>
          <w:szCs w:val="14"/>
          <w:color w:val="auto"/>
        </w:rPr>
        <w:t>Property/Tenant Name</w:t>
      </w:r>
      <w:r>
        <w:rPr>
          <w:sz w:val="20"/>
          <w:szCs w:val="20"/>
          <w:color w:val="auto"/>
        </w:rPr>
        <w:tab/>
      </w:r>
      <w:r>
        <w:rPr>
          <w:rFonts w:ascii="Courier New" w:cs="Courier New" w:eastAsia="Courier New" w:hAnsi="Courier New"/>
          <w:sz w:val="14"/>
          <w:szCs w:val="14"/>
          <w:color w:val="auto"/>
        </w:rPr>
        <w:t>Square</w:t>
      </w:r>
      <w:r>
        <w:rPr>
          <w:sz w:val="20"/>
          <w:szCs w:val="20"/>
          <w:color w:val="auto"/>
        </w:rPr>
        <w:tab/>
      </w:r>
      <w:r>
        <w:rPr>
          <w:rFonts w:ascii="Courier New" w:cs="Courier New" w:eastAsia="Courier New" w:hAnsi="Courier New"/>
          <w:sz w:val="14"/>
          <w:szCs w:val="14"/>
          <w:color w:val="auto"/>
        </w:rPr>
        <w:t>Lease</w:t>
      </w:r>
      <w:r>
        <w:rPr>
          <w:sz w:val="20"/>
          <w:szCs w:val="20"/>
          <w:color w:val="auto"/>
        </w:rPr>
        <w:tab/>
      </w:r>
      <w:r>
        <w:rPr>
          <w:rFonts w:ascii="Courier New" w:cs="Courier New" w:eastAsia="Courier New" w:hAnsi="Courier New"/>
          <w:sz w:val="14"/>
          <w:szCs w:val="14"/>
          <w:color w:val="auto"/>
        </w:rPr>
        <w:t>Annual</w:t>
      </w:r>
      <w:r>
        <w:rPr>
          <w:sz w:val="20"/>
          <w:szCs w:val="20"/>
          <w:color w:val="auto"/>
        </w:rPr>
        <w:tab/>
      </w:r>
      <w:r>
        <w:rPr>
          <w:rFonts w:ascii="Courier New" w:cs="Courier New" w:eastAsia="Courier New" w:hAnsi="Courier New"/>
          <w:sz w:val="14"/>
          <w:szCs w:val="14"/>
          <w:color w:val="auto"/>
        </w:rPr>
        <w:t>Annual</w:t>
      </w:r>
    </w:p>
    <w:p>
      <w:pPr>
        <w:spacing w:after="0" w:line="7" w:lineRule="exact"/>
        <w:rPr>
          <w:sz w:val="20"/>
          <w:szCs w:val="20"/>
          <w:color w:val="auto"/>
        </w:rPr>
      </w:pPr>
    </w:p>
    <w:p>
      <w:pPr>
        <w:ind w:left="960"/>
        <w:spacing w:after="0"/>
        <w:tabs>
          <w:tab w:leader="none" w:pos="4640" w:val="left"/>
          <w:tab w:leader="none" w:pos="5760" w:val="left"/>
          <w:tab w:leader="none" w:pos="7140" w:val="left"/>
          <w:tab w:leader="none" w:pos="7920" w:val="left"/>
          <w:tab w:leader="none" w:pos="8860" w:val="left"/>
        </w:tabs>
        <w:rPr>
          <w:sz w:val="20"/>
          <w:szCs w:val="20"/>
          <w:color w:val="auto"/>
        </w:rPr>
      </w:pPr>
      <w:r>
        <w:rPr>
          <w:rFonts w:ascii="Courier New" w:cs="Courier New" w:eastAsia="Courier New" w:hAnsi="Courier New"/>
          <w:sz w:val="14"/>
          <w:szCs w:val="14"/>
          <w:color w:val="auto"/>
        </w:rPr>
        <w:t>(Type of Center)</w:t>
      </w:r>
      <w:r>
        <w:rPr>
          <w:sz w:val="20"/>
          <w:szCs w:val="20"/>
          <w:color w:val="auto"/>
        </w:rPr>
        <w:tab/>
      </w:r>
      <w:r>
        <w:rPr>
          <w:rFonts w:ascii="Courier New" w:cs="Courier New" w:eastAsia="Courier New" w:hAnsi="Courier New"/>
          <w:sz w:val="14"/>
          <w:szCs w:val="14"/>
          <w:color w:val="auto"/>
        </w:rPr>
        <w:t>Footage</w:t>
      </w:r>
      <w:r>
        <w:rPr>
          <w:sz w:val="20"/>
          <w:szCs w:val="20"/>
          <w:color w:val="auto"/>
        </w:rPr>
        <w:tab/>
      </w:r>
      <w:r>
        <w:rPr>
          <w:rFonts w:ascii="Courier New" w:cs="Courier New" w:eastAsia="Courier New" w:hAnsi="Courier New"/>
          <w:sz w:val="14"/>
          <w:szCs w:val="14"/>
          <w:color w:val="auto"/>
        </w:rPr>
        <w:t>Expiration</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Rent PSF</w:t>
      </w:r>
      <w:r>
        <w:rPr>
          <w:sz w:val="20"/>
          <w:szCs w:val="20"/>
          <w:color w:val="auto"/>
        </w:rPr>
        <w:tab/>
      </w:r>
      <w:r>
        <w:rPr>
          <w:rFonts w:ascii="Courier New" w:cs="Courier New" w:eastAsia="Courier New" w:hAnsi="Courier New"/>
          <w:sz w:val="14"/>
          <w:szCs w:val="14"/>
          <w:color w:val="auto"/>
        </w:rPr>
        <w:t>Options/Required Notice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220"/>
        <w:spacing w:after="0" w:line="252" w:lineRule="auto"/>
        <w:rPr>
          <w:sz w:val="20"/>
          <w:szCs w:val="20"/>
          <w:color w:val="auto"/>
        </w:rPr>
      </w:pPr>
      <w:r>
        <w:rPr>
          <w:rFonts w:ascii="Courier New" w:cs="Courier New" w:eastAsia="Courier New" w:hAnsi="Courier New"/>
          <w:sz w:val="14"/>
          <w:szCs w:val="14"/>
          <w:color w:val="auto"/>
        </w:rPr>
        <w:t>THE COMPANY CONSIDERS THOSE TENANTS WHO COMPRISE GREATER THAN 10% OF A CENTER'S GLA AS ANCHOR TENANTS (The below detail does not include space which is currently leased, but for which rent payment has not yet commenced)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Retail Anchor Properties- Wholly Owned</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HOBSON WEST PLAZA, NAPERVILLE</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EAGLE FOOD CENTERS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42,037</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11/30/2007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4.04</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(5) 5 YEAR (6 MONTHS)</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HOBSON WEST PLAZA,</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42,037</w:t>
            </w:r>
          </w:p>
        </w:tc>
        <w:tc>
          <w:tcPr>
            <w:tcW w:w="1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4.04</w:t>
            </w:r>
          </w:p>
        </w:tc>
        <w:tc>
          <w:tcPr>
            <w:tcW w:w="20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Indiana</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MERRILLVILLE PLAZA, MERILLVILLE</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JC PENNEY</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01/31/2008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(2) 5 YEAR (12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OFFICEMAX</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26,157</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07/31/2008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202,717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(4) 5 YEAR (6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TJ MAXX</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25,200</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01/31/2004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182,700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7.25</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(2) 5 YEAR (6 MONTHS)</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MERRILLVILLE PLAZA</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101,357</w:t>
            </w:r>
          </w:p>
        </w:tc>
        <w:tc>
          <w:tcPr>
            <w:tcW w:w="1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835,417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8.24</w:t>
            </w:r>
          </w:p>
        </w:tc>
        <w:tc>
          <w:tcPr>
            <w:tcW w:w="20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Michigan</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BLOOMFIELD TOWN SQUARE, BLOOMFIELD HILLS</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HOME GOODS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39,646</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05/31/2010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307,257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(3) 5 YEAR</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MARSHALLS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01/31/2012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(3) 5 YEAR (6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TJ MAXX</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36,000</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03/31/2003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6.50</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(2) 5 YEAR (6 MONTHS)</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BLOOMFIELD TOWN SQUARE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105,646</w:t>
            </w:r>
          </w:p>
        </w:tc>
        <w:tc>
          <w:tcPr>
            <w:tcW w:w="1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781,257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7.40</w:t>
            </w:r>
          </w:p>
        </w:tc>
        <w:tc>
          <w:tcPr>
            <w:tcW w:w="20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Ohio</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MAD RIVER STATION - RETAIL, DAYTON</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BABIES 'R' US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33,147</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02/28/2005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243,630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7.35</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(3) 5 YEAR</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OFFICE DEPOT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25,038</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08/31/2005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287,937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11.50</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(1) 5 YEAR (6 MONTH)</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MAD RIVER STATION - RETAIL SPACE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58,185</w:t>
            </w:r>
          </w:p>
        </w:tc>
        <w:tc>
          <w:tcPr>
            <w:tcW w:w="1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531,567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9.14</w:t>
            </w:r>
          </w:p>
        </w:tc>
        <w:tc>
          <w:tcPr>
            <w:tcW w:w="20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Midwest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307,225</w:t>
            </w:r>
          </w:p>
        </w:tc>
        <w:tc>
          <w:tcPr>
            <w:tcW w:w="14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2,318,241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7.55</w:t>
            </w:r>
          </w:p>
        </w:tc>
        <w:tc>
          <w:tcPr>
            <w:tcW w:w="2080" w:type="dxa"/>
            <w:vAlign w:val="bottom"/>
          </w:tcPr>
          <w:p>
            <w:pPr>
              <w:spacing w:after="0"/>
              <w:rPr>
                <w:sz w:val="24"/>
                <w:szCs w:val="2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Retail Anchor Properties - Wholly Owned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4,832,362</w:t>
            </w:r>
          </w:p>
        </w:tc>
        <w:tc>
          <w:tcPr>
            <w:tcW w:w="2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$ 26,524,136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$ 5.79</w:t>
            </w:r>
          </w:p>
        </w:tc>
        <w:tc>
          <w:tcPr>
            <w:tcW w:w="2080" w:type="dxa"/>
            <w:vAlign w:val="bottom"/>
          </w:tcPr>
          <w:p>
            <w:pPr>
              <w:spacing w:after="0"/>
              <w:rPr>
                <w:sz w:val="24"/>
                <w:szCs w:val="2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Unconsolidated Retail Properties</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New York Region</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360"/>
              <w:spacing w:after="0"/>
              <w:rPr>
                <w:sz w:val="20"/>
                <w:szCs w:val="20"/>
                <w:color w:val="auto"/>
              </w:rPr>
            </w:pPr>
            <w:r>
              <w:rPr>
                <w:rFonts w:ascii="Courier New" w:cs="Courier New" w:eastAsia="Courier New" w:hAnsi="Courier New"/>
                <w:sz w:val="14"/>
                <w:szCs w:val="14"/>
                <w:color w:val="auto"/>
              </w:rPr>
              <w:t>CROSSROADS SHOPPING CENTER,WHITEPLAINS</w:t>
            </w: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K-MART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100,725</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01/31/2012  $</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566,250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$ 5.62</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(5) 5 YEAR (9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WALDBAUMS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38,208</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12/31/2007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504,000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13.19</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(5) 5 YEAR (9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B. DALTON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12,430</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05/28/2012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321,813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25.89</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(2) 5 YEAR (18 MONTHS)</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MODELL'S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01/11/2002</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204,733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13.65</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MODELL'S(1)</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02/28/2009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193,750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7.75</w:t>
            </w:r>
          </w:p>
        </w:tc>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(2) 5 YEAR (12 MONTHS)</w:t>
            </w: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166"/>
        </w:trPr>
        <w:tc>
          <w:tcPr>
            <w:tcW w:w="4400" w:type="dxa"/>
            <w:vAlign w:val="bottom"/>
          </w:tcPr>
          <w:p>
            <w:pPr>
              <w:ind w:left="860"/>
              <w:spacing w:after="0"/>
              <w:rPr>
                <w:sz w:val="20"/>
                <w:szCs w:val="20"/>
                <w:color w:val="auto"/>
              </w:rPr>
            </w:pPr>
            <w:r>
              <w:rPr>
                <w:rFonts w:ascii="Courier New" w:cs="Courier New" w:eastAsia="Courier New" w:hAnsi="Courier New"/>
                <w:sz w:val="14"/>
                <w:szCs w:val="14"/>
                <w:color w:val="auto"/>
              </w:rPr>
              <w:t>Total: CROSSROADS SHOPPING CENTER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191,363</w:t>
            </w:r>
          </w:p>
        </w:tc>
        <w:tc>
          <w:tcPr>
            <w:tcW w:w="14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1,790,546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9.36</w:t>
            </w:r>
          </w:p>
        </w:tc>
        <w:tc>
          <w:tcPr>
            <w:tcW w:w="208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Total: New York Region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191,363</w:t>
            </w:r>
          </w:p>
        </w:tc>
        <w:tc>
          <w:tcPr>
            <w:tcW w:w="142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1,790,546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9.36</w:t>
            </w:r>
          </w:p>
        </w:tc>
        <w:tc>
          <w:tcPr>
            <w:tcW w:w="2080" w:type="dxa"/>
            <w:vAlign w:val="bottom"/>
          </w:tcPr>
          <w:p>
            <w:pPr>
              <w:spacing w:after="0"/>
              <w:rPr>
                <w:sz w:val="24"/>
                <w:szCs w:val="2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Unconsolidated Retail Properties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191,363</w:t>
            </w:r>
          </w:p>
        </w:tc>
        <w:tc>
          <w:tcPr>
            <w:tcW w:w="1420" w:type="dxa"/>
            <w:vAlign w:val="bottom"/>
          </w:tcPr>
          <w:p>
            <w:pPr>
              <w:ind w:left="1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1,790,546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$ 9.36</w:t>
            </w:r>
          </w:p>
        </w:tc>
        <w:tc>
          <w:tcPr>
            <w:tcW w:w="2080" w:type="dxa"/>
            <w:vAlign w:val="bottom"/>
          </w:tcPr>
          <w:p>
            <w:pPr>
              <w:spacing w:after="0"/>
              <w:rPr>
                <w:sz w:val="24"/>
                <w:szCs w:val="24"/>
                <w:color w:val="auto"/>
              </w:rPr>
            </w:pPr>
          </w:p>
        </w:tc>
      </w:tr>
      <w:tr>
        <w:trPr>
          <w:trHeight w:val="166"/>
        </w:trPr>
        <w:tc>
          <w:tcPr>
            <w:tcW w:w="440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r>
    </w:tbl>
    <w:p>
      <w:pPr>
        <w:spacing w:after="0" w:line="335" w:lineRule="exact"/>
        <w:rPr>
          <w:sz w:val="20"/>
          <w:szCs w:val="20"/>
          <w:color w:val="auto"/>
        </w:rPr>
      </w:pPr>
    </w:p>
    <w:p>
      <w:pPr>
        <w:ind w:left="360" w:right="4220" w:hanging="352"/>
        <w:spacing w:after="0" w:line="255"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space was formerly leased to Pergament's. Modell's acquired this lease in connection with Pergaments' bankruptcy proceedings earlier in the year.</w:t>
      </w:r>
    </w:p>
    <w:p>
      <w:pPr>
        <w:sectPr>
          <w:pgSz w:w="11900" w:h="16838" w:orient="portrait"/>
          <w:cols w:equalWidth="0" w:num="1">
            <w:col w:w="11040"/>
          </w:cols>
          <w:pgMar w:left="220" w:top="616" w:right="639" w:bottom="1440" w:gutter="0" w:footer="0" w:header="0"/>
        </w:sectPr>
      </w:pPr>
    </w:p>
    <w:bookmarkStart w:id="61" w:name="page62"/>
    <w:bookmarkEnd w:id="61"/>
    <w:p>
      <w:pPr>
        <w:ind w:left="638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Lease Expirations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28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Gross Leased Area</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Annualized Base Rent</w:t>
            </w:r>
          </w:p>
        </w:tc>
        <w:tc>
          <w:tcPr>
            <w:tcW w:w="640" w:type="dxa"/>
            <w:vAlign w:val="bottom"/>
          </w:tcPr>
          <w:p>
            <w:pPr>
              <w:spacing w:after="0"/>
              <w:rPr>
                <w:sz w:val="14"/>
                <w:szCs w:val="14"/>
                <w:color w:val="auto"/>
              </w:rPr>
            </w:pPr>
          </w:p>
        </w:tc>
      </w:tr>
      <w:tr>
        <w:trPr>
          <w:trHeight w:val="166"/>
        </w:trPr>
        <w:tc>
          <w:tcPr>
            <w:tcW w:w="800" w:type="dxa"/>
            <w:vAlign w:val="bottom"/>
          </w:tcPr>
          <w:p>
            <w:pPr>
              <w:spacing w:after="0"/>
              <w:rPr>
                <w:sz w:val="14"/>
                <w:szCs w:val="14"/>
                <w:color w:val="auto"/>
              </w:rPr>
            </w:pP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80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spacing w:after="0"/>
              <w:rPr>
                <w:sz w:val="14"/>
                <w:szCs w:val="14"/>
                <w:color w:val="auto"/>
              </w:rPr>
            </w:pPr>
          </w:p>
        </w:tc>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Percent</w:t>
            </w:r>
          </w:p>
        </w:tc>
        <w:tc>
          <w:tcPr>
            <w:tcW w:w="1300" w:type="dxa"/>
            <w:vAlign w:val="bottom"/>
          </w:tcPr>
          <w:p>
            <w:pPr>
              <w:spacing w:after="0"/>
              <w:rPr>
                <w:sz w:val="14"/>
                <w:szCs w:val="14"/>
                <w:color w:val="auto"/>
              </w:rPr>
            </w:pP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Percent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Leases</w:t>
            </w: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Square</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of</w:t>
            </w:r>
          </w:p>
        </w:tc>
        <w:tc>
          <w:tcPr>
            <w:tcW w:w="1300" w:type="dxa"/>
            <w:vAlign w:val="bottom"/>
          </w:tcPr>
          <w:p>
            <w:pPr>
              <w:spacing w:after="0"/>
              <w:rPr>
                <w:sz w:val="14"/>
                <w:szCs w:val="14"/>
                <w:color w:val="auto"/>
              </w:rPr>
            </w:pPr>
          </w:p>
        </w:tc>
        <w:tc>
          <w:tcPr>
            <w:tcW w:w="1900" w:type="dxa"/>
            <w:vAlign w:val="bottom"/>
          </w:tcPr>
          <w:p>
            <w:pPr>
              <w:jc w:val="center"/>
              <w:ind w:left="8"/>
              <w:spacing w:after="0"/>
              <w:rPr>
                <w:sz w:val="20"/>
                <w:szCs w:val="20"/>
                <w:color w:val="auto"/>
              </w:rPr>
            </w:pPr>
            <w:r>
              <w:rPr>
                <w:rFonts w:ascii="Courier New" w:cs="Courier New" w:eastAsia="Courier New" w:hAnsi="Courier New"/>
                <w:sz w:val="14"/>
                <w:szCs w:val="14"/>
                <w:color w:val="auto"/>
              </w:rPr>
              <w:t>of</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per</w:t>
            </w:r>
          </w:p>
        </w:tc>
      </w:tr>
      <w:tr>
        <w:trPr>
          <w:trHeight w:val="166"/>
        </w:trPr>
        <w:tc>
          <w:tcPr>
            <w:tcW w:w="800" w:type="dxa"/>
            <w:vAlign w:val="bottom"/>
          </w:tcPr>
          <w:p>
            <w:pPr>
              <w:spacing w:after="0"/>
              <w:rPr>
                <w:sz w:val="20"/>
                <w:szCs w:val="20"/>
                <w:color w:val="auto"/>
              </w:rPr>
            </w:pPr>
            <w:r>
              <w:rPr>
                <w:rFonts w:ascii="Courier New" w:cs="Courier New" w:eastAsia="Courier New" w:hAnsi="Courier New"/>
                <w:sz w:val="14"/>
                <w:szCs w:val="14"/>
                <w:color w:val="auto"/>
              </w:rPr>
              <w:t>Expiring</w:t>
            </w: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Footage</w:t>
            </w:r>
          </w:p>
        </w:tc>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ind w:left="640"/>
              <w:spacing w:after="0"/>
              <w:rPr>
                <w:sz w:val="20"/>
                <w:szCs w:val="20"/>
                <w:color w:val="auto"/>
              </w:rPr>
            </w:pPr>
            <w:r>
              <w:rPr>
                <w:rFonts w:ascii="Courier New" w:cs="Courier New" w:eastAsia="Courier New" w:hAnsi="Courier New"/>
                <w:sz w:val="14"/>
                <w:szCs w:val="14"/>
                <w:color w:val="auto"/>
              </w:rPr>
              <w:t>Amount</w:t>
            </w: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Total</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Anchor Tenant Expirations</w:t>
      </w:r>
    </w:p>
    <w:p>
      <w:pPr>
        <w:spacing w:after="0" w:line="338"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28,800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0.63%</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$ 95,088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3.30</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2002</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53,104</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1.16%</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390,312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7.35</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2003</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229,553</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5.01%</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1,006,886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2004</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1,034,599</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22.60%</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2,883,049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2005</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408,774</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8.93%</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2,612,007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6.39</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2006</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369,468</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8.07%</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1,113,069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2007</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330,759</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7.23%</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1,694,380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5.12</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2008</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307,893</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6.73%</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1,834,073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5.96</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2009</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124,160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2.71%</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741,465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5.97</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2010</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125,825</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2.75%</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1,560,428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12.40</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2011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161,740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3.53%</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795,480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2012</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80,225</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756,960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9.44</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2013</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115,392</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2.52%</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1,334,994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11.57</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2014</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51,658</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1.13%</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413,264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2015</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134,567</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2.94%</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2,188,841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16.27</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2017</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183,717</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4.01%</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1,223,500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2018</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143,358</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3.13%</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1,200,731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8.38</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2019</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327,845</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7.16%</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2,206,061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2020</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294,852</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6.44%</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2,049,120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6.95</w:t>
            </w:r>
          </w:p>
        </w:tc>
      </w:tr>
      <w:tr>
        <w:trPr>
          <w:trHeight w:val="166"/>
        </w:trPr>
        <w:tc>
          <w:tcPr>
            <w:tcW w:w="17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2021</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71,157</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1.57%</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424,429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5.96</w:t>
            </w:r>
          </w:p>
        </w:tc>
      </w:tr>
      <w:tr>
        <w:trPr>
          <w:trHeight w:val="166"/>
        </w:trPr>
        <w:tc>
          <w:tcPr>
            <w:tcW w:w="1780" w:type="dxa"/>
            <w:vAlign w:val="bottom"/>
          </w:tcPr>
          <w:p>
            <w:pPr>
              <w:spacing w:after="0"/>
              <w:rPr>
                <w:sz w:val="14"/>
                <w:szCs w:val="14"/>
                <w:color w:val="auto"/>
              </w:rPr>
            </w:pPr>
          </w:p>
        </w:tc>
        <w:tc>
          <w:tcPr>
            <w:tcW w:w="38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Total Occupied</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4,577,446</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$26,524,137</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$ 5.79</w:t>
            </w:r>
          </w:p>
        </w:tc>
      </w:tr>
      <w:tr>
        <w:trPr>
          <w:trHeight w:val="331"/>
        </w:trPr>
        <w:tc>
          <w:tcPr>
            <w:tcW w:w="2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Anchor GLA Owned by Tenants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254,916</w:t>
            </w:r>
          </w:p>
        </w:tc>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Total Vacant</w:t>
            </w:r>
          </w:p>
        </w:tc>
        <w:tc>
          <w:tcPr>
            <w:tcW w:w="102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339,219</w:t>
            </w:r>
          </w:p>
        </w:tc>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Total Square Feet</w:t>
            </w:r>
          </w:p>
        </w:tc>
        <w:tc>
          <w:tcPr>
            <w:tcW w:w="102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5,171,581</w:t>
            </w:r>
          </w:p>
        </w:tc>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1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ectPr>
          <w:pgSz w:w="11900" w:h="16838" w:orient="portrait"/>
          <w:cols w:equalWidth="0" w:num="1">
            <w:col w:w="10520"/>
          </w:cols>
          <w:pgMar w:left="220" w:top="616" w:right="1159" w:bottom="1440" w:gutter="0" w:footer="0" w:header="0"/>
        </w:sectPr>
      </w:pPr>
    </w:p>
    <w:bookmarkStart w:id="62" w:name="page63"/>
    <w:bookmarkEnd w:id="62"/>
    <w:p>
      <w:pPr>
        <w:ind w:left="638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Lease Expirations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Gross Leased Area</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Annualized Base Rent</w:t>
            </w:r>
          </w:p>
        </w:tc>
        <w:tc>
          <w:tcPr>
            <w:tcW w:w="7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c>
          <w:tcPr>
            <w:tcW w:w="1540" w:type="dxa"/>
            <w:vAlign w:val="bottom"/>
          </w:tcPr>
          <w:p>
            <w:pPr>
              <w:spacing w:after="0"/>
              <w:rPr>
                <w:sz w:val="14"/>
                <w:szCs w:val="14"/>
                <w:color w:val="auto"/>
              </w:rPr>
            </w:pPr>
          </w:p>
        </w:tc>
        <w:tc>
          <w:tcPr>
            <w:tcW w:w="17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Percent</w:t>
            </w:r>
          </w:p>
        </w:tc>
        <w:tc>
          <w:tcPr>
            <w:tcW w:w="1080" w:type="dxa"/>
            <w:vAlign w:val="bottom"/>
          </w:tcPr>
          <w:p>
            <w:pPr>
              <w:spacing w:after="0"/>
              <w:rPr>
                <w:sz w:val="14"/>
                <w:szCs w:val="14"/>
                <w:color w:val="auto"/>
              </w:rPr>
            </w:pPr>
          </w:p>
        </w:tc>
        <w:tc>
          <w:tcPr>
            <w:tcW w:w="17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Percent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6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Square</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of</w:t>
            </w:r>
          </w:p>
        </w:tc>
        <w:tc>
          <w:tcPr>
            <w:tcW w:w="10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of</w:t>
            </w:r>
          </w:p>
        </w:tc>
        <w:tc>
          <w:tcPr>
            <w:tcW w:w="700" w:type="dxa"/>
            <w:vAlign w:val="bottom"/>
          </w:tcPr>
          <w:p>
            <w:pPr>
              <w:jc w:val="center"/>
              <w:ind w:left="8"/>
              <w:spacing w:after="0"/>
              <w:rPr>
                <w:sz w:val="20"/>
                <w:szCs w:val="20"/>
                <w:color w:val="auto"/>
              </w:rPr>
            </w:pPr>
            <w:r>
              <w:rPr>
                <w:rFonts w:ascii="Courier New" w:cs="Courier New" w:eastAsia="Courier New" w:hAnsi="Courier New"/>
                <w:sz w:val="14"/>
                <w:szCs w:val="14"/>
                <w:color w:val="auto"/>
              </w:rPr>
              <w:t>per</w:t>
            </w:r>
          </w:p>
        </w:tc>
      </w:tr>
      <w:tr>
        <w:trPr>
          <w:trHeight w:val="166"/>
        </w:trPr>
        <w:tc>
          <w:tcPr>
            <w:tcW w:w="26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Expiring</w:t>
            </w:r>
          </w:p>
        </w:tc>
        <w:tc>
          <w:tcPr>
            <w:tcW w:w="15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Footage</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264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40" w:type="dxa"/>
            <w:vAlign w:val="bottom"/>
          </w:tcPr>
          <w:p>
            <w:pPr>
              <w:ind w:left="520"/>
              <w:spacing w:after="0"/>
              <w:rPr>
                <w:sz w:val="20"/>
                <w:szCs w:val="20"/>
                <w:color w:val="auto"/>
              </w:rPr>
            </w:pPr>
            <w:r>
              <w:rPr>
                <w:rFonts w:ascii="Courier New" w:cs="Courier New" w:eastAsia="Courier New" w:hAnsi="Courier New"/>
                <w:sz w:val="14"/>
                <w:szCs w:val="14"/>
                <w:color w:val="auto"/>
              </w:rPr>
              <w:t>Shop Tenant Expirations</w:t>
            </w: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Month to Month</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113,174</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5.04%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$ 658,244</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$ 5.82</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77,001</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3.43%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1,024,118</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13.30</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272,595</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12.14%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2,561,504</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10.79%</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311,337</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13.86%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3,254,786</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13.71%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10.45</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2004</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319,948</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14.24%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3,676,236</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15.49%</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11.49</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320,768</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14.28%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3,304,777</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13.92%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10.30</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2006</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203,382</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9.05%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2,247,295</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11.05</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2007</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137,011</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6.10%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1,560,340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11.39</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2008</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109,635</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1,346,418</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12.28</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2009</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98,644</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1,196,754</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12.13</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2010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155,020</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6.90%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1,292,876</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8.34</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2011</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73,807</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937,249</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3.95%</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12.70</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2014</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26,472</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1.18%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167,024</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2015</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9,592</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0.43%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184,838</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0.78%</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19.27</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2019</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14,887</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0.66%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236,800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w:t>
            </w:r>
          </w:p>
        </w:tc>
      </w:tr>
      <w:tr>
        <w:trPr>
          <w:trHeight w:val="166"/>
        </w:trPr>
        <w:tc>
          <w:tcPr>
            <w:tcW w:w="264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2020</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3,000</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0.13%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87,000</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0.38%</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29.00</w:t>
            </w:r>
          </w:p>
        </w:tc>
      </w:tr>
      <w:tr>
        <w:trPr>
          <w:trHeight w:val="331"/>
        </w:trPr>
        <w:tc>
          <w:tcPr>
            <w:tcW w:w="2640" w:type="dxa"/>
            <w:vAlign w:val="bottom"/>
          </w:tcPr>
          <w:p>
            <w:pPr>
              <w:spacing w:after="0"/>
              <w:rPr>
                <w:sz w:val="24"/>
                <w:szCs w:val="2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3"/>
              </w:rPr>
              <w:t>-------------------------------------</w:t>
            </w:r>
          </w:p>
        </w:tc>
        <w:tc>
          <w:tcPr>
            <w:tcW w:w="1720" w:type="dxa"/>
            <w:vAlign w:val="bottom"/>
          </w:tcPr>
          <w:p>
            <w:pPr>
              <w:spacing w:after="0"/>
              <w:rPr>
                <w:sz w:val="24"/>
                <w:szCs w:val="24"/>
                <w:color w:val="auto"/>
              </w:rPr>
            </w:pPr>
          </w:p>
        </w:tc>
        <w:tc>
          <w:tcPr>
            <w:tcW w:w="354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Total Occupied</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512</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2,246,273</w:t>
            </w:r>
          </w:p>
        </w:tc>
        <w:tc>
          <w:tcPr>
            <w:tcW w:w="172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$23,736,259</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100.00%</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$ 10.57</w:t>
            </w:r>
          </w:p>
        </w:tc>
      </w:tr>
      <w:tr>
        <w:trPr>
          <w:trHeight w:val="331"/>
        </w:trPr>
        <w:tc>
          <w:tcPr>
            <w:tcW w:w="6980" w:type="dxa"/>
            <w:vAlign w:val="bottom"/>
            <w:gridSpan w:val="4"/>
          </w:tcPr>
          <w:p>
            <w:pPr>
              <w:ind w:left="10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2640" w:type="dxa"/>
            <w:vAlign w:val="bottom"/>
          </w:tcPr>
          <w:p>
            <w:pPr>
              <w:ind w:left="1040"/>
              <w:spacing w:after="0"/>
              <w:rPr>
                <w:sz w:val="20"/>
                <w:szCs w:val="20"/>
                <w:color w:val="auto"/>
              </w:rPr>
            </w:pPr>
            <w:r>
              <w:rPr>
                <w:rFonts w:ascii="Courier New" w:cs="Courier New" w:eastAsia="Courier New" w:hAnsi="Courier New"/>
                <w:sz w:val="14"/>
                <w:szCs w:val="14"/>
                <w:color w:val="auto"/>
              </w:rPr>
              <w:t>Total Vacant</w:t>
            </w:r>
          </w:p>
        </w:tc>
        <w:tc>
          <w:tcPr>
            <w:tcW w:w="1080" w:type="dxa"/>
            <w:vAlign w:val="bottom"/>
          </w:tcPr>
          <w:p>
            <w:pPr>
              <w:spacing w:after="0"/>
              <w:rPr>
                <w:sz w:val="24"/>
                <w:szCs w:val="2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566,766</w:t>
            </w: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26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2640" w:type="dxa"/>
            <w:vAlign w:val="bottom"/>
          </w:tcPr>
          <w:p>
            <w:pPr>
              <w:ind w:left="1040"/>
              <w:spacing w:after="0"/>
              <w:rPr>
                <w:sz w:val="20"/>
                <w:szCs w:val="20"/>
                <w:color w:val="auto"/>
              </w:rPr>
            </w:pPr>
            <w:r>
              <w:rPr>
                <w:rFonts w:ascii="Courier New" w:cs="Courier New" w:eastAsia="Courier New" w:hAnsi="Courier New"/>
                <w:sz w:val="14"/>
                <w:szCs w:val="14"/>
                <w:color w:val="auto"/>
              </w:rPr>
              <w:t>Total Square Feet</w:t>
            </w:r>
          </w:p>
        </w:tc>
        <w:tc>
          <w:tcPr>
            <w:tcW w:w="1080" w:type="dxa"/>
            <w:vAlign w:val="bottom"/>
          </w:tcPr>
          <w:p>
            <w:pPr>
              <w:spacing w:after="0"/>
              <w:rPr>
                <w:sz w:val="24"/>
                <w:szCs w:val="24"/>
                <w:color w:val="auto"/>
              </w:rPr>
            </w:pP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2,813,039</w:t>
            </w:r>
          </w:p>
        </w:tc>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26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38" w:orient="portrait"/>
          <w:cols w:equalWidth="0" w:num="1">
            <w:col w:w="10520"/>
          </w:cols>
          <w:pgMar w:left="220" w:top="616" w:right="1159" w:bottom="1440" w:gutter="0" w:footer="0" w:header="0"/>
        </w:sectPr>
      </w:pPr>
    </w:p>
    <w:bookmarkStart w:id="63" w:name="page64"/>
    <w:bookmarkEnd w:id="63"/>
    <w:p>
      <w:pPr>
        <w:ind w:left="638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Lease Expirations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28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Gross Leased Area</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Annualized Base Rent</w:t>
            </w:r>
          </w:p>
        </w:tc>
        <w:tc>
          <w:tcPr>
            <w:tcW w:w="640" w:type="dxa"/>
            <w:vAlign w:val="bottom"/>
          </w:tcPr>
          <w:p>
            <w:pPr>
              <w:spacing w:after="0"/>
              <w:rPr>
                <w:sz w:val="14"/>
                <w:szCs w:val="14"/>
                <w:color w:val="auto"/>
              </w:rPr>
            </w:pPr>
          </w:p>
        </w:tc>
      </w:tr>
      <w:tr>
        <w:trPr>
          <w:trHeight w:val="166"/>
        </w:trPr>
        <w:tc>
          <w:tcPr>
            <w:tcW w:w="800" w:type="dxa"/>
            <w:vAlign w:val="bottom"/>
          </w:tcPr>
          <w:p>
            <w:pPr>
              <w:spacing w:after="0"/>
              <w:rPr>
                <w:sz w:val="14"/>
                <w:szCs w:val="14"/>
                <w:color w:val="auto"/>
              </w:rPr>
            </w:pP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80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spacing w:after="0"/>
              <w:rPr>
                <w:sz w:val="14"/>
                <w:szCs w:val="14"/>
                <w:color w:val="auto"/>
              </w:rPr>
            </w:pPr>
          </w:p>
        </w:tc>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Percent</w:t>
            </w:r>
          </w:p>
        </w:tc>
        <w:tc>
          <w:tcPr>
            <w:tcW w:w="1300" w:type="dxa"/>
            <w:vAlign w:val="bottom"/>
          </w:tcPr>
          <w:p>
            <w:pPr>
              <w:spacing w:after="0"/>
              <w:rPr>
                <w:sz w:val="14"/>
                <w:szCs w:val="14"/>
                <w:color w:val="auto"/>
              </w:rPr>
            </w:pP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Percent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Leases</w:t>
            </w: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Square</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of</w:t>
            </w:r>
          </w:p>
        </w:tc>
        <w:tc>
          <w:tcPr>
            <w:tcW w:w="1300" w:type="dxa"/>
            <w:vAlign w:val="bottom"/>
          </w:tcPr>
          <w:p>
            <w:pPr>
              <w:spacing w:after="0"/>
              <w:rPr>
                <w:sz w:val="14"/>
                <w:szCs w:val="14"/>
                <w:color w:val="auto"/>
              </w:rPr>
            </w:pPr>
          </w:p>
        </w:tc>
        <w:tc>
          <w:tcPr>
            <w:tcW w:w="1900" w:type="dxa"/>
            <w:vAlign w:val="bottom"/>
          </w:tcPr>
          <w:p>
            <w:pPr>
              <w:jc w:val="center"/>
              <w:ind w:left="8"/>
              <w:spacing w:after="0"/>
              <w:rPr>
                <w:sz w:val="20"/>
                <w:szCs w:val="20"/>
                <w:color w:val="auto"/>
              </w:rPr>
            </w:pPr>
            <w:r>
              <w:rPr>
                <w:rFonts w:ascii="Courier New" w:cs="Courier New" w:eastAsia="Courier New" w:hAnsi="Courier New"/>
                <w:sz w:val="14"/>
                <w:szCs w:val="14"/>
                <w:color w:val="auto"/>
              </w:rPr>
              <w:t>of</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per</w:t>
            </w:r>
          </w:p>
        </w:tc>
      </w:tr>
      <w:tr>
        <w:trPr>
          <w:trHeight w:val="166"/>
        </w:trPr>
        <w:tc>
          <w:tcPr>
            <w:tcW w:w="800" w:type="dxa"/>
            <w:vAlign w:val="bottom"/>
          </w:tcPr>
          <w:p>
            <w:pPr>
              <w:spacing w:after="0"/>
              <w:rPr>
                <w:sz w:val="20"/>
                <w:szCs w:val="20"/>
                <w:color w:val="auto"/>
              </w:rPr>
            </w:pPr>
            <w:r>
              <w:rPr>
                <w:rFonts w:ascii="Courier New" w:cs="Courier New" w:eastAsia="Courier New" w:hAnsi="Courier New"/>
                <w:sz w:val="14"/>
                <w:szCs w:val="14"/>
                <w:color w:val="auto"/>
              </w:rPr>
              <w:t>Expiring</w:t>
            </w: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Footage</w:t>
            </w:r>
          </w:p>
        </w:tc>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ind w:left="640"/>
              <w:spacing w:after="0"/>
              <w:rPr>
                <w:sz w:val="20"/>
                <w:szCs w:val="20"/>
                <w:color w:val="auto"/>
              </w:rPr>
            </w:pPr>
            <w:r>
              <w:rPr>
                <w:rFonts w:ascii="Courier New" w:cs="Courier New" w:eastAsia="Courier New" w:hAnsi="Courier New"/>
                <w:sz w:val="14"/>
                <w:szCs w:val="14"/>
                <w:color w:val="auto"/>
              </w:rPr>
              <w:t>Amount</w:t>
            </w: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Total</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Total Retail Expirations</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Month to Month</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113,174</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1.66%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$ 658,244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$ 5.82</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105,801</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1.55%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1,119,206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10.58</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2002</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325,699</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4.77%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2,951,816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9.06</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2003</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540,890</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7.93%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4,261,672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7.88</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1,354,547</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19.85%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6,559,285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729,542</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10.69%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5,916,784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8.11</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2006</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572,850</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8.39%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3,360,364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5.87</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2007</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467,770</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6.86%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3,254,720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2008</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417,528</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6.12%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3,180,491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2009</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222,804</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3.27%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1,938,219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8.70</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280,845</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4.12%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2,853,304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10.16</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235,547</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3.45%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1,732,729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7.36</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2012</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80,225</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1.18%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756,960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9.44</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2013</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115,392</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1.69%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1,334,994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11.57</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78,130</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1.14%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580,288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7.43</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144,159</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2.11%</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2,373,679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16.47</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2017</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183,717</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2.69%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1,223,500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2018</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143,358</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2.10%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1,200,731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8.38</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2019</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342,732</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5.02%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2,442,861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7.13</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2020</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297,852</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4.36%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2,136,120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7.17</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2021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71,157</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424,429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5.96</w:t>
            </w:r>
          </w:p>
        </w:tc>
      </w:tr>
      <w:tr>
        <w:trPr>
          <w:trHeight w:val="166"/>
        </w:trPr>
        <w:tc>
          <w:tcPr>
            <w:tcW w:w="220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940" w:type="dxa"/>
            <w:vAlign w:val="bottom"/>
          </w:tcPr>
          <w:p>
            <w:pPr>
              <w:spacing w:after="0"/>
              <w:rPr>
                <w:sz w:val="14"/>
                <w:szCs w:val="14"/>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ind w:left="600"/>
              <w:spacing w:after="0"/>
              <w:rPr>
                <w:sz w:val="20"/>
                <w:szCs w:val="20"/>
                <w:color w:val="auto"/>
              </w:rPr>
            </w:pPr>
            <w:r>
              <w:rPr>
                <w:rFonts w:ascii="Courier New" w:cs="Courier New" w:eastAsia="Courier New" w:hAnsi="Courier New"/>
                <w:sz w:val="14"/>
                <w:szCs w:val="14"/>
                <w:color w:val="auto"/>
              </w:rPr>
              <w:t>Total Occupied</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6,823,719</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100.00%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50,260,396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7.37</w:t>
            </w:r>
          </w:p>
        </w:tc>
      </w:tr>
      <w:tr>
        <w:trPr>
          <w:trHeight w:val="331"/>
        </w:trPr>
        <w:tc>
          <w:tcPr>
            <w:tcW w:w="654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1"/>
        </w:trPr>
        <w:tc>
          <w:tcPr>
            <w:tcW w:w="33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Anchor GLA Owned by Tenants</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254,916</w:t>
            </w: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200" w:type="dxa"/>
            <w:vAlign w:val="bottom"/>
          </w:tcPr>
          <w:p>
            <w:pPr>
              <w:ind w:left="600"/>
              <w:spacing w:after="0"/>
              <w:rPr>
                <w:sz w:val="20"/>
                <w:szCs w:val="20"/>
                <w:color w:val="auto"/>
              </w:rPr>
            </w:pPr>
            <w:r>
              <w:rPr>
                <w:rFonts w:ascii="Courier New" w:cs="Courier New" w:eastAsia="Courier New" w:hAnsi="Courier New"/>
                <w:sz w:val="14"/>
                <w:szCs w:val="14"/>
                <w:color w:val="auto"/>
              </w:rPr>
              <w:t>Total Vacant</w:t>
            </w:r>
          </w:p>
        </w:tc>
        <w:tc>
          <w:tcPr>
            <w:tcW w:w="11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905,985</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1"/>
        </w:trPr>
        <w:tc>
          <w:tcPr>
            <w:tcW w:w="2200" w:type="dxa"/>
            <w:vAlign w:val="bottom"/>
          </w:tcPr>
          <w:p>
            <w:pPr>
              <w:ind w:left="600"/>
              <w:spacing w:after="0"/>
              <w:rPr>
                <w:sz w:val="20"/>
                <w:szCs w:val="20"/>
                <w:color w:val="auto"/>
              </w:rPr>
            </w:pPr>
            <w:r>
              <w:rPr>
                <w:rFonts w:ascii="Courier New" w:cs="Courier New" w:eastAsia="Courier New" w:hAnsi="Courier New"/>
                <w:sz w:val="14"/>
                <w:szCs w:val="14"/>
                <w:color w:val="auto"/>
              </w:rPr>
              <w:t>Total Square Feet</w:t>
            </w:r>
          </w:p>
        </w:tc>
        <w:tc>
          <w:tcPr>
            <w:tcW w:w="116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7,984,620</w:t>
            </w: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520"/>
          </w:cols>
          <w:pgMar w:left="220" w:top="616" w:right="1159" w:bottom="1440" w:gutter="0" w:footer="0" w:header="0"/>
        </w:sectPr>
      </w:pPr>
    </w:p>
    <w:bookmarkStart w:id="64" w:name="page65"/>
    <w:bookmarkEnd w:id="64"/>
    <w:p>
      <w:pPr>
        <w:ind w:left="6380"/>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Lease Expirations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28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Gross Leased Area</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Annualized Base Rent</w:t>
            </w:r>
          </w:p>
        </w:tc>
        <w:tc>
          <w:tcPr>
            <w:tcW w:w="640" w:type="dxa"/>
            <w:vAlign w:val="bottom"/>
          </w:tcPr>
          <w:p>
            <w:pPr>
              <w:spacing w:after="0"/>
              <w:rPr>
                <w:sz w:val="14"/>
                <w:szCs w:val="14"/>
                <w:color w:val="auto"/>
              </w:rPr>
            </w:pPr>
          </w:p>
        </w:tc>
      </w:tr>
      <w:tr>
        <w:trPr>
          <w:trHeight w:val="166"/>
        </w:trPr>
        <w:tc>
          <w:tcPr>
            <w:tcW w:w="800" w:type="dxa"/>
            <w:vAlign w:val="bottom"/>
          </w:tcPr>
          <w:p>
            <w:pPr>
              <w:spacing w:after="0"/>
              <w:rPr>
                <w:sz w:val="14"/>
                <w:szCs w:val="14"/>
                <w:color w:val="auto"/>
              </w:rPr>
            </w:pP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800" w:type="dxa"/>
            <w:vAlign w:val="bottom"/>
          </w:tcPr>
          <w:p>
            <w:pPr>
              <w:spacing w:after="0"/>
              <w:rPr>
                <w:sz w:val="20"/>
                <w:szCs w:val="20"/>
                <w:color w:val="auto"/>
              </w:rPr>
            </w:pPr>
            <w:r>
              <w:rPr>
                <w:rFonts w:ascii="Courier New" w:cs="Courier New" w:eastAsia="Courier New" w:hAnsi="Courier New"/>
                <w:sz w:val="14"/>
                <w:szCs w:val="14"/>
                <w:color w:val="auto"/>
              </w:rPr>
              <w:t>Number of</w:t>
            </w:r>
          </w:p>
        </w:tc>
        <w:tc>
          <w:tcPr>
            <w:tcW w:w="1640" w:type="dxa"/>
            <w:vAlign w:val="bottom"/>
          </w:tcPr>
          <w:p>
            <w:pPr>
              <w:spacing w:after="0"/>
              <w:rPr>
                <w:sz w:val="14"/>
                <w:szCs w:val="14"/>
                <w:color w:val="auto"/>
              </w:rPr>
            </w:pPr>
          </w:p>
        </w:tc>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Percent</w:t>
            </w:r>
          </w:p>
        </w:tc>
        <w:tc>
          <w:tcPr>
            <w:tcW w:w="1300" w:type="dxa"/>
            <w:vAlign w:val="bottom"/>
          </w:tcPr>
          <w:p>
            <w:pPr>
              <w:spacing w:after="0"/>
              <w:rPr>
                <w:sz w:val="14"/>
                <w:szCs w:val="14"/>
                <w:color w:val="auto"/>
              </w:rPr>
            </w:pP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rPr>
              <w:t>Percent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Leases</w:t>
            </w: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Square</w:t>
            </w:r>
          </w:p>
        </w:tc>
        <w:tc>
          <w:tcPr>
            <w:tcW w:w="1380" w:type="dxa"/>
            <w:vAlign w:val="bottom"/>
          </w:tcPr>
          <w:p>
            <w:pPr>
              <w:ind w:left="300"/>
              <w:spacing w:after="0"/>
              <w:rPr>
                <w:sz w:val="20"/>
                <w:szCs w:val="20"/>
                <w:color w:val="auto"/>
              </w:rPr>
            </w:pPr>
            <w:r>
              <w:rPr>
                <w:rFonts w:ascii="Courier New" w:cs="Courier New" w:eastAsia="Courier New" w:hAnsi="Courier New"/>
                <w:sz w:val="14"/>
                <w:szCs w:val="14"/>
                <w:color w:val="auto"/>
              </w:rPr>
              <w:t>of</w:t>
            </w:r>
          </w:p>
        </w:tc>
        <w:tc>
          <w:tcPr>
            <w:tcW w:w="1300" w:type="dxa"/>
            <w:vAlign w:val="bottom"/>
          </w:tcPr>
          <w:p>
            <w:pPr>
              <w:spacing w:after="0"/>
              <w:rPr>
                <w:sz w:val="14"/>
                <w:szCs w:val="14"/>
                <w:color w:val="auto"/>
              </w:rPr>
            </w:pPr>
          </w:p>
        </w:tc>
        <w:tc>
          <w:tcPr>
            <w:tcW w:w="1900" w:type="dxa"/>
            <w:vAlign w:val="bottom"/>
          </w:tcPr>
          <w:p>
            <w:pPr>
              <w:jc w:val="center"/>
              <w:ind w:left="8"/>
              <w:spacing w:after="0"/>
              <w:rPr>
                <w:sz w:val="20"/>
                <w:szCs w:val="20"/>
                <w:color w:val="auto"/>
              </w:rPr>
            </w:pPr>
            <w:r>
              <w:rPr>
                <w:rFonts w:ascii="Courier New" w:cs="Courier New" w:eastAsia="Courier New" w:hAnsi="Courier New"/>
                <w:sz w:val="14"/>
                <w:szCs w:val="14"/>
                <w:color w:val="auto"/>
              </w:rPr>
              <w:t>of</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per</w:t>
            </w:r>
          </w:p>
        </w:tc>
      </w:tr>
      <w:tr>
        <w:trPr>
          <w:trHeight w:val="166"/>
        </w:trPr>
        <w:tc>
          <w:tcPr>
            <w:tcW w:w="800" w:type="dxa"/>
            <w:vAlign w:val="bottom"/>
          </w:tcPr>
          <w:p>
            <w:pPr>
              <w:spacing w:after="0"/>
              <w:rPr>
                <w:sz w:val="20"/>
                <w:szCs w:val="20"/>
                <w:color w:val="auto"/>
              </w:rPr>
            </w:pPr>
            <w:r>
              <w:rPr>
                <w:rFonts w:ascii="Courier New" w:cs="Courier New" w:eastAsia="Courier New" w:hAnsi="Courier New"/>
                <w:sz w:val="14"/>
                <w:szCs w:val="14"/>
                <w:color w:val="auto"/>
              </w:rPr>
              <w:t>Expiring</w:t>
            </w:r>
          </w:p>
        </w:tc>
        <w:tc>
          <w:tcPr>
            <w:tcW w:w="1640" w:type="dxa"/>
            <w:vAlign w:val="bottom"/>
          </w:tcPr>
          <w:p>
            <w:pPr>
              <w:ind w:left="480"/>
              <w:spacing w:after="0"/>
              <w:rPr>
                <w:sz w:val="20"/>
                <w:szCs w:val="20"/>
                <w:color w:val="auto"/>
              </w:rPr>
            </w:pPr>
            <w:r>
              <w:rPr>
                <w:rFonts w:ascii="Courier New" w:cs="Courier New" w:eastAsia="Courier New" w:hAnsi="Courier New"/>
                <w:sz w:val="14"/>
                <w:szCs w:val="14"/>
                <w:color w:val="auto"/>
              </w:rPr>
              <w:t>Footage</w:t>
            </w:r>
          </w:p>
        </w:tc>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ind w:left="640"/>
              <w:spacing w:after="0"/>
              <w:rPr>
                <w:sz w:val="20"/>
                <w:szCs w:val="20"/>
                <w:color w:val="auto"/>
              </w:rPr>
            </w:pPr>
            <w:r>
              <w:rPr>
                <w:rFonts w:ascii="Courier New" w:cs="Courier New" w:eastAsia="Courier New" w:hAnsi="Courier New"/>
                <w:sz w:val="14"/>
                <w:szCs w:val="14"/>
                <w:color w:val="auto"/>
              </w:rPr>
              <w:t>Amount</w:t>
            </w: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Total</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Sq. Ft.</w:t>
            </w:r>
          </w:p>
        </w:tc>
      </w:tr>
      <w:tr>
        <w:trPr>
          <w:trHeight w:val="166"/>
        </w:trPr>
        <w:tc>
          <w:tcPr>
            <w:tcW w:w="8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center"/>
              <w:ind w:left="88"/>
              <w:spacing w:after="0"/>
              <w:rPr>
                <w:sz w:val="20"/>
                <w:szCs w:val="20"/>
                <w:color w:val="auto"/>
              </w:rPr>
            </w:pPr>
            <w:r>
              <w:rPr>
                <w:rFonts w:ascii="Courier New" w:cs="Courier New" w:eastAsia="Courier New" w:hAnsi="Courier New"/>
                <w:sz w:val="14"/>
                <w:szCs w:val="14"/>
                <w:color w:val="auto"/>
                <w:w w:val="99"/>
              </w:rPr>
              <w:t>-----</w:t>
            </w:r>
          </w:p>
        </w:tc>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Unconsolidated Propert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Month to Month</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3,000</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$ 95,700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31.90</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2002</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31,517</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10.56%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690,442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21.91</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2003</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20,241</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6.78%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638,998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31.57</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30,516</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10.22%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808,298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26.49</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2005</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16,015</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5.36%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461,200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28.80</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2006</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5,260</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1.76%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151,628</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28.83</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2007</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42,258</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14.16%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643,119</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15.22</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2008</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10,093</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3.38%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267,882</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26.54</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2009</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26,462</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8.86%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247,844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9.37</w:t>
            </w:r>
          </w:p>
        </w:tc>
      </w:tr>
      <w:tr>
        <w:trPr>
          <w:trHeight w:val="166"/>
        </w:trPr>
        <w:tc>
          <w:tcPr>
            <w:tcW w:w="2200" w:type="dxa"/>
            <w:vAlign w:val="bottom"/>
          </w:tcPr>
          <w:p>
            <w:pPr>
              <w:jc w:val="center"/>
              <w:ind w:right="928"/>
              <w:spacing w:after="0"/>
              <w:rPr>
                <w:sz w:val="20"/>
                <w:szCs w:val="20"/>
                <w:color w:val="auto"/>
              </w:rPr>
            </w:pPr>
            <w:r>
              <w:rPr>
                <w:rFonts w:ascii="Courier New" w:cs="Courier New" w:eastAsia="Courier New" w:hAnsi="Courier New"/>
                <w:sz w:val="14"/>
                <w:szCs w:val="14"/>
                <w:color w:val="auto"/>
              </w:rPr>
              <w:t>2012</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113,155</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37.92%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888,064</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7.85</w:t>
            </w:r>
          </w:p>
        </w:tc>
      </w:tr>
      <w:tr>
        <w:trPr>
          <w:trHeight w:val="331"/>
        </w:trPr>
        <w:tc>
          <w:tcPr>
            <w:tcW w:w="220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6"/>
              </w:rPr>
              <w:t>-------------------------------------</w:t>
            </w:r>
          </w:p>
        </w:tc>
        <w:tc>
          <w:tcPr>
            <w:tcW w:w="1940" w:type="dxa"/>
            <w:vAlign w:val="bottom"/>
          </w:tcPr>
          <w:p>
            <w:pPr>
              <w:spacing w:after="0"/>
              <w:rPr>
                <w:sz w:val="24"/>
                <w:szCs w:val="24"/>
                <w:color w:val="auto"/>
              </w:rPr>
            </w:pPr>
          </w:p>
        </w:tc>
        <w:tc>
          <w:tcPr>
            <w:tcW w:w="3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ind w:left="600"/>
              <w:spacing w:after="0"/>
              <w:rPr>
                <w:sz w:val="20"/>
                <w:szCs w:val="20"/>
                <w:color w:val="auto"/>
              </w:rPr>
            </w:pPr>
            <w:r>
              <w:rPr>
                <w:rFonts w:ascii="Courier New" w:cs="Courier New" w:eastAsia="Courier New" w:hAnsi="Courier New"/>
                <w:sz w:val="14"/>
                <w:szCs w:val="14"/>
                <w:color w:val="auto"/>
              </w:rPr>
              <w:t>Total Occupied</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298,517</w:t>
            </w:r>
          </w:p>
        </w:tc>
        <w:tc>
          <w:tcPr>
            <w:tcW w:w="19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100.00%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4,893,175</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16.39</w:t>
            </w:r>
          </w:p>
        </w:tc>
      </w:tr>
      <w:tr>
        <w:trPr>
          <w:trHeight w:val="331"/>
        </w:trPr>
        <w:tc>
          <w:tcPr>
            <w:tcW w:w="654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2200" w:type="dxa"/>
            <w:vAlign w:val="bottom"/>
          </w:tcPr>
          <w:p>
            <w:pPr>
              <w:ind w:left="600"/>
              <w:spacing w:after="0"/>
              <w:rPr>
                <w:sz w:val="20"/>
                <w:szCs w:val="20"/>
                <w:color w:val="auto"/>
              </w:rPr>
            </w:pPr>
            <w:r>
              <w:rPr>
                <w:rFonts w:ascii="Courier New" w:cs="Courier New" w:eastAsia="Courier New" w:hAnsi="Courier New"/>
                <w:sz w:val="14"/>
                <w:szCs w:val="14"/>
                <w:color w:val="auto"/>
              </w:rPr>
              <w:t>Total Vacant</w:t>
            </w:r>
          </w:p>
        </w:tc>
        <w:tc>
          <w:tcPr>
            <w:tcW w:w="116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12,402</w:t>
            </w: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200" w:type="dxa"/>
            <w:vAlign w:val="bottom"/>
          </w:tcPr>
          <w:p>
            <w:pPr>
              <w:ind w:left="600"/>
              <w:spacing w:after="0"/>
              <w:rPr>
                <w:sz w:val="20"/>
                <w:szCs w:val="20"/>
                <w:color w:val="auto"/>
              </w:rPr>
            </w:pPr>
            <w:r>
              <w:rPr>
                <w:rFonts w:ascii="Courier New" w:cs="Courier New" w:eastAsia="Courier New" w:hAnsi="Courier New"/>
                <w:sz w:val="14"/>
                <w:szCs w:val="14"/>
                <w:color w:val="auto"/>
              </w:rPr>
              <w:t>Total Square Feet</w:t>
            </w:r>
          </w:p>
        </w:tc>
        <w:tc>
          <w:tcPr>
            <w:tcW w:w="116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310,919</w:t>
            </w: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ectPr>
          <w:pgSz w:w="11900" w:h="16838" w:orient="portrait"/>
          <w:cols w:equalWidth="0" w:num="1">
            <w:col w:w="10520"/>
          </w:cols>
          <w:pgMar w:left="220" w:top="616" w:right="1159" w:bottom="1440" w:gutter="0" w:footer="0" w:header="0"/>
        </w:sectPr>
      </w:pPr>
    </w:p>
    <w:bookmarkStart w:id="65" w:name="page66"/>
    <w:bookmarkEnd w:id="65"/>
    <w:p>
      <w:pPr>
        <w:ind w:left="952"/>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SEPTEMBER 30, 2001</w:t>
      </w:r>
    </w:p>
    <w:p>
      <w:pPr>
        <w:spacing w:after="0" w:line="173" w:lineRule="exact"/>
        <w:rPr>
          <w:sz w:val="20"/>
          <w:szCs w:val="20"/>
          <w:color w:val="auto"/>
        </w:rPr>
      </w:pPr>
    </w:p>
    <w:p>
      <w:pPr>
        <w:ind w:left="772"/>
        <w:spacing w:after="0"/>
        <w:rPr>
          <w:sz w:val="20"/>
          <w:szCs w:val="20"/>
          <w:color w:val="auto"/>
        </w:rPr>
      </w:pPr>
      <w:r>
        <w:rPr>
          <w:rFonts w:ascii="Courier New" w:cs="Courier New" w:eastAsia="Courier New" w:hAnsi="Courier New"/>
          <w:sz w:val="14"/>
          <w:szCs w:val="14"/>
          <w:color w:val="auto"/>
        </w:rPr>
        <w:t>Residential (Multi-family) Properties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2"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Occupied</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Occupied</w:t>
            </w:r>
          </w:p>
        </w:tc>
      </w:tr>
      <w:tr>
        <w:trPr>
          <w:trHeight w:val="166"/>
        </w:trPr>
        <w:tc>
          <w:tcPr>
            <w:tcW w:w="3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Property</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Location</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Square Feet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Units</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September 30, 2001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June 30, 2001</w:t>
            </w:r>
          </w:p>
        </w:tc>
      </w:tr>
      <w:tr>
        <w:trPr>
          <w:trHeight w:val="166"/>
        </w:trPr>
        <w:tc>
          <w:tcPr>
            <w:tcW w:w="3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Mid-Atlantic</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3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Maryland</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780" w:type="dxa"/>
            <w:vAlign w:val="bottom"/>
          </w:tcPr>
          <w:p>
            <w:pPr>
              <w:ind w:left="760"/>
              <w:spacing w:after="0"/>
              <w:rPr>
                <w:sz w:val="20"/>
                <w:szCs w:val="20"/>
                <w:color w:val="auto"/>
              </w:rPr>
            </w:pPr>
            <w:r>
              <w:rPr>
                <w:rFonts w:ascii="Courier New" w:cs="Courier New" w:eastAsia="Courier New" w:hAnsi="Courier New"/>
                <w:sz w:val="14"/>
                <w:szCs w:val="14"/>
                <w:color w:val="auto"/>
              </w:rPr>
              <w:t>Glen Oaks Apartments (1)</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Greenbelt</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557,772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463</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331"/>
        </w:trPr>
        <w:tc>
          <w:tcPr>
            <w:tcW w:w="3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North Carolina</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Village Apartments</w:t>
            </w:r>
          </w:p>
        </w:tc>
        <w:tc>
          <w:tcPr>
            <w:tcW w:w="1520" w:type="dxa"/>
            <w:vAlign w:val="bottom"/>
          </w:tcPr>
          <w:p>
            <w:pPr>
              <w:ind w:left="260"/>
              <w:spacing w:after="0"/>
              <w:rPr>
                <w:sz w:val="20"/>
                <w:szCs w:val="20"/>
                <w:color w:val="auto"/>
              </w:rPr>
            </w:pPr>
            <w:r>
              <w:rPr>
                <w:rFonts w:ascii="Courier New" w:cs="Courier New" w:eastAsia="Courier New" w:hAnsi="Courier New"/>
                <w:sz w:val="14"/>
                <w:szCs w:val="14"/>
                <w:color w:val="auto"/>
              </w:rPr>
              <w:t>Winston Salem</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578,606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84%</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w:t>
            </w:r>
          </w:p>
        </w:tc>
      </w:tr>
      <w:tr>
        <w:trPr>
          <w:trHeight w:val="331"/>
        </w:trPr>
        <w:tc>
          <w:tcPr>
            <w:tcW w:w="3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Mid-West</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3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Missouri</w:t>
            </w: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Gate House, Holiday House, Tiger Village,</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Columbia</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628,891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874</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93%</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80" w:type="dxa"/>
            <w:vAlign w:val="bottom"/>
          </w:tcPr>
          <w:p>
            <w:pPr>
              <w:ind w:left="940"/>
              <w:spacing w:after="0"/>
              <w:rPr>
                <w:sz w:val="20"/>
                <w:szCs w:val="20"/>
                <w:color w:val="auto"/>
              </w:rPr>
            </w:pPr>
            <w:r>
              <w:rPr>
                <w:rFonts w:ascii="Courier New" w:cs="Courier New" w:eastAsia="Courier New" w:hAnsi="Courier New"/>
                <w:sz w:val="14"/>
                <w:szCs w:val="14"/>
                <w:color w:val="auto"/>
              </w:rPr>
              <w:t>Colony Apartments (2)</w:t>
            </w: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497"/>
        </w:trPr>
        <w:tc>
          <w:tcPr>
            <w:tcW w:w="37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Totals</w:t>
            </w:r>
          </w:p>
        </w:tc>
        <w:tc>
          <w:tcPr>
            <w:tcW w:w="152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1,765,269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1,937</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w:t>
            </w:r>
          </w:p>
        </w:tc>
      </w:tr>
      <w:tr>
        <w:trPr>
          <w:trHeight w:val="166"/>
        </w:trPr>
        <w:tc>
          <w:tcPr>
            <w:tcW w:w="3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2" w:hanging="432"/>
        <w:spacing w:after="0"/>
        <w:tabs>
          <w:tab w:leader="none" w:pos="43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property is held for sale as of September 30, 2001</w:t>
      </w:r>
    </w:p>
    <w:p>
      <w:pPr>
        <w:spacing w:after="0" w:line="172" w:lineRule="exact"/>
        <w:rPr>
          <w:rFonts w:ascii="Courier New" w:cs="Courier New" w:eastAsia="Courier New" w:hAnsi="Courier New"/>
          <w:sz w:val="14"/>
          <w:szCs w:val="14"/>
          <w:color w:val="auto"/>
        </w:rPr>
      </w:pPr>
    </w:p>
    <w:p>
      <w:pPr>
        <w:ind w:left="432" w:right="4040" w:hanging="432"/>
        <w:spacing w:after="0" w:line="255" w:lineRule="auto"/>
        <w:tabs>
          <w:tab w:leader="none" w:pos="432"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this property has tenants associated with the University of Missouri, occupancy trends are correlated to semester sessions</w:t>
      </w:r>
    </w:p>
    <w:p>
      <w:pPr>
        <w:sectPr>
          <w:pgSz w:w="11900" w:h="16838" w:orient="portrait"/>
          <w:cols w:equalWidth="0" w:num="1">
            <w:col w:w="10672"/>
          </w:cols>
          <w:pgMar w:left="228" w:top="616" w:right="999" w:bottom="1440" w:gutter="0" w:footer="0" w:header="0"/>
        </w:sectPr>
      </w:pPr>
    </w:p>
    <w:bookmarkStart w:id="66" w:name="page67"/>
    <w:bookmarkEnd w:id="66"/>
    <w:p>
      <w:pPr>
        <w:ind w:left="2080"/>
        <w:spacing w:after="0"/>
        <w:rPr>
          <w:sz w:val="20"/>
          <w:szCs w:val="20"/>
          <w:color w:val="auto"/>
        </w:rPr>
      </w:pPr>
      <w:r>
        <w:rPr>
          <w:rFonts w:ascii="Courier New" w:cs="Courier New" w:eastAsia="Courier New" w:hAnsi="Courier New"/>
          <w:sz w:val="14"/>
          <w:szCs w:val="14"/>
          <w:color w:val="auto"/>
        </w:rPr>
        <w:t>QUARTERLY SUPPLEMENTAL DISCLOSURE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SEPTEMBER 30, 2001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Under Redevelopment</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Company's redevelopment program focuses on selecting well-located neighborhood and community shopping centers and creating significant value through retenanting and property redevelopment. The Company currently has four properties under redevelopment. Two of these projects are expected to be substantially complete by the end of 2001 as follows: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Abington Towne Center - The Company has completed the first phase of redevelopment of this previously enclosed multi-level mall located in the Philadelphia suburb of Abington, Pennsylvania. In 2000, the Company sold approximately 157,000 square feet representing the top two floors and the rear portion of the ground level and the related parking area to the Target Corp. that completed the build-out of the space and opened the store for business during October 2001. The Company has "de-malled" the balance of the center consisting of approximately 46,000 square feet of the main building and 13,000 square feet of store space in outparcel buildings that it will continue to own and operate. Costs incurred on this redevelopment project (net of reimbursements from Target) through September 30, 2001 totaled $3.0 million with approximately $500,000 of costs remaining to complete the redevelopment of this property.</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Methuen Shopping Center - This center, located in Methuen, Massachusetts (part of the Boston metropolitan statistical area) was formerly anchored by a Caldor discount department store. The Company purchased this lease in bankruptcy and has executed a lease with Wal*Mart for an 89,000 square foot department store which opened for business in October 2001. Projected costs to complete this project are approximately $400,000.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remaining two properties under redevelopment are as follows: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Elmwood Park Shopping Center - This center, located in Elmwood Park, New Jersey, is approximately ten miles west of New York City. The redevelopment consists of reanchoring, renovating and expanding the existing 125,000 square foot shopping center by 10,000 square feet. Demolition of the main parcel and former office tower has been completed. A new freestanding 48,000 square foot supermarket will be constructed to replace an undersized (28,000 square feet) in-line former Grand Union supermarket. The project also includes the expansion of an existing Walgreens drug store. As of September 30, 2001, costs incurred on this project totaled $3.1 million. The Company expects remaining redevelopment costs of approximately $8.9 million to complete this project. In conjunction with the supermarket rent commencement, the Operating Partnership is also currently obligated to issue OP Units equal to $2.8 million to the original owners who contributed the property to the Company in connection with the RDC Transaction in August 1998.</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Gateway Shopping Center - The redevelopment of the Gateway Shopping Center, a partially enclosed mall located in South Burlington, Vermont, includes the demolition of 90% of the property and the construction of a new anchor supermarket. Following the bankruptcy of the former anchor Grand Union, the lease was assigned to and assumed by Shaw's supermarket. During October 2001, the Company executed a new lease with Shaw's for a new 66,000 square foot store to be constructed. This replaces the 32,000 square foot store formerly occupied by Grand Union. Total costs to date for this project (including the original acquisition of the property in 1999) were $7.8 million. The Company expects remaining redevelopment costs of approximately $8.8 million to complete this project.</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1)"/>
      <w:numFmt w:val="upperLetter"/>
      <w:start w:val="1"/>
    </w:lvl>
    <w:lvl w:ilvl="1">
      <w:lvlJc w:val="left"/>
      <w:lvlText w:val="%2)"/>
      <w:numFmt w:val="lowerRoman"/>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9"/>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1"/>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4"/>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lvl>
    <w:lvl w:ilvl="1">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2019-12-14T00:48:00Z</dcterms:created>
  <dcterms:modified xsi:type="dcterms:W3CDTF">2019-12-14T00:48:00Z</dcterms:modified>
</cp:coreProperties>
</file>