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Woodhouse Hope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ACADIA REALTY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411 THEODORE FREMD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RYE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ACADIA REALTY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2"/>
        <w:gridCol w:w="901"/>
        <w:gridCol w:w="771"/>
        <w:gridCol w:w="598"/>
        <w:gridCol w:w="347"/>
        <w:gridCol w:w="886"/>
        <w:gridCol w:w="453"/>
        <w:gridCol w:w="752"/>
        <w:gridCol w:w="1160"/>
        <w:gridCol w:w="995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21.46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15,533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grant was awarded in connection with the payment of annual Trustee fees. These shares shall vest according to the following schedule: one-third shall vest on May 9, 2027, one-third shall vest on May 9, 2028 and the remaining third shall vest on May 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Woodhouse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9759" TargetMode="External"/><Relationship Id="rId5" Type="http://schemas.openxmlformats.org/officeDocument/2006/relationships/hyperlink" Target="http://www.sec.gov/cgi-bin/browse-edgar?action=getcompany&amp;CIK=00008996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3280</Characters>
  <CharactersWithSpaces>3831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