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FISCHER TAMARA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ACADIA REALTY TRUST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411 THEODORE FREMD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RYE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ACADIA REALTY TRUST</w:t>
              </w:r>
            </w:hyperlink>
            <w:r>
              <w:rPr/>
              <w:t xml:space="preserve"> [ </w:t>
            </w:r>
            <w:r>
              <w:rPr>
                <w:rFonts w:ascii="Times;serif" w:hAnsi="Times;serif"/>
                <w:color w:val="0000FF"/>
                <w:sz w:val="24"/>
                <w:shd w:fill="FFFFFF" w:val="clear"/>
              </w:rPr>
              <w:t>AKR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9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98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LTIP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of Beneficial Interests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LTIP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of Beneficial Interests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long-term incentive partnership units ("LTIP Units") in Acadia Realty Limited Partnership ("ARLP"). The LTIPs are exchangeable on a 1:1 basis for common partnership units of ARLP ("Common Units") which in turn, are exchangeable on a 1:1 basis for common shares of beneficial interest of Acadia Realty Trust. There is no expiration date for the conversion of LTIP Units or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was awarded in connection with the payment of annual Trustee fees. Trustees have the option to convert all or part of any cash payment due to them to LTIP Units with a vesting period of one year at a 10% discount to the preceding 20-day average share price from the date of issuance. These LTIP Units reflect the portion of Ms. Fischer's cash compensation that she elected to receive in LTIP Units and represent the number of LTIP Units she was entitled to receive after giving effect to the 10% discount. These LTIP Units shall vest on May 9, 2027. There is no expiration date for the conversion of LTIP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was awarded in connection with the payment of annual Trustee fees. These LTIP Units shall vest according to the following schedule: one-third shall vest on May 9, 2027, one-third shall vest on May 9, 2028 and the remaining third shall vest on May 9, 2029. There is no expiration date for the conversion of LTIP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Buell as Attorney-in-Fact for Tamara D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0694" TargetMode="External"/><Relationship Id="rId5" Type="http://schemas.openxmlformats.org/officeDocument/2006/relationships/hyperlink" Target="http://www.sec.gov/cgi-bin/browse-edgar?action=getcompany&amp;CIK=00008996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4352</Characters>
  <CharactersWithSpaces>5099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