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As filed with the Securities and Exchange Commission on September 28, 1999</w:t>
      </w:r>
    </w:p>
    <w:p>
      <w:pPr>
        <w:spacing w:after="0" w:line="173" w:lineRule="exact"/>
        <w:rPr>
          <w:sz w:val="24"/>
          <w:szCs w:val="24"/>
          <w:color w:val="auto"/>
        </w:rPr>
      </w:pPr>
    </w:p>
    <w:p>
      <w:pPr>
        <w:jc w:val="center"/>
        <w:ind w:right="-19"/>
        <w:spacing w:after="0"/>
        <w:rPr>
          <w:sz w:val="20"/>
          <w:szCs w:val="20"/>
          <w:color w:val="auto"/>
        </w:rPr>
      </w:pPr>
      <w:r>
        <w:rPr>
          <w:rFonts w:ascii="Courier New" w:cs="Courier New" w:eastAsia="Courier New" w:hAnsi="Courier New"/>
          <w:sz w:val="14"/>
          <w:szCs w:val="14"/>
          <w:color w:val="auto"/>
        </w:rPr>
        <w:t>Registration No.33-95966</w:t>
      </w:r>
    </w:p>
    <w:p>
      <w:pPr>
        <w:spacing w:after="0" w:line="173" w:lineRule="exact"/>
        <w:rPr>
          <w:sz w:val="24"/>
          <w:szCs w:val="24"/>
          <w:color w:val="auto"/>
        </w:rPr>
      </w:pPr>
    </w:p>
    <w:p>
      <w:pPr>
        <w:jc w:val="center"/>
        <w:ind w:right="4540"/>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Washington, D.C. 20549</w:t>
      </w:r>
    </w:p>
    <w:p>
      <w:pPr>
        <w:spacing w:after="0" w:line="7"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FORM S-8</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REGISTRATION STATEMENT</w:t>
      </w:r>
    </w:p>
    <w:p>
      <w:pPr>
        <w:spacing w:after="0" w:line="7"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UNDER</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THE SECURITIES ACT OF 1933</w:t>
      </w:r>
    </w:p>
    <w:p>
      <w:pPr>
        <w:spacing w:after="0" w:line="173"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ACADIA REALTY TRUST</w:t>
      </w:r>
    </w:p>
    <w:p>
      <w:pPr>
        <w:spacing w:after="0" w:line="7"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(Exact name of registrant as specified in its charter)</w:t>
      </w:r>
    </w:p>
    <w:p>
      <w:pPr>
        <w:spacing w:after="0" w:line="173"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Maryland</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23-2715194</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incorporation or organization)</w:t>
      </w:r>
    </w:p>
    <w:p>
      <w:pPr>
        <w:spacing w:after="0" w:line="7"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Identification No.)</w:t>
      </w:r>
    </w:p>
    <w:p>
      <w:pPr>
        <w:spacing w:after="0" w:line="173"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20 Soundview Marketplace</w:t>
      </w:r>
    </w:p>
    <w:p>
      <w:pPr>
        <w:spacing w:after="0" w:line="7" w:lineRule="exact"/>
        <w:rPr>
          <w:sz w:val="24"/>
          <w:szCs w:val="24"/>
          <w:color w:val="auto"/>
        </w:rPr>
      </w:pPr>
    </w:p>
    <w:p>
      <w:pPr>
        <w:ind w:left="360"/>
        <w:spacing w:after="0"/>
        <w:tabs>
          <w:tab w:leader="none" w:pos="5500" w:val="left"/>
        </w:tabs>
        <w:rPr>
          <w:sz w:val="20"/>
          <w:szCs w:val="20"/>
          <w:color w:val="auto"/>
        </w:rPr>
      </w:pPr>
      <w:r>
        <w:rPr>
          <w:rFonts w:ascii="Courier New" w:cs="Courier New" w:eastAsia="Courier New" w:hAnsi="Courier New"/>
          <w:sz w:val="14"/>
          <w:szCs w:val="14"/>
          <w:color w:val="auto"/>
        </w:rPr>
        <w:t>Port Washington, New York</w:t>
      </w:r>
      <w:r>
        <w:rPr>
          <w:sz w:val="20"/>
          <w:szCs w:val="20"/>
          <w:color w:val="auto"/>
        </w:rPr>
        <w:tab/>
      </w:r>
      <w:r>
        <w:rPr>
          <w:rFonts w:ascii="Courier New" w:cs="Courier New" w:eastAsia="Courier New" w:hAnsi="Courier New"/>
          <w:sz w:val="14"/>
          <w:szCs w:val="14"/>
          <w:color w:val="auto"/>
        </w:rPr>
        <w:t>11050</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tabs>
          <w:tab w:leader="none" w:pos="5240" w:val="left"/>
        </w:tabs>
        <w:rPr>
          <w:sz w:val="20"/>
          <w:szCs w:val="20"/>
          <w:color w:val="auto"/>
        </w:rPr>
      </w:pPr>
      <w:r>
        <w:rPr>
          <w:rFonts w:ascii="Courier New" w:cs="Courier New" w:eastAsia="Courier New" w:hAnsi="Courier New"/>
          <w:sz w:val="14"/>
          <w:szCs w:val="14"/>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173" w:lineRule="exact"/>
        <w:rPr>
          <w:sz w:val="24"/>
          <w:szCs w:val="24"/>
          <w:color w:val="auto"/>
        </w:rPr>
      </w:pPr>
    </w:p>
    <w:p>
      <w:pPr>
        <w:ind w:left="1560"/>
        <w:spacing w:after="0"/>
        <w:rPr>
          <w:sz w:val="20"/>
          <w:szCs w:val="20"/>
          <w:color w:val="auto"/>
        </w:rPr>
      </w:pPr>
      <w:r>
        <w:rPr>
          <w:rFonts w:ascii="Courier New" w:cs="Courier New" w:eastAsia="Courier New" w:hAnsi="Courier New"/>
          <w:sz w:val="14"/>
          <w:szCs w:val="14"/>
          <w:color w:val="auto"/>
        </w:rPr>
        <w:t>Acadia Realty Trust 1999 Share Incentive Plan</w:t>
      </w:r>
    </w:p>
    <w:p>
      <w:pPr>
        <w:spacing w:after="0" w:line="7"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4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(Full title of the plan)</w:t>
      </w:r>
    </w:p>
    <w:p>
      <w:pPr>
        <w:spacing w:after="0" w:line="173" w:lineRule="exact"/>
        <w:rPr>
          <w:sz w:val="24"/>
          <w:szCs w:val="24"/>
          <w:color w:val="auto"/>
        </w:rPr>
      </w:pPr>
    </w:p>
    <w:p>
      <w:pPr>
        <w:ind w:left="2940"/>
        <w:spacing w:after="0"/>
        <w:rPr>
          <w:sz w:val="20"/>
          <w:szCs w:val="20"/>
          <w:color w:val="auto"/>
        </w:rPr>
      </w:pPr>
      <w:r>
        <w:rPr>
          <w:rFonts w:ascii="Courier New" w:cs="Courier New" w:eastAsia="Courier New" w:hAnsi="Courier New"/>
          <w:sz w:val="14"/>
          <w:szCs w:val="14"/>
          <w:color w:val="auto"/>
        </w:rPr>
        <w:t>Ross Dworman</w:t>
      </w:r>
    </w:p>
    <w:p>
      <w:pPr>
        <w:spacing w:after="0" w:line="7" w:lineRule="exact"/>
        <w:rPr>
          <w:sz w:val="24"/>
          <w:szCs w:val="24"/>
          <w:color w:val="auto"/>
        </w:rPr>
      </w:pPr>
    </w:p>
    <w:p>
      <w:pPr>
        <w:ind w:left="1900"/>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7"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Acadia Realty Trust</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20 Soundview Marketplace</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Port Washington, New York 11050</w:t>
      </w:r>
    </w:p>
    <w:p>
      <w:pPr>
        <w:spacing w:after="0" w:line="7"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agent for service)</w:t>
      </w:r>
    </w:p>
    <w:p>
      <w:pPr>
        <w:spacing w:after="0" w:line="172" w:lineRule="exact"/>
        <w:rPr>
          <w:rFonts w:ascii="Courier New" w:cs="Courier New" w:eastAsia="Courier New" w:hAnsi="Courier New"/>
          <w:sz w:val="14"/>
          <w:szCs w:val="14"/>
          <w:color w:val="auto"/>
        </w:rPr>
      </w:pPr>
    </w:p>
    <w:p>
      <w:pPr>
        <w:ind w:left="3360" w:hanging="509"/>
        <w:spacing w:after="0"/>
        <w:tabs>
          <w:tab w:leader="none" w:pos="336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767-8830</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(Telephone number, including area code, of agent for service)</w:t>
      </w:r>
    </w:p>
    <w:p>
      <w:pPr>
        <w:spacing w:after="0" w:line="338"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CALCULATION OF REGISTRATION FEE</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4"/>
          <w:szCs w:val="24"/>
          <w:color w:val="auto"/>
        </w:rPr>
      </w:pPr>
    </w:p>
    <w:p>
      <w:pPr>
        <w:ind w:left="6040"/>
        <w:spacing w:after="0"/>
        <w:rPr>
          <w:sz w:val="20"/>
          <w:szCs w:val="20"/>
          <w:color w:val="auto"/>
        </w:rPr>
      </w:pPr>
      <w:r>
        <w:rPr>
          <w:rFonts w:ascii="Courier New" w:cs="Courier New" w:eastAsia="Courier New" w:hAnsi="Courier New"/>
          <w:sz w:val="14"/>
          <w:szCs w:val="14"/>
          <w:color w:val="auto"/>
        </w:rPr>
        <w:t>Proposed</w:t>
      </w:r>
    </w:p>
    <w:p>
      <w:pPr>
        <w:spacing w:after="0" w:line="7" w:lineRule="exact"/>
        <w:rPr>
          <w:sz w:val="24"/>
          <w:szCs w:val="24"/>
          <w:color w:val="auto"/>
        </w:rPr>
      </w:pPr>
    </w:p>
    <w:p>
      <w:pPr>
        <w:ind w:left="6120"/>
        <w:spacing w:after="0"/>
        <w:tabs>
          <w:tab w:leader="none" w:pos="7480" w:val="left"/>
        </w:tabs>
        <w:rPr>
          <w:sz w:val="20"/>
          <w:szCs w:val="20"/>
          <w:color w:val="auto"/>
        </w:rPr>
      </w:pPr>
      <w:r>
        <w:rPr>
          <w:rFonts w:ascii="Courier New" w:cs="Courier New" w:eastAsia="Courier New" w:hAnsi="Courier New"/>
          <w:sz w:val="14"/>
          <w:szCs w:val="14"/>
          <w:color w:val="auto"/>
        </w:rPr>
        <w:t>maximum</w:t>
      </w:r>
      <w:r>
        <w:rPr>
          <w:sz w:val="20"/>
          <w:szCs w:val="20"/>
          <w:color w:val="auto"/>
        </w:rPr>
        <w:tab/>
      </w:r>
      <w:r>
        <w:rPr>
          <w:rFonts w:ascii="Courier New" w:cs="Courier New" w:eastAsia="Courier New" w:hAnsi="Courier New"/>
          <w:sz w:val="14"/>
          <w:szCs w:val="14"/>
          <w:color w:val="auto"/>
        </w:rPr>
        <w:t>Proposed maximum</w:t>
      </w:r>
    </w:p>
    <w:p>
      <w:pPr>
        <w:spacing w:after="0" w:line="7" w:lineRule="exact"/>
        <w:rPr>
          <w:sz w:val="24"/>
          <w:szCs w:val="24"/>
          <w:color w:val="auto"/>
        </w:rPr>
      </w:pPr>
    </w:p>
    <w:p>
      <w:pPr>
        <w:ind w:left="4320"/>
        <w:spacing w:after="0"/>
        <w:tabs>
          <w:tab w:leader="none" w:pos="5760" w:val="left"/>
          <w:tab w:leader="none" w:pos="7400" w:val="left"/>
          <w:tab w:leader="none" w:pos="9380" w:val="left"/>
        </w:tabs>
        <w:rPr>
          <w:sz w:val="20"/>
          <w:szCs w:val="20"/>
          <w:color w:val="auto"/>
        </w:rPr>
      </w:pP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offering price</w:t>
      </w:r>
      <w:r>
        <w:rPr>
          <w:sz w:val="20"/>
          <w:szCs w:val="20"/>
          <w:color w:val="auto"/>
        </w:rPr>
        <w:tab/>
      </w:r>
      <w:r>
        <w:rPr>
          <w:rFonts w:ascii="Courier New" w:cs="Courier New" w:eastAsia="Courier New" w:hAnsi="Courier New"/>
          <w:sz w:val="14"/>
          <w:szCs w:val="14"/>
          <w:color w:val="auto"/>
        </w:rPr>
        <w:t>aggregate offering</w:t>
      </w:r>
      <w:r>
        <w:rPr>
          <w:sz w:val="20"/>
          <w:szCs w:val="20"/>
          <w:color w:val="auto"/>
        </w:rPr>
        <w:tab/>
      </w:r>
      <w:r>
        <w:rPr>
          <w:rFonts w:ascii="Courier New" w:cs="Courier New" w:eastAsia="Courier New" w:hAnsi="Courier New"/>
          <w:sz w:val="14"/>
          <w:szCs w:val="14"/>
          <w:color w:val="auto"/>
        </w:rPr>
        <w:t>Amount of registration</w:t>
      </w:r>
    </w:p>
    <w:p>
      <w:pPr>
        <w:spacing w:after="0" w:line="7" w:lineRule="exact"/>
        <w:rPr>
          <w:sz w:val="24"/>
          <w:szCs w:val="24"/>
          <w:color w:val="auto"/>
        </w:rPr>
      </w:pPr>
    </w:p>
    <w:p>
      <w:pPr>
        <w:ind w:left="260"/>
        <w:spacing w:after="0"/>
        <w:tabs>
          <w:tab w:leader="none" w:pos="3700" w:val="left"/>
          <w:tab w:leader="none" w:pos="5940" w:val="left"/>
          <w:tab w:leader="none" w:pos="7820" w:val="left"/>
          <w:tab w:leader="none" w:pos="9900" w:val="left"/>
        </w:tabs>
        <w:rPr>
          <w:sz w:val="20"/>
          <w:szCs w:val="20"/>
          <w:color w:val="auto"/>
        </w:rPr>
      </w:pPr>
      <w:r>
        <w:rPr>
          <w:rFonts w:ascii="Courier New" w:cs="Courier New" w:eastAsia="Courier New" w:hAnsi="Courier New"/>
          <w:sz w:val="14"/>
          <w:szCs w:val="14"/>
          <w:color w:val="auto"/>
        </w:rPr>
        <w:t>Title of securities to be registered</w:t>
      </w:r>
      <w:r>
        <w:rPr>
          <w:sz w:val="20"/>
          <w:szCs w:val="20"/>
          <w:color w:val="auto"/>
        </w:rPr>
        <w:tab/>
      </w:r>
      <w:r>
        <w:rPr>
          <w:rFonts w:ascii="Courier New" w:cs="Courier New" w:eastAsia="Courier New" w:hAnsi="Courier New"/>
          <w:sz w:val="14"/>
          <w:szCs w:val="14"/>
          <w:color w:val="auto"/>
        </w:rPr>
        <w:t>to be registered(1)(2)</w:t>
      </w:r>
      <w:r>
        <w:rPr>
          <w:sz w:val="20"/>
          <w:szCs w:val="20"/>
          <w:color w:val="auto"/>
        </w:rPr>
        <w:tab/>
      </w:r>
      <w:r>
        <w:rPr>
          <w:rFonts w:ascii="Courier New" w:cs="Courier New" w:eastAsia="Courier New" w:hAnsi="Courier New"/>
          <w:sz w:val="14"/>
          <w:szCs w:val="14"/>
          <w:color w:val="auto"/>
        </w:rPr>
        <w:t>per unit(3)</w:t>
      </w:r>
      <w:r>
        <w:rPr>
          <w:sz w:val="20"/>
          <w:szCs w:val="20"/>
          <w:color w:val="auto"/>
        </w:rPr>
        <w:tab/>
      </w:r>
      <w:r>
        <w:rPr>
          <w:rFonts w:ascii="Courier New" w:cs="Courier New" w:eastAsia="Courier New" w:hAnsi="Courier New"/>
          <w:sz w:val="14"/>
          <w:szCs w:val="14"/>
          <w:color w:val="auto"/>
        </w:rPr>
        <w:t>price(3)</w:t>
      </w:r>
      <w:r>
        <w:rPr>
          <w:sz w:val="20"/>
          <w:szCs w:val="20"/>
          <w:color w:val="auto"/>
        </w:rPr>
        <w:tab/>
      </w:r>
      <w:r>
        <w:rPr>
          <w:rFonts w:ascii="Courier New" w:cs="Courier New" w:eastAsia="Courier New" w:hAnsi="Courier New"/>
          <w:sz w:val="14"/>
          <w:szCs w:val="14"/>
          <w:color w:val="auto"/>
        </w:rPr>
        <w:t>fee(1)(3)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Common shares of beneficial interest,</w:t>
            </w: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2,328,269</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$5.1875</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$12,077,895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$3,357.65</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par value $.001 per share</w:t>
            </w:r>
          </w:p>
        </w:tc>
        <w:tc>
          <w:tcPr>
            <w:tcW w:w="1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80" w:type="dxa"/>
            <w:vAlign w:val="bottom"/>
          </w:tcPr>
          <w:p>
            <w:pPr>
              <w:spacing w:after="0"/>
              <w:rPr>
                <w:sz w:val="14"/>
                <w:szCs w:val="14"/>
                <w:color w:val="auto"/>
              </w:rPr>
            </w:pPr>
          </w:p>
        </w:tc>
      </w:tr>
    </w:tbl>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4"/>
          <w:szCs w:val="24"/>
          <w:color w:val="auto"/>
        </w:rPr>
      </w:pPr>
    </w:p>
    <w:p>
      <w:pPr>
        <w:ind w:left="960" w:right="4640" w:hanging="952"/>
        <w:spacing w:after="0" w:line="251" w:lineRule="auto"/>
        <w:tabs>
          <w:tab w:leader="none" w:pos="9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Registration Statement is also deemed, pursuant to Instruction E to Form S-8, to relate to 600,000 shares previously registered on Form S-8 (No. 33-95966) in connection with a predecessor plan, with respect to which a registration fee of $2,690.00 has been paid. Upon effectiveness of this Registration Statement on Form S-8, Registrant will have registered an aggregate of 2,928,269 shares under the Acadia Realty Trust 1999 Plan.</w:t>
      </w:r>
    </w:p>
    <w:p>
      <w:pPr>
        <w:spacing w:after="0" w:line="164" w:lineRule="exact"/>
        <w:rPr>
          <w:rFonts w:ascii="Courier New" w:cs="Courier New" w:eastAsia="Courier New" w:hAnsi="Courier New"/>
          <w:sz w:val="14"/>
          <w:szCs w:val="14"/>
          <w:color w:val="auto"/>
        </w:rPr>
      </w:pPr>
    </w:p>
    <w:p>
      <w:pPr>
        <w:ind w:left="960" w:right="4640" w:hanging="952"/>
        <w:spacing w:after="0" w:line="251" w:lineRule="auto"/>
        <w:tabs>
          <w:tab w:leader="none" w:pos="9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Rule 416 under the Securities Act of 1933, as amended, this Registration Statement also covers such additional shares as may hereinafter be offered or issued to prevent dilution resulting from share split, share dividends, recapitalization or certain other capital adjustments.</w:t>
      </w:r>
    </w:p>
    <w:p>
      <w:pPr>
        <w:spacing w:after="0" w:line="164" w:lineRule="exact"/>
        <w:rPr>
          <w:rFonts w:ascii="Courier New" w:cs="Courier New" w:eastAsia="Courier New" w:hAnsi="Courier New"/>
          <w:sz w:val="14"/>
          <w:szCs w:val="14"/>
          <w:color w:val="auto"/>
        </w:rPr>
      </w:pPr>
    </w:p>
    <w:p>
      <w:pPr>
        <w:ind w:left="960" w:right="4900" w:hanging="952"/>
        <w:spacing w:after="0" w:line="251" w:lineRule="auto"/>
        <w:tabs>
          <w:tab w:leader="none" w:pos="9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Calculated pursuant to paragraphs (c) and (h) of Rule 457 of the Securities Act of 1933, as amended, the proposed maximum offering price per share of the 2,328,269 shares estimated solely for the purpose of determining the registration fee and are based upon the average of the high and low prices per share of the Registrant's common shares reported on the New York Stock Exchange on September 27, 1999, within five business days prior to the date of filing of this Registration Statement.</w:t>
      </w:r>
    </w:p>
    <w:p>
      <w:pPr>
        <w:spacing w:after="0" w:line="32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850114.2</w:t>
      </w:r>
    </w:p>
    <w:p>
      <w:pPr>
        <w:sectPr>
          <w:pgSz w:w="11900" w:h="16838" w:orient="portrait"/>
          <w:cols w:equalWidth="0" w:num="1">
            <w:col w:w="11540"/>
          </w:cols>
          <w:pgMar w:left="220" w:top="395" w:right="139" w:bottom="0" w:gutter="0" w:footer="0" w:header="0"/>
        </w:sectPr>
      </w:pPr>
    </w:p>
    <w:bookmarkStart w:id="1" w:name="page2"/>
    <w:bookmarkEnd w:id="1"/>
    <w:p>
      <w:pPr>
        <w:ind w:left="2600"/>
        <w:spacing w:after="0"/>
        <w:rPr>
          <w:sz w:val="20"/>
          <w:szCs w:val="20"/>
          <w:color w:val="auto"/>
        </w:rPr>
      </w:pPr>
      <w:r>
        <w:rPr>
          <w:rFonts w:ascii="Courier New" w:cs="Courier New" w:eastAsia="Courier New" w:hAnsi="Courier New"/>
          <w:sz w:val="14"/>
          <w:szCs w:val="14"/>
          <w:color w:val="auto"/>
        </w:rPr>
        <w:t>EXPLANATORY STATEMENT</w:t>
      </w:r>
    </w:p>
    <w:p>
      <w:pPr>
        <w:spacing w:after="0" w:line="173" w:lineRule="exact"/>
        <w:rPr>
          <w:sz w:val="20"/>
          <w:szCs w:val="20"/>
          <w:color w:val="auto"/>
        </w:rPr>
      </w:pPr>
    </w:p>
    <w:p>
      <w:pPr>
        <w:ind w:right="3339" w:firstLine="947"/>
        <w:spacing w:after="0" w:line="250" w:lineRule="auto"/>
        <w:rPr>
          <w:sz w:val="20"/>
          <w:szCs w:val="20"/>
          <w:color w:val="auto"/>
        </w:rPr>
      </w:pPr>
      <w:r>
        <w:rPr>
          <w:rFonts w:ascii="Courier New" w:cs="Courier New" w:eastAsia="Courier New" w:hAnsi="Courier New"/>
          <w:sz w:val="14"/>
          <w:szCs w:val="14"/>
          <w:color w:val="auto"/>
        </w:rPr>
        <w:t>A total of 600,000 shares of Acadia Realty Trust (the "Registrant" formerly Mark Centers Trust) were registered by Registration Statement on Form S-8, File No. 33-95966, for issuance in connection with the Mark Centers Trust 1994 Share Option Plan as Amended Through June 15, 1995 and Mark Centers Trust 1994 Non-Employee Trustees' Share Option Plan (the "1994 Plans"). On February 4, 1999 the Board of Trustees of the Registrant approved the Acadia Realty Trust 1999 Share Incentive Plan (the "1999 Plan"), which replaces the 1994 Plans; the 1999 Plan was approved by the Registrant's shareholders at its annual meeting held on June 16, 1999. Both the 1999 Plan and the 1994 Plan are intended to qualify as "employee share purchase plans" under Section 423 of the Internal Revenue Code of 1986, as amended from time to time. Six hundred thousand (600,000) shares of the Registrant which were registered in connection with the 1994 Plans, have not been issued under the 1994 Plans and, pursuant to Instruction E to Form S-8 and the telephonic interpretation of the Securities and Exchange Commission set forth at pages 137-138 of the Division of Corporation Finance's Manual of Publicity-Available Telephone Interpretation (January 1997), are carried forward to, and deemed covered by this Registration Statement on Form S-8 (the "Registration Statement") in connection with the 1999 Plan.</w:t>
      </w:r>
    </w:p>
    <w:p>
      <w:pPr>
        <w:spacing w:after="0" w:line="33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INFORMATION REQUIRED IN THE SECTION 10(a) PROSPECTUS</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tab/>
        <w:t>Plan Information.</w:t>
      </w:r>
    </w:p>
    <w:p>
      <w:pPr>
        <w:spacing w:after="0" w:line="173" w:lineRule="exact"/>
        <w:rPr>
          <w:sz w:val="20"/>
          <w:szCs w:val="20"/>
          <w:color w:val="auto"/>
        </w:rPr>
      </w:pPr>
    </w:p>
    <w:p>
      <w:pPr>
        <w:ind w:right="3339" w:firstLine="947"/>
        <w:spacing w:after="0" w:line="251" w:lineRule="auto"/>
        <w:rPr>
          <w:sz w:val="20"/>
          <w:szCs w:val="20"/>
          <w:color w:val="auto"/>
        </w:rPr>
      </w:pPr>
      <w:r>
        <w:rPr>
          <w:rFonts w:ascii="Courier New" w:cs="Courier New" w:eastAsia="Courier New" w:hAnsi="Courier New"/>
          <w:sz w:val="14"/>
          <w:szCs w:val="14"/>
          <w:color w:val="auto"/>
        </w:rPr>
        <w:t>The documents containing the information specified in this Item will be sent or given to employees who have been awarded options under the 1999 Plan, and, in accordance with Section 10(a) of the Securities Act of 1933 (the "1933 Act") and Rules 424 and 428 promulgated under the Act by the Securities and Exchange Commission (the "Commission"), are not being filed with, or included in, this Registration Statement.</w:t>
      </w:r>
    </w:p>
    <w:p>
      <w:pPr>
        <w:spacing w:after="0" w:line="16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2.</w:t>
        <w:tab/>
        <w:t>Registrant Information and Employee Plan Annual Information.</w:t>
      </w:r>
    </w:p>
    <w:p>
      <w:pPr>
        <w:spacing w:after="0" w:line="173" w:lineRule="exact"/>
        <w:rPr>
          <w:sz w:val="20"/>
          <w:szCs w:val="20"/>
          <w:color w:val="auto"/>
        </w:rPr>
      </w:pPr>
    </w:p>
    <w:p>
      <w:pPr>
        <w:ind w:right="3339" w:firstLine="947"/>
        <w:spacing w:after="0" w:line="251" w:lineRule="auto"/>
        <w:rPr>
          <w:sz w:val="20"/>
          <w:szCs w:val="20"/>
          <w:color w:val="auto"/>
        </w:rPr>
      </w:pPr>
      <w:r>
        <w:rPr>
          <w:rFonts w:ascii="Courier New" w:cs="Courier New" w:eastAsia="Courier New" w:hAnsi="Courier New"/>
          <w:sz w:val="14"/>
          <w:szCs w:val="14"/>
          <w:color w:val="auto"/>
        </w:rPr>
        <w:t>The documents containing the information specified in this Item will be sent or given free of charge to employees or directors who have been awarded options under the Plan and, in accordance with Section 10(a) of the Act and Rule 428 promulgated under the 1933 Act, are not being filed with, or included in, this Registration Statement. The requests can be sent to: Robert Masters, Esq., Acadia Realty Trust, 20 Soundview Marketplace, Port Washington, New York 11050, (516) 767-8830.</w:t>
      </w:r>
    </w:p>
    <w:p>
      <w:pPr>
        <w:spacing w:after="0" w:line="33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PART II</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INFORMATION REQUIRED IN THE REGISTRATION STATEMENT</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3.</w:t>
        <w:tab/>
        <w:t>Incorporation of Documents by Reference.</w:t>
      </w:r>
    </w:p>
    <w:p>
      <w:pPr>
        <w:spacing w:after="0" w:line="173" w:lineRule="exact"/>
        <w:rPr>
          <w:sz w:val="20"/>
          <w:szCs w:val="20"/>
          <w:color w:val="auto"/>
        </w:rPr>
      </w:pPr>
    </w:p>
    <w:p>
      <w:pPr>
        <w:ind w:right="3339" w:firstLine="947"/>
        <w:spacing w:after="0" w:line="251" w:lineRule="auto"/>
        <w:rPr>
          <w:sz w:val="20"/>
          <w:szCs w:val="20"/>
          <w:color w:val="auto"/>
        </w:rPr>
      </w:pPr>
      <w:r>
        <w:rPr>
          <w:rFonts w:ascii="Courier New" w:cs="Courier New" w:eastAsia="Courier New" w:hAnsi="Courier New"/>
          <w:sz w:val="14"/>
          <w:szCs w:val="14"/>
          <w:color w:val="auto"/>
        </w:rPr>
        <w:t>The following documents, which have been filed with the Commission by the Registrant, are incorporated by reference in this Registration Statement. The information incorporated by reference is considered to be part of this Registration Statement, and information that the Registrant files later with the Commission will automatically update and supersede this information. The Registrant incorporates by reference the documents listed below and any future filings the Registrant makes with the Commission under Sections 13(a), 13(c), 14 or 15(d) of the Securities Exchange Act of 1934 (the "1934 Act"):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850114.2</w:t>
      </w:r>
    </w:p>
    <w:p>
      <w:pPr>
        <w:sectPr>
          <w:pgSz w:w="11900" w:h="16838" w:orient="portrait"/>
          <w:cols w:equalWidth="0" w:num="1">
            <w:col w:w="10239"/>
          </w:cols>
          <w:pgMar w:left="220" w:top="970" w:right="1440" w:bottom="1440" w:gutter="0" w:footer="0" w:header="0"/>
        </w:sectPr>
      </w:pPr>
    </w:p>
    <w:bookmarkStart w:id="2" w:name="page3"/>
    <w:bookmarkEnd w:id="2"/>
    <w:p>
      <w:pPr>
        <w:ind w:right="3679" w:firstLine="1817"/>
        <w:spacing w:after="0" w:line="252" w:lineRule="auto"/>
        <w:tabs>
          <w:tab w:leader="none" w:pos="2153"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annual report on Form 10-K for the fiscal year ended December 31, 1998, filed with the Commission on March 31, 1999.</w:t>
      </w:r>
    </w:p>
    <w:p>
      <w:pPr>
        <w:spacing w:after="0" w:line="163" w:lineRule="exact"/>
        <w:rPr>
          <w:sz w:val="20"/>
          <w:szCs w:val="20"/>
          <w:color w:val="auto"/>
        </w:rPr>
      </w:pPr>
    </w:p>
    <w:p>
      <w:pPr>
        <w:ind w:right="3519" w:firstLine="1809"/>
        <w:spacing w:after="0" w:line="255" w:lineRule="auto"/>
        <w:rPr>
          <w:sz w:val="20"/>
          <w:szCs w:val="20"/>
          <w:color w:val="auto"/>
        </w:rPr>
      </w:pPr>
      <w:r>
        <w:rPr>
          <w:rFonts w:ascii="Courier New" w:cs="Courier New" w:eastAsia="Courier New" w:hAnsi="Courier New"/>
          <w:sz w:val="14"/>
          <w:szCs w:val="14"/>
          <w:color w:val="auto"/>
        </w:rPr>
        <w:t>(b)(i) The Registrant's current report on Form 8-K, dated December 31, 1998, filed with the Commission on January 5, 1999.</w:t>
      </w:r>
    </w:p>
    <w:p>
      <w:pPr>
        <w:spacing w:after="0" w:line="160" w:lineRule="exact"/>
        <w:rPr>
          <w:sz w:val="20"/>
          <w:szCs w:val="20"/>
          <w:color w:val="auto"/>
        </w:rPr>
      </w:pPr>
    </w:p>
    <w:p>
      <w:pPr>
        <w:ind w:left="2420" w:hanging="431"/>
        <w:spacing w:after="0"/>
        <w:tabs>
          <w:tab w:leader="none" w:pos="24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Quarterly Report on Form 10-Q for</w:t>
      </w:r>
    </w:p>
    <w:p>
      <w:pPr>
        <w:spacing w:after="0" w:line="7" w:lineRule="exact"/>
        <w:rPr>
          <w:rFonts w:ascii="Courier New" w:cs="Courier New" w:eastAsia="Courier New" w:hAnsi="Courier New"/>
          <w:sz w:val="14"/>
          <w:szCs w:val="14"/>
          <w:color w:val="auto"/>
        </w:rPr>
      </w:pPr>
    </w:p>
    <w:p>
      <w:pPr>
        <w:ind w:right="35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fiscal quarter ended March 31, 1999, filed with the Commission on May 17, 1999.</w:t>
      </w:r>
    </w:p>
    <w:p>
      <w:pPr>
        <w:spacing w:after="0" w:line="159" w:lineRule="exact"/>
        <w:rPr>
          <w:rFonts w:ascii="Courier New" w:cs="Courier New" w:eastAsia="Courier New" w:hAnsi="Courier New"/>
          <w:sz w:val="14"/>
          <w:szCs w:val="14"/>
          <w:color w:val="auto"/>
        </w:rPr>
      </w:pPr>
    </w:p>
    <w:p>
      <w:pPr>
        <w:ind w:left="2500" w:hanging="511"/>
        <w:spacing w:after="0"/>
        <w:tabs>
          <w:tab w:leader="none" w:pos="25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Quarterly Report on Form 10-Q</w:t>
      </w:r>
    </w:p>
    <w:p>
      <w:pPr>
        <w:spacing w:after="0" w:line="7" w:lineRule="exact"/>
        <w:rPr>
          <w:rFonts w:ascii="Courier New" w:cs="Courier New" w:eastAsia="Courier New" w:hAnsi="Courier New"/>
          <w:sz w:val="14"/>
          <w:szCs w:val="14"/>
          <w:color w:val="auto"/>
        </w:rPr>
      </w:pPr>
    </w:p>
    <w:p>
      <w:pPr>
        <w:ind w:right="34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fiscal quarter ended June 30, 1999, filed with the Commission on August 13, 1999.</w:t>
      </w:r>
    </w:p>
    <w:p>
      <w:pPr>
        <w:spacing w:after="0" w:line="160" w:lineRule="exact"/>
        <w:rPr>
          <w:sz w:val="20"/>
          <w:szCs w:val="20"/>
          <w:color w:val="auto"/>
        </w:rPr>
      </w:pPr>
    </w:p>
    <w:p>
      <w:pPr>
        <w:ind w:right="3339" w:firstLine="1817"/>
        <w:spacing w:after="0" w:line="252" w:lineRule="auto"/>
        <w:tabs>
          <w:tab w:leader="none" w:pos="2153"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the Registrant's common shares of beneficial interest contained in the Registrant's Registration Statement on Form 8-A dated May 21, 1993, filed with the Commission on May 26, 1993.</w:t>
      </w:r>
    </w:p>
    <w:p>
      <w:pPr>
        <w:spacing w:after="0" w:line="16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4.</w:t>
        <w:tab/>
        <w:t>Description of Securities.</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5.</w:t>
        <w:tab/>
        <w:t>Interests of Named Experts and Counsel.</w:t>
      </w:r>
    </w:p>
    <w:p>
      <w:pPr>
        <w:spacing w:after="0" w:line="173" w:lineRule="exact"/>
        <w:rPr>
          <w:sz w:val="20"/>
          <w:szCs w:val="20"/>
          <w:color w:val="auto"/>
        </w:rPr>
      </w:pPr>
    </w:p>
    <w:p>
      <w:pPr>
        <w:jc w:val="both"/>
        <w:ind w:right="3339" w:firstLine="947"/>
        <w:spacing w:after="0" w:line="252" w:lineRule="auto"/>
        <w:rPr>
          <w:sz w:val="20"/>
          <w:szCs w:val="20"/>
          <w:color w:val="auto"/>
        </w:rPr>
      </w:pPr>
      <w:r>
        <w:rPr>
          <w:rFonts w:ascii="Courier New" w:cs="Courier New" w:eastAsia="Courier New" w:hAnsi="Courier New"/>
          <w:sz w:val="14"/>
          <w:szCs w:val="14"/>
          <w:color w:val="auto"/>
        </w:rPr>
        <w:t>Martin L. Edelman, a trustee of the Registrant, is counsel to the law firm of Battle Fowler LLP, which is rendering the opinion regarding the legality of the securities being registered in this Registration Statement. Mr. Edelman is an optionee under the 1999 Plan.</w:t>
      </w:r>
    </w:p>
    <w:p>
      <w:pPr>
        <w:spacing w:after="0" w:line="16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6.</w:t>
        <w:tab/>
        <w:t>Indemnification of Directors and Officers.</w:t>
      </w:r>
    </w:p>
    <w:p>
      <w:pPr>
        <w:spacing w:after="0" w:line="173" w:lineRule="exact"/>
        <w:rPr>
          <w:sz w:val="20"/>
          <w:szCs w:val="20"/>
          <w:color w:val="auto"/>
        </w:rPr>
      </w:pPr>
    </w:p>
    <w:p>
      <w:pPr>
        <w:ind w:right="3339" w:firstLine="947"/>
        <w:spacing w:after="0" w:line="251" w:lineRule="auto"/>
        <w:rPr>
          <w:sz w:val="20"/>
          <w:szCs w:val="20"/>
          <w:color w:val="auto"/>
        </w:rPr>
      </w:pPr>
      <w:r>
        <w:rPr>
          <w:rFonts w:ascii="Courier New" w:cs="Courier New" w:eastAsia="Courier New" w:hAnsi="Courier New"/>
          <w:sz w:val="14"/>
          <w:szCs w:val="14"/>
          <w:color w:val="auto"/>
        </w:rPr>
        <w:t>Section 2-418(b) of the Maryland General Corporation Law authorizes the Registrant to indemnify the officers and trustees of the Registrant, under certain circumstances and subject to certain conditions and limitations as stated therein, against all expenses and liabilities incurred by or imposed upon them as a result of actions, suits or proceedings brought against them as such officers and trustees, unless it is established that the act or omission was material to the matter giving rise to the proceeding and was committed in bad faith or was the result of active and deliberate dishonesty, the trustee or officer actually received an improper personal benefit or with respect to any criminal action or proceeding, the trustee or officer had reasonable cause to believe his act or omission was unlawful.</w:t>
      </w:r>
    </w:p>
    <w:p>
      <w:pPr>
        <w:spacing w:after="0" w:line="163" w:lineRule="exact"/>
        <w:rPr>
          <w:sz w:val="20"/>
          <w:szCs w:val="20"/>
          <w:color w:val="auto"/>
        </w:rPr>
      </w:pPr>
    </w:p>
    <w:p>
      <w:pPr>
        <w:ind w:right="3339" w:firstLine="947"/>
        <w:spacing w:after="0" w:line="251" w:lineRule="auto"/>
        <w:rPr>
          <w:sz w:val="20"/>
          <w:szCs w:val="20"/>
          <w:color w:val="auto"/>
        </w:rPr>
      </w:pPr>
      <w:r>
        <w:rPr>
          <w:rFonts w:ascii="Courier New" w:cs="Courier New" w:eastAsia="Courier New" w:hAnsi="Courier New"/>
          <w:sz w:val="14"/>
          <w:szCs w:val="14"/>
          <w:color w:val="auto"/>
        </w:rPr>
        <w:t>Article XII of the Registrant's Bylaws provides for indemnification of officers and trustees of the Registrant to the full extent authorized by Maryland law. Section 3.2(o) of the Registrant's Declaration of Trust, as amended, authorizes the Trustees to purchase and maintain insurance on behalf of any officer, director, employee, trustee or agent of the Registrant against any liability asserted against or incurred by them in such capacity or arising out of their status as of such whether or not the Registrant would have the power to indemnify such officer, director, employee, trustee or agent against such liability under the provisions of such Article or Maryland law. The Registrant maintains a trustee and officers policy which insures the officers and trustees of the Registrant from any claim arising out of an alleged wrongful act by such persons in their respective capacities as officers and trustees of the Registrant.</w:t>
      </w:r>
    </w:p>
    <w:p>
      <w:pPr>
        <w:spacing w:after="0" w:line="329" w:lineRule="exact"/>
        <w:rPr>
          <w:sz w:val="20"/>
          <w:szCs w:val="20"/>
          <w:color w:val="auto"/>
        </w:rPr>
      </w:pPr>
    </w:p>
    <w:p>
      <w:pPr>
        <w:ind w:right="3339" w:firstLine="947"/>
        <w:spacing w:after="0" w:line="251" w:lineRule="auto"/>
        <w:rPr>
          <w:sz w:val="20"/>
          <w:szCs w:val="20"/>
          <w:color w:val="auto"/>
        </w:rPr>
      </w:pPr>
      <w:r>
        <w:rPr>
          <w:rFonts w:ascii="Courier New" w:cs="Courier New" w:eastAsia="Courier New" w:hAnsi="Courier New"/>
          <w:sz w:val="14"/>
          <w:szCs w:val="14"/>
          <w:color w:val="auto"/>
        </w:rPr>
        <w:t>Section 2-405.2 of Maryland General Corporation Law permits corporations to eliminate or limit the personal liability of its directors and officers or its stockholders for monetary damages to the extent it is proven that the person actually received an improper benefit and to the extent that the judgment is based on a finding that the person's act or omission was a result of active and deliberate dishonesty and was material to the cause of action. Reference is made to Article VIII of the Registrant's Declaration of Trust, as amended, which limits a trustee's liability in accordance with such Section.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850114.2</w:t>
      </w:r>
    </w:p>
    <w:p>
      <w:pPr>
        <w:sectPr>
          <w:pgSz w:w="11900" w:h="16838" w:orient="portrait"/>
          <w:cols w:equalWidth="0" w:num="1">
            <w:col w:w="10239"/>
          </w:cols>
          <w:pgMar w:left="220" w:top="948" w:right="1440" w:bottom="1440" w:gutter="0" w:footer="0" w:header="0"/>
        </w:sectPr>
      </w:pPr>
    </w:p>
    <w:bookmarkStart w:id="3" w:name="page4"/>
    <w:bookmarkEnd w:id="3"/>
    <w:p>
      <w:pPr>
        <w:spacing w:after="0"/>
        <w:tabs>
          <w:tab w:leader="none" w:pos="760" w:val="left"/>
        </w:tabs>
        <w:rPr>
          <w:sz w:val="20"/>
          <w:szCs w:val="20"/>
          <w:color w:val="auto"/>
        </w:rPr>
      </w:pPr>
      <w:r>
        <w:rPr>
          <w:rFonts w:ascii="Courier New" w:cs="Courier New" w:eastAsia="Courier New" w:hAnsi="Courier New"/>
          <w:sz w:val="14"/>
          <w:szCs w:val="14"/>
          <w:color w:val="auto"/>
        </w:rPr>
        <w:t>Item 7.</w:t>
        <w:tab/>
        <w:t>Exemption from Registration Claimed.</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8.</w:t>
        <w:tab/>
        <w:t>Exhibits.</w:t>
      </w:r>
    </w:p>
    <w:p>
      <w:pPr>
        <w:spacing w:after="0" w:line="173" w:lineRule="exact"/>
        <w:rPr>
          <w:sz w:val="20"/>
          <w:szCs w:val="20"/>
          <w:color w:val="auto"/>
        </w:rPr>
      </w:pPr>
    </w:p>
    <w:p>
      <w:pPr>
        <w:ind w:left="960"/>
        <w:spacing w:after="0"/>
        <w:tabs>
          <w:tab w:leader="none" w:pos="180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Acadia Realty Trust 1999 Share Incentive Plan.</w:t>
      </w:r>
    </w:p>
    <w:p>
      <w:pPr>
        <w:spacing w:after="0" w:line="173" w:lineRule="exact"/>
        <w:rPr>
          <w:sz w:val="20"/>
          <w:szCs w:val="20"/>
          <w:color w:val="auto"/>
        </w:rPr>
      </w:pPr>
    </w:p>
    <w:p>
      <w:pPr>
        <w:ind w:left="1820" w:right="3519" w:hanging="864"/>
        <w:spacing w:after="0" w:line="255" w:lineRule="auto"/>
        <w:tabs>
          <w:tab w:leader="none" w:pos="18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Berliner, Corcoran &amp; Rowe L.L.P. regarding the legality of the securities being registered.</w:t>
      </w:r>
    </w:p>
    <w:p>
      <w:pPr>
        <w:spacing w:after="0" w:line="160" w:lineRule="exact"/>
        <w:rPr>
          <w:sz w:val="20"/>
          <w:szCs w:val="20"/>
          <w:color w:val="auto"/>
        </w:rPr>
      </w:pPr>
    </w:p>
    <w:p>
      <w:pPr>
        <w:ind w:left="960"/>
        <w:spacing w:after="0"/>
        <w:tabs>
          <w:tab w:leader="none" w:pos="1800" w:val="left"/>
        </w:tabs>
        <w:rPr>
          <w:sz w:val="20"/>
          <w:szCs w:val="20"/>
          <w:color w:val="auto"/>
        </w:rPr>
      </w:pPr>
      <w:r>
        <w:rPr>
          <w:rFonts w:ascii="Courier New" w:cs="Courier New" w:eastAsia="Courier New" w:hAnsi="Courier New"/>
          <w:sz w:val="14"/>
          <w:szCs w:val="14"/>
          <w:color w:val="auto"/>
        </w:rPr>
        <w:t>23.1</w:t>
      </w:r>
      <w:r>
        <w:rPr>
          <w:sz w:val="20"/>
          <w:szCs w:val="20"/>
          <w:color w:val="auto"/>
        </w:rPr>
        <w:tab/>
      </w:r>
      <w:r>
        <w:rPr>
          <w:rFonts w:ascii="Courier New" w:cs="Courier New" w:eastAsia="Courier New" w:hAnsi="Courier New"/>
          <w:sz w:val="14"/>
          <w:szCs w:val="14"/>
          <w:color w:val="auto"/>
        </w:rPr>
        <w:t>Consent of Ernst &amp; Young LLP.</w:t>
      </w:r>
    </w:p>
    <w:p>
      <w:pPr>
        <w:spacing w:after="0" w:line="173" w:lineRule="exact"/>
        <w:rPr>
          <w:sz w:val="20"/>
          <w:szCs w:val="20"/>
          <w:color w:val="auto"/>
        </w:rPr>
      </w:pPr>
    </w:p>
    <w:p>
      <w:pPr>
        <w:ind w:left="1820" w:right="3519" w:hanging="860"/>
        <w:spacing w:after="0" w:line="255" w:lineRule="auto"/>
        <w:tabs>
          <w:tab w:leader="none" w:pos="1800" w:val="left"/>
        </w:tabs>
        <w:rPr>
          <w:sz w:val="20"/>
          <w:szCs w:val="20"/>
          <w:color w:val="auto"/>
        </w:rPr>
      </w:pPr>
      <w:r>
        <w:rPr>
          <w:rFonts w:ascii="Courier New" w:cs="Courier New" w:eastAsia="Courier New" w:hAnsi="Courier New"/>
          <w:sz w:val="14"/>
          <w:szCs w:val="14"/>
          <w:color w:val="auto"/>
        </w:rPr>
        <w:t>23.2</w:t>
      </w:r>
      <w:r>
        <w:rPr>
          <w:sz w:val="20"/>
          <w:szCs w:val="20"/>
          <w:color w:val="auto"/>
        </w:rPr>
        <w:tab/>
      </w:r>
      <w:r>
        <w:rPr>
          <w:rFonts w:ascii="Courier New" w:cs="Courier New" w:eastAsia="Courier New" w:hAnsi="Courier New"/>
          <w:sz w:val="14"/>
          <w:szCs w:val="14"/>
          <w:color w:val="auto"/>
        </w:rPr>
        <w:t>Consent of Berliner, Corcoran &amp; Rowe L.L.P. (contained in Exhibit 5).</w:t>
      </w:r>
    </w:p>
    <w:p>
      <w:pPr>
        <w:spacing w:after="0" w:line="160" w:lineRule="exact"/>
        <w:rPr>
          <w:sz w:val="20"/>
          <w:szCs w:val="20"/>
          <w:color w:val="auto"/>
        </w:rPr>
      </w:pPr>
    </w:p>
    <w:p>
      <w:pPr>
        <w:ind w:left="1820" w:right="4019" w:hanging="860"/>
        <w:spacing w:after="0" w:line="255" w:lineRule="auto"/>
        <w:tabs>
          <w:tab w:leader="none" w:pos="1800" w:val="left"/>
        </w:tabs>
        <w:rPr>
          <w:sz w:val="20"/>
          <w:szCs w:val="20"/>
          <w:color w:val="auto"/>
        </w:rPr>
      </w:pPr>
      <w:r>
        <w:rPr>
          <w:rFonts w:ascii="Courier New" w:cs="Courier New" w:eastAsia="Courier New" w:hAnsi="Courier New"/>
          <w:sz w:val="14"/>
          <w:szCs w:val="14"/>
          <w:color w:val="auto"/>
        </w:rPr>
        <w:t>24.1</w:t>
      </w:r>
      <w:r>
        <w:rPr>
          <w:sz w:val="20"/>
          <w:szCs w:val="20"/>
          <w:color w:val="auto"/>
        </w:rPr>
        <w:tab/>
      </w:r>
      <w:r>
        <w:rPr>
          <w:rFonts w:ascii="Courier New" w:cs="Courier New" w:eastAsia="Courier New" w:hAnsi="Courier New"/>
          <w:sz w:val="14"/>
          <w:szCs w:val="14"/>
          <w:color w:val="auto"/>
        </w:rPr>
        <w:t>Power of Attorney (contained in the signature pages hereto).</w:t>
      </w:r>
    </w:p>
    <w:p>
      <w:pPr>
        <w:spacing w:after="0" w:line="16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9.</w:t>
        <w:tab/>
        <w:t>Undertakings.</w:t>
      </w:r>
    </w:p>
    <w:p>
      <w:pPr>
        <w:spacing w:after="0" w:line="173" w:lineRule="exact"/>
        <w:rPr>
          <w:sz w:val="20"/>
          <w:szCs w:val="20"/>
          <w:color w:val="auto"/>
        </w:rPr>
      </w:pPr>
    </w:p>
    <w:p>
      <w:pPr>
        <w:ind w:left="1300" w:hanging="344"/>
        <w:spacing w:after="0"/>
        <w:tabs>
          <w:tab w:leader="none" w:pos="13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w:t>
      </w:r>
    </w:p>
    <w:p>
      <w:pPr>
        <w:spacing w:after="0" w:line="172" w:lineRule="exact"/>
        <w:rPr>
          <w:rFonts w:ascii="Courier New" w:cs="Courier New" w:eastAsia="Courier New" w:hAnsi="Courier New"/>
          <w:sz w:val="14"/>
          <w:szCs w:val="14"/>
          <w:color w:val="auto"/>
        </w:rPr>
      </w:pPr>
    </w:p>
    <w:p>
      <w:pPr>
        <w:ind w:left="960" w:right="3339" w:firstLine="857"/>
        <w:spacing w:after="0" w:line="257" w:lineRule="auto"/>
        <w:tabs>
          <w:tab w:leader="none" w:pos="2166"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322" w:lineRule="exact"/>
        <w:rPr>
          <w:rFonts w:ascii="Courier New" w:cs="Courier New" w:eastAsia="Courier New" w:hAnsi="Courier New"/>
          <w:sz w:val="14"/>
          <w:szCs w:val="14"/>
          <w:color w:val="auto"/>
        </w:rPr>
      </w:pPr>
    </w:p>
    <w:p>
      <w:pPr>
        <w:ind w:left="1900" w:right="3679" w:firstLine="520"/>
        <w:spacing w:after="0" w:line="255" w:lineRule="auto"/>
        <w:tabs>
          <w:tab w:leader="none" w:pos="2675" w:val="left"/>
        </w:tabs>
        <w:numPr>
          <w:ilvl w:val="2"/>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10(a)(3) of the 1933 Act;</w:t>
      </w:r>
    </w:p>
    <w:p>
      <w:pPr>
        <w:spacing w:after="0" w:line="159" w:lineRule="exact"/>
        <w:rPr>
          <w:rFonts w:ascii="Courier New" w:cs="Courier New" w:eastAsia="Courier New" w:hAnsi="Courier New"/>
          <w:sz w:val="14"/>
          <w:szCs w:val="14"/>
          <w:color w:val="auto"/>
        </w:rPr>
      </w:pPr>
    </w:p>
    <w:p>
      <w:pPr>
        <w:ind w:left="1900" w:right="3339" w:firstLine="520"/>
        <w:spacing w:after="0" w:line="251" w:lineRule="auto"/>
        <w:tabs>
          <w:tab w:leader="none" w:pos="2761" w:val="left"/>
        </w:tabs>
        <w:numPr>
          <w:ilvl w:val="2"/>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64" w:lineRule="exact"/>
        <w:rPr>
          <w:rFonts w:ascii="Courier New" w:cs="Courier New" w:eastAsia="Courier New" w:hAnsi="Courier New"/>
          <w:sz w:val="14"/>
          <w:szCs w:val="14"/>
          <w:color w:val="auto"/>
        </w:rPr>
      </w:pPr>
    </w:p>
    <w:p>
      <w:pPr>
        <w:ind w:left="1900" w:right="3419" w:firstLine="520"/>
        <w:spacing w:after="0" w:line="252" w:lineRule="auto"/>
        <w:tabs>
          <w:tab w:leader="none" w:pos="2848" w:val="left"/>
        </w:tabs>
        <w:numPr>
          <w:ilvl w:val="2"/>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62"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provided, however, that paragraphs (a)(1)(i) and</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(a)(1)(ii) do not apply if the information required to be</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included in a post-effective amendment by those paragraphs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is contained in periodic reports filed by the Registrant</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pursuant to Section 13 or 15(d) of the 1934 Act that are</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incorporated by reference in the registration statement.</w:t>
      </w:r>
    </w:p>
    <w:p>
      <w:pPr>
        <w:spacing w:after="0" w:line="173" w:lineRule="exact"/>
        <w:rPr>
          <w:sz w:val="20"/>
          <w:szCs w:val="20"/>
          <w:color w:val="auto"/>
        </w:rPr>
      </w:pPr>
    </w:p>
    <w:p>
      <w:pPr>
        <w:ind w:left="960" w:right="3419" w:firstLine="857"/>
        <w:spacing w:after="0" w:line="251" w:lineRule="auto"/>
        <w:tabs>
          <w:tab w:leader="none" w:pos="2166"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 1933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64" w:lineRule="exact"/>
        <w:rPr>
          <w:rFonts w:ascii="Courier New" w:cs="Courier New" w:eastAsia="Courier New" w:hAnsi="Courier New"/>
          <w:sz w:val="14"/>
          <w:szCs w:val="14"/>
          <w:color w:val="auto"/>
        </w:rPr>
      </w:pPr>
    </w:p>
    <w:p>
      <w:pPr>
        <w:ind w:left="2160" w:hanging="343"/>
        <w:spacing w:after="0"/>
        <w:tabs>
          <w:tab w:leader="none" w:pos="21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from registration by means of a</w:t>
      </w:r>
    </w:p>
    <w:p>
      <w:pPr>
        <w:spacing w:after="0" w:line="7" w:lineRule="exact"/>
        <w:rPr>
          <w:sz w:val="20"/>
          <w:szCs w:val="20"/>
          <w:color w:val="auto"/>
        </w:rPr>
      </w:pPr>
    </w:p>
    <w:p>
      <w:pPr>
        <w:ind w:left="960" w:right="3859"/>
        <w:spacing w:after="0" w:line="255" w:lineRule="auto"/>
        <w:rPr>
          <w:sz w:val="20"/>
          <w:szCs w:val="20"/>
          <w:color w:val="auto"/>
        </w:rPr>
      </w:pPr>
      <w:r>
        <w:rPr>
          <w:rFonts w:ascii="Courier New" w:cs="Courier New" w:eastAsia="Courier New" w:hAnsi="Courier New"/>
          <w:sz w:val="14"/>
          <w:szCs w:val="14"/>
          <w:color w:val="auto"/>
        </w:rPr>
        <w:t>post-effective amendment any of the securities being registered which remain unsold at the termination of the offering.</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850114.2</w:t>
      </w:r>
    </w:p>
    <w:p>
      <w:pPr>
        <w:sectPr>
          <w:pgSz w:w="11900" w:h="16838" w:orient="portrait"/>
          <w:cols w:equalWidth="0" w:num="1">
            <w:col w:w="10239"/>
          </w:cols>
          <w:pgMar w:left="220" w:top="1113" w:right="1440" w:bottom="1440" w:gutter="0" w:footer="0" w:header="0"/>
        </w:sectPr>
      </w:pPr>
    </w:p>
    <w:bookmarkStart w:id="4" w:name="page5"/>
    <w:bookmarkEnd w:id="4"/>
    <w:p>
      <w:pPr>
        <w:ind w:right="3339" w:firstLine="956"/>
        <w:spacing w:after="0" w:line="251" w:lineRule="auto"/>
        <w:tabs>
          <w:tab w:leader="none" w:pos="1292"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1933 Act, each filing of the Registrant's annual report pursuant to Section 13(a) or Section 15(d) of the 1934 Act (and, where applicable, each filing of an employee benefit plan's annual report pursuant to Section 15(d) of the 1934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3" w:lineRule="exact"/>
        <w:rPr>
          <w:rFonts w:ascii="Courier New" w:cs="Courier New" w:eastAsia="Courier New" w:hAnsi="Courier New"/>
          <w:sz w:val="14"/>
          <w:szCs w:val="14"/>
          <w:color w:val="auto"/>
        </w:rPr>
      </w:pPr>
    </w:p>
    <w:p>
      <w:pPr>
        <w:ind w:right="3339" w:firstLine="956"/>
        <w:spacing w:after="0" w:line="251" w:lineRule="auto"/>
        <w:tabs>
          <w:tab w:leader="none" w:pos="1292"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1933 Act may be permitted to directors, officers and controlling persons of the Registrant pursuant to the foregoing provisions, or otherwise, the Registrant has been advised that in the opinion of the Commission such indemnification is against public policy as expressed in the 1933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1933 Act and will be governed by the final adjudication of such issue.</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850114.2</w:t>
      </w:r>
    </w:p>
    <w:p>
      <w:pPr>
        <w:sectPr>
          <w:pgSz w:w="11900" w:h="16838" w:orient="portrait"/>
          <w:cols w:equalWidth="0" w:num="1">
            <w:col w:w="10239"/>
          </w:cols>
          <w:pgMar w:left="220" w:top="948" w:right="1440" w:bottom="1440" w:gutter="0" w:footer="0" w:header="0"/>
        </w:sectPr>
      </w:pPr>
    </w:p>
    <w:bookmarkStart w:id="5" w:name="page6"/>
    <w:bookmarkEnd w:id="5"/>
    <w:p>
      <w:pPr>
        <w:ind w:left="2080"/>
        <w:spacing w:after="0"/>
        <w:rPr>
          <w:sz w:val="20"/>
          <w:szCs w:val="20"/>
          <w:color w:val="auto"/>
        </w:rPr>
      </w:pPr>
      <w:r>
        <w:rPr>
          <w:rFonts w:ascii="Courier New" w:cs="Courier New" w:eastAsia="Courier New" w:hAnsi="Courier New"/>
          <w:sz w:val="14"/>
          <w:szCs w:val="14"/>
          <w:color w:val="auto"/>
        </w:rPr>
        <w:t>SIGNATURES AND POWER OF ATTORNEY</w:t>
      </w:r>
    </w:p>
    <w:p>
      <w:pPr>
        <w:spacing w:after="0" w:line="173" w:lineRule="exact"/>
        <w:rPr>
          <w:sz w:val="20"/>
          <w:szCs w:val="20"/>
          <w:color w:val="auto"/>
        </w:rPr>
      </w:pPr>
    </w:p>
    <w:p>
      <w:pPr>
        <w:ind w:right="3339" w:firstLine="1895"/>
        <w:spacing w:after="0" w:line="251" w:lineRule="auto"/>
        <w:rPr>
          <w:sz w:val="20"/>
          <w:szCs w:val="20"/>
          <w:color w:val="auto"/>
        </w:rPr>
      </w:pPr>
      <w:r>
        <w:rPr>
          <w:rFonts w:ascii="Courier New" w:cs="Courier New" w:eastAsia="Courier New" w:hAnsi="Courier New"/>
          <w:sz w:val="14"/>
          <w:szCs w:val="14"/>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Port Washington, State of New York, on this 28th day of September, 1999.</w:t>
      </w:r>
    </w:p>
    <w:p>
      <w:pPr>
        <w:spacing w:after="0" w:line="330"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ACADIA REALTY TRUST</w:t>
      </w:r>
    </w:p>
    <w:p>
      <w:pPr>
        <w:spacing w:after="0" w:line="338" w:lineRule="exact"/>
        <w:rPr>
          <w:sz w:val="20"/>
          <w:szCs w:val="20"/>
          <w:color w:val="auto"/>
        </w:rPr>
      </w:pPr>
    </w:p>
    <w:p>
      <w:pPr>
        <w:ind w:left="3800"/>
        <w:spacing w:after="0"/>
        <w:tabs>
          <w:tab w:leader="none" w:pos="4200" w:val="left"/>
        </w:tabs>
        <w:rPr>
          <w:sz w:val="20"/>
          <w:szCs w:val="20"/>
          <w:color w:val="auto"/>
        </w:rPr>
      </w:pPr>
      <w:r>
        <w:rPr>
          <w:rFonts w:ascii="Courier New" w:cs="Courier New" w:eastAsia="Courier New" w:hAnsi="Courier New"/>
          <w:sz w:val="14"/>
          <w:szCs w:val="14"/>
          <w:color w:val="auto"/>
        </w:rPr>
        <w:t>By:</w:t>
        <w:tab/>
        <w:t>/s/ Ross Dworman</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Ross Dworman</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Chief Executive Officer</w:t>
      </w:r>
    </w:p>
    <w:p>
      <w:pPr>
        <w:spacing w:after="0" w:line="173" w:lineRule="exact"/>
        <w:rPr>
          <w:sz w:val="20"/>
          <w:szCs w:val="20"/>
          <w:color w:val="auto"/>
        </w:rPr>
      </w:pPr>
    </w:p>
    <w:p>
      <w:pPr>
        <w:ind w:right="3339" w:firstLine="1895"/>
        <w:spacing w:after="0" w:line="251" w:lineRule="auto"/>
        <w:rPr>
          <w:sz w:val="20"/>
          <w:szCs w:val="20"/>
          <w:color w:val="auto"/>
        </w:rPr>
      </w:pPr>
      <w:r>
        <w:rPr>
          <w:rFonts w:ascii="Courier New" w:cs="Courier New" w:eastAsia="Courier New" w:hAnsi="Courier New"/>
          <w:sz w:val="14"/>
          <w:szCs w:val="14"/>
          <w:color w:val="auto"/>
        </w:rPr>
        <w:t>KNOW ALL MEN BY THESE PRESENTS, that each person whose signature appears below constitutes and appoints Ross Dworman and Kenneth F. Bernstein, and each of them, his true and lawful attorneys-in-fact and agents, with full power of substitution and resubstitution, for him and in his name, place and stead, in any and all capacities, to sign any and all amendments to this Registration Statement, and to file the same, with all exhibits thereto, and any other documents in connection therewith,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substitutes, may lawfully do or cause to be done by virtue thereof.</w:t>
      </w:r>
    </w:p>
    <w:p>
      <w:pPr>
        <w:spacing w:after="0" w:line="329" w:lineRule="exact"/>
        <w:rPr>
          <w:sz w:val="20"/>
          <w:szCs w:val="20"/>
          <w:color w:val="auto"/>
        </w:rPr>
      </w:pPr>
    </w:p>
    <w:p>
      <w:pPr>
        <w:ind w:right="3779" w:firstLine="1895"/>
        <w:spacing w:after="0" w:line="252" w:lineRule="auto"/>
        <w:rPr>
          <w:sz w:val="20"/>
          <w:szCs w:val="20"/>
          <w:color w:val="auto"/>
        </w:rPr>
      </w:pPr>
      <w:r>
        <w:rPr>
          <w:rFonts w:ascii="Courier New" w:cs="Courier New" w:eastAsia="Courier New" w:hAnsi="Courier New"/>
          <w:sz w:val="14"/>
          <w:szCs w:val="14"/>
          <w:color w:val="auto"/>
        </w:rPr>
        <w:t>Pursuant to the requirements of the Securities Act of 1933, as amended, this Registration Statement has been signed below by the following persons in the capacities and on the dates indicated.</w:t>
      </w:r>
    </w:p>
    <w:p>
      <w:pPr>
        <w:sectPr>
          <w:pgSz w:w="11900" w:h="16838" w:orient="portrait"/>
          <w:cols w:equalWidth="0" w:num="1">
            <w:col w:w="10239"/>
          </w:cols>
          <w:pgMar w:left="220" w:top="948"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2480" w:space="720"/>
            <w:col w:w="1600" w:space="720"/>
            <w:col w:w="4719"/>
          </w:cols>
          <w:pgMar w:left="220" w:top="948"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Ross Dworman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Ross Dworman</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of Trustees</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and Chief 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Executive Officer)</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28, 1999</w:t>
      </w:r>
    </w:p>
    <w:p>
      <w:pPr>
        <w:spacing w:after="0" w:line="504" w:lineRule="exact"/>
        <w:rPr>
          <w:sz w:val="20"/>
          <w:szCs w:val="20"/>
          <w:color w:val="auto"/>
        </w:rPr>
      </w:pPr>
    </w:p>
    <w:p>
      <w:pPr>
        <w:sectPr>
          <w:pgSz w:w="11900" w:h="16838" w:orient="portrait"/>
          <w:cols w:equalWidth="0" w:num="3">
            <w:col w:w="1740" w:space="600"/>
            <w:col w:w="2840" w:space="160"/>
            <w:col w:w="4899"/>
          </w:cols>
          <w:pgMar w:left="220" w:top="94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Kenneth E. Bernstein</w:t>
      </w:r>
    </w:p>
    <w:p>
      <w:pPr>
        <w:sectPr>
          <w:pgSz w:w="11900" w:h="16838" w:orient="portrait"/>
          <w:cols w:equalWidth="0" w:num="1">
            <w:col w:w="10239"/>
          </w:cols>
          <w:pgMar w:left="220" w:top="948"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President and 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September 28, 1999</w:t>
      </w:r>
    </w:p>
    <w:p>
      <w:pPr>
        <w:spacing w:after="0" w:line="7" w:lineRule="exact"/>
        <w:rPr>
          <w:sz w:val="20"/>
          <w:szCs w:val="20"/>
          <w:color w:val="auto"/>
        </w:rPr>
      </w:pPr>
    </w:p>
    <w:p>
      <w:pPr>
        <w:sectPr>
          <w:pgSz w:w="11900" w:h="16838" w:orient="portrait"/>
          <w:cols w:equalWidth="0" w:num="3">
            <w:col w:w="1980" w:space="520"/>
            <w:col w:w="2300" w:space="720"/>
            <w:col w:w="4719"/>
          </w:cols>
          <w:pgMar w:left="220" w:top="94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Kenneth F. Bernstein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Perry S. Kamerman</w:t>
      </w:r>
    </w:p>
    <w:p>
      <w:pPr>
        <w:sectPr>
          <w:pgSz w:w="11900" w:h="16838" w:orient="portrait"/>
          <w:cols w:equalWidth="0" w:num="1">
            <w:col w:w="10239"/>
          </w:cols>
          <w:pgMar w:left="220" w:top="948" w:right="1440" w:bottom="1440" w:gutter="0" w:footer="0" w:header="0"/>
          <w:type w:val="continuous"/>
        </w:sectPr>
      </w:pPr>
    </w:p>
    <w:p>
      <w:pPr>
        <w:spacing w:after="0" w:line="7"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 --------------------- Perry S. Kamerman</w:t>
      </w:r>
    </w:p>
    <w:p>
      <w:pPr>
        <w:spacing w:after="0" w:line="20" w:lineRule="exact"/>
        <w:rPr>
          <w:sz w:val="20"/>
          <w:szCs w:val="20"/>
          <w:color w:val="auto"/>
        </w:rPr>
      </w:pPr>
      <w:r>
        <w:rPr>
          <w:sz w:val="20"/>
          <w:szCs w:val="20"/>
          <w:color w:val="auto"/>
        </w:rPr>
        <w:br w:type="column"/>
      </w:r>
    </w:p>
    <w:p>
      <w:pPr>
        <w:ind w:right="60" w:firstLine="172"/>
        <w:spacing w:after="0" w:line="252" w:lineRule="auto"/>
        <w:rPr>
          <w:sz w:val="20"/>
          <w:szCs w:val="20"/>
          <w:color w:val="auto"/>
        </w:rPr>
      </w:pPr>
      <w:r>
        <w:rPr>
          <w:rFonts w:ascii="Courier New" w:cs="Courier New" w:eastAsia="Courier New" w:hAnsi="Courier New"/>
          <w:sz w:val="14"/>
          <w:szCs w:val="14"/>
          <w:color w:val="auto"/>
        </w:rPr>
        <w:t>Senior Vice President of Finance (Principal Financial and Accounting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September 28, 1999</w:t>
      </w:r>
    </w:p>
    <w:p>
      <w:pPr>
        <w:spacing w:after="0" w:line="540" w:lineRule="exact"/>
        <w:rPr>
          <w:sz w:val="20"/>
          <w:szCs w:val="20"/>
          <w:color w:val="auto"/>
        </w:rPr>
      </w:pPr>
    </w:p>
    <w:p>
      <w:pPr>
        <w:sectPr>
          <w:pgSz w:w="11900" w:h="16838" w:orient="portrait"/>
          <w:cols w:equalWidth="0" w:num="3">
            <w:col w:w="1980" w:space="360"/>
            <w:col w:w="2460" w:space="720"/>
            <w:col w:w="4719"/>
          </w:cols>
          <w:pgMar w:left="220" w:top="948" w:right="1440"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Martin L.Edelman</w:t>
      </w:r>
    </w:p>
    <w:p>
      <w:pPr>
        <w:sectPr>
          <w:pgSz w:w="11900" w:h="16838" w:orient="portrait"/>
          <w:cols w:equalWidth="0" w:num="1">
            <w:col w:w="10239"/>
          </w:cols>
          <w:pgMar w:left="220" w:top="948"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September 28, 1999</w:t>
      </w:r>
    </w:p>
    <w:p>
      <w:pPr>
        <w:spacing w:after="0" w:line="7" w:lineRule="exact"/>
        <w:rPr>
          <w:sz w:val="20"/>
          <w:szCs w:val="20"/>
          <w:color w:val="auto"/>
        </w:rPr>
      </w:pPr>
    </w:p>
    <w:p>
      <w:pPr>
        <w:sectPr>
          <w:pgSz w:w="11900" w:h="16838" w:orient="portrait"/>
          <w:cols w:equalWidth="0" w:num="3">
            <w:col w:w="1900" w:space="600"/>
            <w:col w:w="2300" w:space="720"/>
            <w:col w:w="4719"/>
          </w:cols>
          <w:pgMar w:left="220" w:top="94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Martin L. Edelman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850114.2</w:t>
      </w:r>
    </w:p>
    <w:p>
      <w:pPr>
        <w:sectPr>
          <w:pgSz w:w="11900" w:h="16838" w:orient="portrait"/>
          <w:cols w:equalWidth="0" w:num="1">
            <w:col w:w="10239"/>
          </w:cols>
          <w:pgMar w:left="220" w:top="948" w:right="1440"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/s/Marvin L. Levine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Marvin L. Levine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Trustee</w:t>
      </w:r>
    </w:p>
    <w:p>
      <w:pPr>
        <w:spacing w:after="0" w:line="200" w:lineRule="exact"/>
        <w:rPr>
          <w:sz w:val="20"/>
          <w:szCs w:val="20"/>
          <w:color w:val="auto"/>
        </w:rPr>
      </w:pPr>
    </w:p>
    <w:p>
      <w:pPr>
        <w:spacing w:after="0" w:line="304"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September 28, 1999</w:t>
      </w:r>
    </w:p>
    <w:p>
      <w:pPr>
        <w:spacing w:after="0" w:line="200" w:lineRule="exact"/>
        <w:rPr>
          <w:sz w:val="20"/>
          <w:szCs w:val="20"/>
          <w:color w:val="auto"/>
        </w:rPr>
      </w:pPr>
    </w:p>
    <w:p>
      <w:pPr>
        <w:spacing w:after="0" w:line="30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September __, 1999</w:t>
      </w:r>
    </w:p>
    <w:p>
      <w:pPr>
        <w:spacing w:after="0" w:line="7" w:lineRule="exact"/>
        <w:rPr>
          <w:sz w:val="20"/>
          <w:szCs w:val="20"/>
          <w:color w:val="auto"/>
        </w:rPr>
      </w:pPr>
    </w:p>
    <w:p>
      <w:pPr>
        <w:sectPr>
          <w:pgSz w:w="11900" w:h="16838" w:orient="portrait"/>
          <w:cols w:equalWidth="0" w:num="3">
            <w:col w:w="2480" w:space="720"/>
            <w:col w:w="1000" w:space="720"/>
            <w:col w:w="5319"/>
          </w:cols>
          <w:pgMar w:left="220" w:top="947"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Lawrence J. Longua</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Marvin Slomowitz</w:t>
      </w:r>
    </w:p>
    <w:p>
      <w:pPr>
        <w:sectPr>
          <w:pgSz w:w="11900" w:h="16838" w:orient="portrait"/>
          <w:cols w:equalWidth="0" w:num="1">
            <w:col w:w="10239"/>
          </w:cols>
          <w:pgMar w:left="220" w:top="94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Marvin Slomowitz</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Trustee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September 28, 1999</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_, 1999</w:t>
      </w:r>
    </w:p>
    <w:p>
      <w:pPr>
        <w:spacing w:after="0" w:line="7" w:lineRule="exact"/>
        <w:rPr>
          <w:sz w:val="20"/>
          <w:szCs w:val="20"/>
          <w:color w:val="auto"/>
        </w:rPr>
      </w:pPr>
    </w:p>
    <w:p>
      <w:pPr>
        <w:sectPr>
          <w:pgSz w:w="11900" w:h="16838" w:orient="portrait"/>
          <w:cols w:equalWidth="0" w:num="3">
            <w:col w:w="2640" w:space="720"/>
            <w:col w:w="1020" w:space="720"/>
            <w:col w:w="5139"/>
          </w:cols>
          <w:pgMar w:left="220" w:top="94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Gregory White</w:t>
      </w:r>
    </w:p>
    <w:p>
      <w:pPr>
        <w:sectPr>
          <w:pgSz w:w="11900" w:h="16838" w:orient="portrait"/>
          <w:cols w:equalWidth="0" w:num="1">
            <w:col w:w="10239"/>
          </w:cols>
          <w:pgMar w:left="220" w:top="94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850114.2</w:t>
      </w:r>
    </w:p>
    <w:p>
      <w:pPr>
        <w:sectPr>
          <w:pgSz w:w="11900" w:h="16838" w:orient="portrait"/>
          <w:cols w:equalWidth="0" w:num="1">
            <w:col w:w="10239"/>
          </w:cols>
          <w:pgMar w:left="220" w:top="947" w:right="1440" w:bottom="1440" w:gutter="0" w:footer="0" w:header="0"/>
          <w:type w:val="continuous"/>
        </w:sectPr>
      </w:pPr>
    </w:p>
    <w:bookmarkStart w:id="7" w:name="page8"/>
    <w:bookmarkEnd w:id="7"/>
    <w:p>
      <w:pPr>
        <w:ind w:left="2940"/>
        <w:spacing w:after="0"/>
        <w:rPr>
          <w:sz w:val="20"/>
          <w:szCs w:val="20"/>
          <w:color w:val="auto"/>
        </w:rPr>
      </w:pPr>
      <w:r>
        <w:rPr>
          <w:rFonts w:ascii="Courier New" w:cs="Courier New" w:eastAsia="Courier New" w:hAnsi="Courier New"/>
          <w:sz w:val="14"/>
          <w:szCs w:val="14"/>
          <w:color w:val="auto"/>
        </w:rPr>
        <w:t>EXHIBIT INDEX</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Exhibits</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Acadia Realty Trust 1999 Share Incentive Plan</w:t>
      </w:r>
    </w:p>
    <w:p>
      <w:pPr>
        <w:spacing w:after="0" w:line="7" w:lineRule="exact"/>
        <w:rPr>
          <w:sz w:val="20"/>
          <w:szCs w:val="20"/>
          <w:color w:val="auto"/>
        </w:rPr>
      </w:pPr>
    </w:p>
    <w:p>
      <w:pPr>
        <w:ind w:left="860" w:right="3339" w:hanging="852"/>
        <w:spacing w:after="0" w:line="250" w:lineRule="auto"/>
        <w:tabs>
          <w:tab w:leader="none" w:pos="8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Berliner, Corcoran &amp; Rowe, L.L.P. regarding the legality of the securities being registered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spacing w:after="0"/>
              <w:rPr>
                <w:sz w:val="20"/>
                <w:szCs w:val="20"/>
                <w:color w:val="auto"/>
              </w:rPr>
            </w:pPr>
            <w:r>
              <w:rPr>
                <w:rFonts w:ascii="Courier New" w:cs="Courier New" w:eastAsia="Courier New" w:hAnsi="Courier New"/>
                <w:sz w:val="14"/>
                <w:szCs w:val="14"/>
                <w:color w:val="auto"/>
              </w:rPr>
              <w:t>23.1</w:t>
            </w: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Consent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Ernst &amp; Young LLP</w:t>
            </w:r>
          </w:p>
        </w:tc>
        <w:tc>
          <w:tcPr>
            <w:tcW w:w="26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23.2</w:t>
            </w: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Consent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Berliner, Corcoran &amp;</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Rowe, L.L.P.(contained in Exhibit 5)</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24.1</w:t>
            </w:r>
          </w:p>
        </w:tc>
        <w:tc>
          <w:tcPr>
            <w:tcW w:w="25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Power of Attorney (contained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the signature page hereof)</w:t>
            </w:r>
          </w:p>
        </w:tc>
      </w:tr>
      <w:tr>
        <w:trPr>
          <w:trHeight w:val="663"/>
        </w:trPr>
        <w:tc>
          <w:tcPr>
            <w:tcW w:w="780" w:type="dxa"/>
            <w:vAlign w:val="bottom"/>
          </w:tcPr>
          <w:p>
            <w:pPr>
              <w:spacing w:after="0"/>
              <w:rPr>
                <w:sz w:val="20"/>
                <w:szCs w:val="20"/>
                <w:color w:val="auto"/>
              </w:rPr>
            </w:pPr>
            <w:r>
              <w:rPr>
                <w:rFonts w:ascii="Courier New" w:cs="Courier New" w:eastAsia="Courier New" w:hAnsi="Courier New"/>
                <w:sz w:val="14"/>
                <w:szCs w:val="14"/>
                <w:color w:val="auto"/>
              </w:rPr>
              <w:t>850114.2</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tcPr>
          <w:p>
            <w:pPr>
              <w:spacing w:after="0"/>
              <w:rPr>
                <w:sz w:val="24"/>
                <w:szCs w:val="24"/>
                <w:color w:val="auto"/>
              </w:rPr>
            </w:pPr>
          </w:p>
        </w:tc>
      </w:tr>
    </w:tbl>
    <w:p>
      <w:pPr>
        <w:sectPr>
          <w:pgSz w:w="11900" w:h="16838" w:orient="portrait"/>
          <w:cols w:equalWidth="0" w:num="1">
            <w:col w:w="10239"/>
          </w:cols>
          <w:pgMar w:left="220" w:top="948" w:right="1440" w:bottom="1440" w:gutter="0" w:footer="0" w:header="0"/>
        </w:sectPr>
      </w:pPr>
    </w:p>
    <w:bookmarkStart w:id="8" w:name="page9"/>
    <w:bookmarkEnd w:id="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ind w:left="3020"/>
        <w:spacing w:after="0"/>
        <w:rPr>
          <w:sz w:val="20"/>
          <w:szCs w:val="20"/>
          <w:color w:val="auto"/>
        </w:rPr>
      </w:pPr>
      <w:r>
        <w:rPr>
          <w:rFonts w:ascii="Courier New" w:cs="Courier New" w:eastAsia="Courier New" w:hAnsi="Courier New"/>
          <w:sz w:val="14"/>
          <w:szCs w:val="14"/>
          <w:color w:val="auto"/>
        </w:rPr>
        <w:t>EXHIBIT 4</w:t>
      </w:r>
    </w:p>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INSTRUMENTS DEFINING THE RIGHTS OF SECURITY HOLDERS, INCLUDING INDENTURES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ACADIA REALTY TRUST</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1999 SHARE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801488.1</w:t>
      </w:r>
    </w:p>
    <w:p>
      <w:pPr>
        <w:sectPr>
          <w:pgSz w:w="11900" w:h="16838" w:orient="portrait"/>
          <w:cols w:equalWidth="0" w:num="1">
            <w:col w:w="10239"/>
          </w:cols>
          <w:pgMar w:left="220" w:top="638"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40" w:type="dxa"/>
            <w:vAlign w:val="bottom"/>
          </w:tcPr>
          <w:p>
            <w:pPr>
              <w:ind w:left="1540"/>
              <w:spacing w:after="0"/>
              <w:rPr>
                <w:sz w:val="20"/>
                <w:szCs w:val="20"/>
                <w:color w:val="auto"/>
              </w:rPr>
            </w:pPr>
            <w:r>
              <w:rPr>
                <w:rFonts w:ascii="Courier New" w:cs="Courier New" w:eastAsia="Courier New" w:hAnsi="Courier New"/>
                <w:sz w:val="14"/>
                <w:szCs w:val="14"/>
                <w:color w:val="auto"/>
              </w:rPr>
              <w:t>TABLE OF CONTENTS</w:t>
            </w:r>
          </w:p>
        </w:tc>
        <w:tc>
          <w:tcPr>
            <w:tcW w:w="360" w:type="dxa"/>
            <w:vAlign w:val="bottom"/>
          </w:tcPr>
          <w:p>
            <w:pPr>
              <w:spacing w:after="0"/>
              <w:rPr>
                <w:sz w:val="14"/>
                <w:szCs w:val="14"/>
                <w:color w:val="auto"/>
              </w:rPr>
            </w:pPr>
          </w:p>
        </w:tc>
      </w:tr>
      <w:tr>
        <w:trPr>
          <w:trHeight w:val="497"/>
        </w:trPr>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Courier New" w:cs="Courier New" w:eastAsia="Courier New" w:hAnsi="Courier New"/>
                <w:sz w:val="14"/>
                <w:szCs w:val="14"/>
                <w:color w:val="auto"/>
              </w:rPr>
              <w:t>Page</w:t>
            </w:r>
          </w:p>
        </w:tc>
      </w:tr>
      <w:tr>
        <w:trPr>
          <w:trHeight w:val="331"/>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1.</w:t>
            </w:r>
          </w:p>
        </w:tc>
        <w:tc>
          <w:tcPr>
            <w:tcW w:w="62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Purpose.................................................................</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1</w:t>
            </w:r>
          </w:p>
        </w:tc>
      </w:tr>
      <w:tr>
        <w:trPr>
          <w:trHeight w:val="331"/>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2.</w:t>
            </w:r>
          </w:p>
        </w:tc>
        <w:tc>
          <w:tcPr>
            <w:tcW w:w="62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Definitions.............................................................</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1</w:t>
            </w:r>
          </w:p>
        </w:tc>
      </w:tr>
      <w:tr>
        <w:trPr>
          <w:trHeight w:val="331"/>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3.</w:t>
            </w:r>
          </w:p>
        </w:tc>
        <w:tc>
          <w:tcPr>
            <w:tcW w:w="62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Administration..........................................................</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6</w:t>
            </w:r>
          </w:p>
        </w:tc>
      </w:tr>
      <w:tr>
        <w:trPr>
          <w:trHeight w:val="331"/>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4.</w:t>
            </w:r>
          </w:p>
        </w:tc>
        <w:tc>
          <w:tcPr>
            <w:tcW w:w="62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Share Subject to the Plan...............................................</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8</w:t>
            </w:r>
          </w:p>
        </w:tc>
      </w:tr>
      <w:tr>
        <w:trPr>
          <w:trHeight w:val="166"/>
        </w:trPr>
        <w:tc>
          <w:tcPr>
            <w:tcW w:w="26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4.1</w:t>
            </w:r>
          </w:p>
        </w:tc>
        <w:tc>
          <w:tcPr>
            <w:tcW w:w="5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Aggregate Limit....................................................</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8</w:t>
            </w:r>
          </w:p>
        </w:tc>
      </w:tr>
      <w:tr>
        <w:trPr>
          <w:trHeight w:val="331"/>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5.</w:t>
            </w:r>
          </w:p>
        </w:tc>
        <w:tc>
          <w:tcPr>
            <w:tcW w:w="62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Option Grants for Nonemployee Trustees..................................</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9</w:t>
            </w:r>
          </w:p>
        </w:tc>
      </w:tr>
      <w:tr>
        <w:trPr>
          <w:trHeight w:val="166"/>
        </w:trPr>
        <w:tc>
          <w:tcPr>
            <w:tcW w:w="26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5.1</w:t>
            </w: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w w:val="99"/>
              </w:rPr>
              <w:t>Grant</w:t>
            </w:r>
          </w:p>
        </w:tc>
        <w:tc>
          <w:tcPr>
            <w:tcW w:w="52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9</w:t>
            </w:r>
          </w:p>
        </w:tc>
      </w:tr>
      <w:tr>
        <w:trPr>
          <w:trHeight w:val="166"/>
        </w:trPr>
        <w:tc>
          <w:tcPr>
            <w:tcW w:w="26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5.2</w:t>
            </w:r>
          </w:p>
        </w:tc>
        <w:tc>
          <w:tcPr>
            <w:tcW w:w="5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Purchase Price.....................................................</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9</w:t>
            </w:r>
          </w:p>
        </w:tc>
      </w:tr>
      <w:tr>
        <w:trPr>
          <w:trHeight w:val="166"/>
        </w:trPr>
        <w:tc>
          <w:tcPr>
            <w:tcW w:w="26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5.3</w:t>
            </w:r>
          </w:p>
        </w:tc>
        <w:tc>
          <w:tcPr>
            <w:tcW w:w="5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Vesting............................................................</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9</w:t>
            </w:r>
          </w:p>
        </w:tc>
      </w:tr>
      <w:tr>
        <w:trPr>
          <w:trHeight w:val="166"/>
        </w:trPr>
        <w:tc>
          <w:tcPr>
            <w:tcW w:w="26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5.4</w:t>
            </w:r>
          </w:p>
        </w:tc>
        <w:tc>
          <w:tcPr>
            <w:tcW w:w="5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Duration...........................................................</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9</w:t>
            </w:r>
          </w:p>
        </w:tc>
      </w:tr>
      <w:tr>
        <w:trPr>
          <w:trHeight w:val="331"/>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6.</w:t>
            </w:r>
          </w:p>
        </w:tc>
        <w:tc>
          <w:tcPr>
            <w:tcW w:w="62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Discretionary Option Grants for Eligible Individuals....................</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10</w:t>
            </w:r>
          </w:p>
        </w:tc>
      </w:tr>
      <w:tr>
        <w:trPr>
          <w:trHeight w:val="166"/>
        </w:trPr>
        <w:tc>
          <w:tcPr>
            <w:tcW w:w="26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6.1</w:t>
            </w:r>
          </w:p>
        </w:tc>
        <w:tc>
          <w:tcPr>
            <w:tcW w:w="5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Authority of Committee.............................................</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10</w:t>
            </w:r>
          </w:p>
        </w:tc>
      </w:tr>
      <w:tr>
        <w:trPr>
          <w:trHeight w:val="166"/>
        </w:trPr>
        <w:tc>
          <w:tcPr>
            <w:tcW w:w="26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6.2</w:t>
            </w:r>
          </w:p>
        </w:tc>
        <w:tc>
          <w:tcPr>
            <w:tcW w:w="5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Purchase Price.....................................................</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10</w:t>
            </w:r>
          </w:p>
        </w:tc>
      </w:tr>
      <w:tr>
        <w:trPr>
          <w:trHeight w:val="166"/>
        </w:trPr>
        <w:tc>
          <w:tcPr>
            <w:tcW w:w="26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6.3</w:t>
            </w:r>
          </w:p>
        </w:tc>
        <w:tc>
          <w:tcPr>
            <w:tcW w:w="5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Maximum Duration...................................................</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10</w:t>
            </w:r>
          </w:p>
        </w:tc>
      </w:tr>
      <w:tr>
        <w:trPr>
          <w:trHeight w:val="166"/>
        </w:trPr>
        <w:tc>
          <w:tcPr>
            <w:tcW w:w="26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6.4</w:t>
            </w:r>
          </w:p>
        </w:tc>
        <w:tc>
          <w:tcPr>
            <w:tcW w:w="5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Vesting............................................................</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10</w:t>
            </w:r>
          </w:p>
        </w:tc>
      </w:tr>
      <w:tr>
        <w:trPr>
          <w:trHeight w:val="166"/>
        </w:trPr>
        <w:tc>
          <w:tcPr>
            <w:tcW w:w="26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6.5</w:t>
            </w:r>
          </w:p>
        </w:tc>
        <w:tc>
          <w:tcPr>
            <w:tcW w:w="5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Modification or Substitution.......................................</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11</w:t>
            </w:r>
          </w:p>
        </w:tc>
      </w:tr>
      <w:tr>
        <w:trPr>
          <w:trHeight w:val="331"/>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7.</w:t>
            </w:r>
          </w:p>
        </w:tc>
        <w:tc>
          <w:tcPr>
            <w:tcW w:w="62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Terms and Conditions Applicable to All Options..........................</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11</w:t>
            </w:r>
          </w:p>
        </w:tc>
      </w:tr>
      <w:tr>
        <w:trPr>
          <w:trHeight w:val="166"/>
        </w:trPr>
        <w:tc>
          <w:tcPr>
            <w:tcW w:w="26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7.1</w:t>
            </w:r>
          </w:p>
        </w:tc>
        <w:tc>
          <w:tcPr>
            <w:tcW w:w="5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Non-transferability................................................</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11</w:t>
            </w:r>
          </w:p>
        </w:tc>
      </w:tr>
      <w:tr>
        <w:trPr>
          <w:trHeight w:val="166"/>
        </w:trPr>
        <w:tc>
          <w:tcPr>
            <w:tcW w:w="26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7.2</w:t>
            </w:r>
          </w:p>
        </w:tc>
        <w:tc>
          <w:tcPr>
            <w:tcW w:w="5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Vesting; Exercisability............................................</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11</w:t>
            </w:r>
          </w:p>
        </w:tc>
      </w:tr>
      <w:tr>
        <w:trPr>
          <w:trHeight w:val="166"/>
        </w:trPr>
        <w:tc>
          <w:tcPr>
            <w:tcW w:w="26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7.3</w:t>
            </w:r>
          </w:p>
        </w:tc>
        <w:tc>
          <w:tcPr>
            <w:tcW w:w="5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Method of Exercise.................................................</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11</w:t>
            </w:r>
          </w:p>
        </w:tc>
      </w:tr>
      <w:tr>
        <w:trPr>
          <w:trHeight w:val="166"/>
        </w:trPr>
        <w:tc>
          <w:tcPr>
            <w:tcW w:w="26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7.4</w:t>
            </w:r>
          </w:p>
        </w:tc>
        <w:tc>
          <w:tcPr>
            <w:tcW w:w="5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Rights of Optionees................................................</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12</w:t>
            </w:r>
          </w:p>
        </w:tc>
      </w:tr>
      <w:tr>
        <w:trPr>
          <w:trHeight w:val="166"/>
        </w:trPr>
        <w:tc>
          <w:tcPr>
            <w:tcW w:w="26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7.5</w:t>
            </w:r>
          </w:p>
        </w:tc>
        <w:tc>
          <w:tcPr>
            <w:tcW w:w="5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Effect of Change in Control........................................</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12</w:t>
            </w:r>
          </w:p>
        </w:tc>
      </w:tr>
      <w:tr>
        <w:trPr>
          <w:trHeight w:val="166"/>
        </w:trPr>
        <w:tc>
          <w:tcPr>
            <w:tcW w:w="26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7.6</w:t>
            </w:r>
          </w:p>
        </w:tc>
        <w:tc>
          <w:tcPr>
            <w:tcW w:w="5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Dividend Equivalent Rights.........................................</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12</w:t>
            </w:r>
          </w:p>
        </w:tc>
      </w:tr>
      <w:tr>
        <w:trPr>
          <w:trHeight w:val="331"/>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8.</w:t>
            </w:r>
          </w:p>
        </w:tc>
        <w:tc>
          <w:tcPr>
            <w:tcW w:w="62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Share Appreciation Rights...............................................</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12</w:t>
            </w:r>
          </w:p>
        </w:tc>
      </w:tr>
      <w:tr>
        <w:trPr>
          <w:trHeight w:val="166"/>
        </w:trPr>
        <w:tc>
          <w:tcPr>
            <w:tcW w:w="26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8.1</w:t>
            </w:r>
          </w:p>
        </w:tc>
        <w:tc>
          <w:tcPr>
            <w:tcW w:w="5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Time of Grant......................................................</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12</w:t>
            </w:r>
          </w:p>
        </w:tc>
      </w:tr>
      <w:tr>
        <w:trPr>
          <w:trHeight w:val="166"/>
        </w:trPr>
        <w:tc>
          <w:tcPr>
            <w:tcW w:w="26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8.2</w:t>
            </w:r>
          </w:p>
        </w:tc>
        <w:tc>
          <w:tcPr>
            <w:tcW w:w="5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Share Appreciation Right Related to an Option......................</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13</w:t>
            </w:r>
          </w:p>
        </w:tc>
      </w:tr>
      <w:tr>
        <w:trPr>
          <w:trHeight w:val="166"/>
        </w:trPr>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(a)</w:t>
            </w:r>
          </w:p>
        </w:tc>
        <w:tc>
          <w:tcPr>
            <w:tcW w:w="5240" w:type="dxa"/>
            <w:vAlign w:val="bottom"/>
          </w:tcPr>
          <w:p>
            <w:pPr>
              <w:spacing w:after="0"/>
              <w:rPr>
                <w:sz w:val="20"/>
                <w:szCs w:val="20"/>
                <w:color w:val="auto"/>
              </w:rPr>
            </w:pPr>
            <w:r>
              <w:rPr>
                <w:rFonts w:ascii="Courier New" w:cs="Courier New" w:eastAsia="Courier New" w:hAnsi="Courier New"/>
                <w:sz w:val="14"/>
                <w:szCs w:val="14"/>
                <w:color w:val="auto"/>
              </w:rPr>
              <w:t>Exercise......................................................</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13</w:t>
            </w:r>
          </w:p>
        </w:tc>
      </w:tr>
      <w:tr>
        <w:trPr>
          <w:trHeight w:val="166"/>
        </w:trPr>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(b)</w:t>
            </w:r>
          </w:p>
        </w:tc>
        <w:tc>
          <w:tcPr>
            <w:tcW w:w="5240" w:type="dxa"/>
            <w:vAlign w:val="bottom"/>
          </w:tcPr>
          <w:p>
            <w:pPr>
              <w:spacing w:after="0"/>
              <w:rPr>
                <w:sz w:val="20"/>
                <w:szCs w:val="20"/>
                <w:color w:val="auto"/>
              </w:rPr>
            </w:pPr>
            <w:r>
              <w:rPr>
                <w:rFonts w:ascii="Courier New" w:cs="Courier New" w:eastAsia="Courier New" w:hAnsi="Courier New"/>
                <w:sz w:val="14"/>
                <w:szCs w:val="14"/>
                <w:color w:val="auto"/>
              </w:rPr>
              <w:t>Amount Payable................................................</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13</w:t>
            </w:r>
          </w:p>
        </w:tc>
      </w:tr>
      <w:tr>
        <w:trPr>
          <w:trHeight w:val="166"/>
        </w:trPr>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(c)</w:t>
            </w:r>
          </w:p>
        </w:tc>
        <w:tc>
          <w:tcPr>
            <w:tcW w:w="5240" w:type="dxa"/>
            <w:vAlign w:val="bottom"/>
          </w:tcPr>
          <w:p>
            <w:pPr>
              <w:spacing w:after="0"/>
              <w:rPr>
                <w:sz w:val="20"/>
                <w:szCs w:val="20"/>
                <w:color w:val="auto"/>
              </w:rPr>
            </w:pPr>
            <w:r>
              <w:rPr>
                <w:rFonts w:ascii="Courier New" w:cs="Courier New" w:eastAsia="Courier New" w:hAnsi="Courier New"/>
                <w:sz w:val="14"/>
                <w:szCs w:val="14"/>
                <w:color w:val="auto"/>
              </w:rPr>
              <w:t>Treatment of Related Options and  Share Appreciation</w:t>
            </w:r>
          </w:p>
        </w:tc>
        <w:tc>
          <w:tcPr>
            <w:tcW w:w="36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Courier New" w:cs="Courier New" w:eastAsia="Courier New" w:hAnsi="Courier New"/>
                <w:sz w:val="14"/>
                <w:szCs w:val="14"/>
                <w:color w:val="auto"/>
              </w:rPr>
              <w:t>Rights Upon Exercise..........................................</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13</w:t>
            </w:r>
          </w:p>
        </w:tc>
      </w:tr>
      <w:tr>
        <w:trPr>
          <w:trHeight w:val="166"/>
        </w:trPr>
        <w:tc>
          <w:tcPr>
            <w:tcW w:w="26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8.3</w:t>
            </w:r>
          </w:p>
        </w:tc>
        <w:tc>
          <w:tcPr>
            <w:tcW w:w="5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Share Appreciation Right Unrelated to an Option....................</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rPr>
              <w:t>13</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801488.1</w:t>
      </w:r>
    </w:p>
    <w:p>
      <w:pPr>
        <w:sectPr>
          <w:pgSz w:w="11900" w:h="16838" w:orient="portrait"/>
          <w:cols w:equalWidth="0" w:num="1">
            <w:col w:w="10239"/>
          </w:cols>
          <w:pgMar w:left="220" w:top="782"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Page</w:t>
            </w:r>
          </w:p>
        </w:tc>
      </w:tr>
      <w:tr>
        <w:trPr>
          <w:trHeight w:val="331"/>
        </w:trPr>
        <w:tc>
          <w:tcPr>
            <w:tcW w:w="300" w:type="dxa"/>
            <w:vAlign w:val="bottom"/>
          </w:tcPr>
          <w:p>
            <w:pPr>
              <w:spacing w:after="0"/>
              <w:rPr>
                <w:sz w:val="24"/>
                <w:szCs w:val="24"/>
                <w:color w:val="auto"/>
              </w:rPr>
            </w:pP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rPr>
              <w:t>8.4</w:t>
            </w:r>
          </w:p>
        </w:tc>
        <w:tc>
          <w:tcPr>
            <w:tcW w:w="58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Method of Exercise.................................................</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14</w:t>
            </w:r>
          </w:p>
        </w:tc>
      </w:tr>
      <w:tr>
        <w:trPr>
          <w:trHeight w:val="166"/>
        </w:trPr>
        <w:tc>
          <w:tcPr>
            <w:tcW w:w="30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rPr>
              <w:t>8.5</w:t>
            </w: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Form</w:t>
            </w:r>
          </w:p>
        </w:tc>
        <w:tc>
          <w:tcPr>
            <w:tcW w:w="5340" w:type="dxa"/>
            <w:vAlign w:val="bottom"/>
          </w:tcPr>
          <w:p>
            <w:pPr>
              <w:spacing w:after="0"/>
              <w:rPr>
                <w:sz w:val="20"/>
                <w:szCs w:val="20"/>
                <w:color w:val="auto"/>
              </w:rPr>
            </w:pPr>
            <w:r>
              <w:rPr>
                <w:rFonts w:ascii="Courier New" w:cs="Courier New" w:eastAsia="Courier New" w:hAnsi="Courier New"/>
                <w:sz w:val="14"/>
                <w:szCs w:val="14"/>
                <w:color w:val="auto"/>
              </w:rPr>
              <w:t>of Payment....................................................</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14</w:t>
            </w:r>
          </w:p>
        </w:tc>
      </w:tr>
      <w:tr>
        <w:trPr>
          <w:trHeight w:val="166"/>
        </w:trPr>
        <w:tc>
          <w:tcPr>
            <w:tcW w:w="30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rPr>
              <w:t>8.6</w:t>
            </w:r>
          </w:p>
        </w:tc>
        <w:tc>
          <w:tcPr>
            <w:tcW w:w="58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Modification or Substitution.......................................</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14</w:t>
            </w:r>
          </w:p>
        </w:tc>
      </w:tr>
      <w:tr>
        <w:trPr>
          <w:trHeight w:val="166"/>
        </w:trPr>
        <w:tc>
          <w:tcPr>
            <w:tcW w:w="30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rPr>
              <w:t>8.7</w:t>
            </w:r>
          </w:p>
        </w:tc>
        <w:tc>
          <w:tcPr>
            <w:tcW w:w="58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Effect of Change in Control........................................</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14</w:t>
            </w:r>
          </w:p>
        </w:tc>
      </w:tr>
      <w:tr>
        <w:trPr>
          <w:trHeight w:val="331"/>
        </w:trPr>
        <w:tc>
          <w:tcPr>
            <w:tcW w:w="300" w:type="dxa"/>
            <w:vAlign w:val="bottom"/>
          </w:tcPr>
          <w:p>
            <w:pPr>
              <w:spacing w:after="0"/>
              <w:rPr>
                <w:sz w:val="20"/>
                <w:szCs w:val="20"/>
                <w:color w:val="auto"/>
              </w:rPr>
            </w:pPr>
            <w:r>
              <w:rPr>
                <w:rFonts w:ascii="Courier New" w:cs="Courier New" w:eastAsia="Courier New" w:hAnsi="Courier New"/>
                <w:sz w:val="14"/>
                <w:szCs w:val="14"/>
                <w:color w:val="auto"/>
              </w:rPr>
              <w:t>9.</w:t>
            </w:r>
          </w:p>
        </w:tc>
        <w:tc>
          <w:tcPr>
            <w:tcW w:w="626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Restricted Share........................................................</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14</w:t>
            </w:r>
          </w:p>
        </w:tc>
      </w:tr>
      <w:tr>
        <w:trPr>
          <w:trHeight w:val="166"/>
        </w:trPr>
        <w:tc>
          <w:tcPr>
            <w:tcW w:w="30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rPr>
              <w:t>9.1</w:t>
            </w: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w w:val="99"/>
              </w:rPr>
              <w:t>Grant</w:t>
            </w:r>
          </w:p>
        </w:tc>
        <w:tc>
          <w:tcPr>
            <w:tcW w:w="5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14</w:t>
            </w:r>
          </w:p>
        </w:tc>
      </w:tr>
      <w:tr>
        <w:trPr>
          <w:trHeight w:val="166"/>
        </w:trPr>
        <w:tc>
          <w:tcPr>
            <w:tcW w:w="30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rPr>
              <w:t>9.2</w:t>
            </w:r>
          </w:p>
        </w:tc>
        <w:tc>
          <w:tcPr>
            <w:tcW w:w="58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Rights of Grantee..................................................</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15</w:t>
            </w:r>
          </w:p>
        </w:tc>
      </w:tr>
      <w:tr>
        <w:trPr>
          <w:trHeight w:val="166"/>
        </w:trPr>
        <w:tc>
          <w:tcPr>
            <w:tcW w:w="30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rPr>
              <w:t>9.3</w:t>
            </w:r>
          </w:p>
        </w:tc>
        <w:tc>
          <w:tcPr>
            <w:tcW w:w="58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Non-transferability................................................</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15</w:t>
            </w:r>
          </w:p>
        </w:tc>
      </w:tr>
      <w:tr>
        <w:trPr>
          <w:trHeight w:val="166"/>
        </w:trPr>
        <w:tc>
          <w:tcPr>
            <w:tcW w:w="30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rPr>
              <w:t>9.4</w:t>
            </w:r>
          </w:p>
        </w:tc>
        <w:tc>
          <w:tcPr>
            <w:tcW w:w="58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Lapse of Restrictions..............................................</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15</w:t>
            </w:r>
          </w:p>
        </w:tc>
      </w:tr>
      <w:tr>
        <w:trPr>
          <w:trHeight w:val="166"/>
        </w:trPr>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(a)</w:t>
            </w:r>
          </w:p>
        </w:tc>
        <w:tc>
          <w:tcPr>
            <w:tcW w:w="5340" w:type="dxa"/>
            <w:vAlign w:val="bottom"/>
          </w:tcPr>
          <w:p>
            <w:pPr>
              <w:spacing w:after="0"/>
              <w:rPr>
                <w:sz w:val="20"/>
                <w:szCs w:val="20"/>
                <w:color w:val="auto"/>
              </w:rPr>
            </w:pPr>
            <w:r>
              <w:rPr>
                <w:rFonts w:ascii="Courier New" w:cs="Courier New" w:eastAsia="Courier New" w:hAnsi="Courier New"/>
                <w:sz w:val="14"/>
                <w:szCs w:val="14"/>
                <w:color w:val="auto"/>
              </w:rPr>
              <w:t>Generally.....................................................</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15</w:t>
            </w:r>
          </w:p>
        </w:tc>
      </w:tr>
      <w:tr>
        <w:trPr>
          <w:trHeight w:val="166"/>
        </w:trPr>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(b)</w:t>
            </w:r>
          </w:p>
        </w:tc>
        <w:tc>
          <w:tcPr>
            <w:tcW w:w="5340" w:type="dxa"/>
            <w:vAlign w:val="bottom"/>
          </w:tcPr>
          <w:p>
            <w:pPr>
              <w:spacing w:after="0"/>
              <w:rPr>
                <w:sz w:val="20"/>
                <w:szCs w:val="20"/>
                <w:color w:val="auto"/>
              </w:rPr>
            </w:pPr>
            <w:r>
              <w:rPr>
                <w:rFonts w:ascii="Courier New" w:cs="Courier New" w:eastAsia="Courier New" w:hAnsi="Courier New"/>
                <w:sz w:val="14"/>
                <w:szCs w:val="14"/>
                <w:color w:val="auto"/>
              </w:rPr>
              <w:t>Effect of Change in Control...................................</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15</w:t>
            </w:r>
          </w:p>
        </w:tc>
      </w:tr>
      <w:tr>
        <w:trPr>
          <w:trHeight w:val="166"/>
        </w:trPr>
        <w:tc>
          <w:tcPr>
            <w:tcW w:w="30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rPr>
              <w:t>9.5</w:t>
            </w:r>
          </w:p>
        </w:tc>
        <w:tc>
          <w:tcPr>
            <w:tcW w:w="58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Modification or Substitution.......................................</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15</w:t>
            </w:r>
          </w:p>
        </w:tc>
      </w:tr>
      <w:tr>
        <w:trPr>
          <w:trHeight w:val="166"/>
        </w:trPr>
        <w:tc>
          <w:tcPr>
            <w:tcW w:w="30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rPr>
              <w:t>9.6</w:t>
            </w:r>
          </w:p>
        </w:tc>
        <w:tc>
          <w:tcPr>
            <w:tcW w:w="58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Treatment of Dividends.............................................</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15</w:t>
            </w:r>
          </w:p>
        </w:tc>
      </w:tr>
      <w:tr>
        <w:trPr>
          <w:trHeight w:val="166"/>
        </w:trPr>
        <w:tc>
          <w:tcPr>
            <w:tcW w:w="30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rPr>
              <w:t>9.7</w:t>
            </w:r>
          </w:p>
        </w:tc>
        <w:tc>
          <w:tcPr>
            <w:tcW w:w="58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Delivery of Shares.................................................</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16</w:t>
            </w:r>
          </w:p>
        </w:tc>
      </w:tr>
      <w:tr>
        <w:trPr>
          <w:trHeight w:val="331"/>
        </w:trPr>
        <w:tc>
          <w:tcPr>
            <w:tcW w:w="300" w:type="dxa"/>
            <w:vAlign w:val="bottom"/>
          </w:tcPr>
          <w:p>
            <w:pPr>
              <w:spacing w:after="0"/>
              <w:rPr>
                <w:sz w:val="20"/>
                <w:szCs w:val="20"/>
                <w:color w:val="auto"/>
              </w:rPr>
            </w:pPr>
            <w:r>
              <w:rPr>
                <w:rFonts w:ascii="Courier New" w:cs="Courier New" w:eastAsia="Courier New" w:hAnsi="Courier New"/>
                <w:sz w:val="14"/>
                <w:szCs w:val="14"/>
                <w:color w:val="auto"/>
              </w:rPr>
              <w:t>10.</w:t>
            </w:r>
          </w:p>
        </w:tc>
        <w:tc>
          <w:tcPr>
            <w:tcW w:w="626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Performance Awards......................................................</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16</w:t>
            </w:r>
          </w:p>
        </w:tc>
      </w:tr>
      <w:tr>
        <w:trPr>
          <w:trHeight w:val="166"/>
        </w:trPr>
        <w:tc>
          <w:tcPr>
            <w:tcW w:w="300" w:type="dxa"/>
            <w:vAlign w:val="bottom"/>
          </w:tcPr>
          <w:p>
            <w:pPr>
              <w:spacing w:after="0"/>
              <w:rPr>
                <w:sz w:val="14"/>
                <w:szCs w:val="14"/>
                <w:color w:val="auto"/>
              </w:rPr>
            </w:pPr>
          </w:p>
        </w:tc>
        <w:tc>
          <w:tcPr>
            <w:tcW w:w="626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10.1 Performance Objectives.............................................</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16</w:t>
            </w:r>
          </w:p>
        </w:tc>
      </w:tr>
      <w:tr>
        <w:trPr>
          <w:trHeight w:val="166"/>
        </w:trPr>
        <w:tc>
          <w:tcPr>
            <w:tcW w:w="300" w:type="dxa"/>
            <w:vAlign w:val="bottom"/>
          </w:tcPr>
          <w:p>
            <w:pPr>
              <w:spacing w:after="0"/>
              <w:rPr>
                <w:sz w:val="14"/>
                <w:szCs w:val="14"/>
                <w:color w:val="auto"/>
              </w:rPr>
            </w:pPr>
          </w:p>
        </w:tc>
        <w:tc>
          <w:tcPr>
            <w:tcW w:w="626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10.2 Performance Units..................................................</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16</w:t>
            </w:r>
          </w:p>
        </w:tc>
      </w:tr>
      <w:tr>
        <w:trPr>
          <w:trHeight w:val="166"/>
        </w:trPr>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(a)</w:t>
            </w:r>
          </w:p>
        </w:tc>
        <w:tc>
          <w:tcPr>
            <w:tcW w:w="5340" w:type="dxa"/>
            <w:vAlign w:val="bottom"/>
          </w:tcPr>
          <w:p>
            <w:pPr>
              <w:spacing w:after="0"/>
              <w:rPr>
                <w:sz w:val="20"/>
                <w:szCs w:val="20"/>
                <w:color w:val="auto"/>
              </w:rPr>
            </w:pPr>
            <w:r>
              <w:rPr>
                <w:rFonts w:ascii="Courier New" w:cs="Courier New" w:eastAsia="Courier New" w:hAnsi="Courier New"/>
                <w:sz w:val="14"/>
                <w:szCs w:val="14"/>
                <w:color w:val="auto"/>
              </w:rPr>
              <w:t>Vesting and Forfeiture........................................</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17</w:t>
            </w:r>
          </w:p>
        </w:tc>
      </w:tr>
      <w:tr>
        <w:trPr>
          <w:trHeight w:val="166"/>
        </w:trPr>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(b)</w:t>
            </w:r>
          </w:p>
        </w:tc>
        <w:tc>
          <w:tcPr>
            <w:tcW w:w="5340" w:type="dxa"/>
            <w:vAlign w:val="bottom"/>
          </w:tcPr>
          <w:p>
            <w:pPr>
              <w:spacing w:after="0"/>
              <w:rPr>
                <w:sz w:val="20"/>
                <w:szCs w:val="20"/>
                <w:color w:val="auto"/>
              </w:rPr>
            </w:pPr>
            <w:r>
              <w:rPr>
                <w:rFonts w:ascii="Courier New" w:cs="Courier New" w:eastAsia="Courier New" w:hAnsi="Courier New"/>
                <w:sz w:val="14"/>
                <w:szCs w:val="14"/>
                <w:color w:val="auto"/>
              </w:rPr>
              <w:t>Payment of Awards.............................................</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17</w:t>
            </w:r>
          </w:p>
        </w:tc>
      </w:tr>
      <w:tr>
        <w:trPr>
          <w:trHeight w:val="166"/>
        </w:trPr>
        <w:tc>
          <w:tcPr>
            <w:tcW w:w="300" w:type="dxa"/>
            <w:vAlign w:val="bottom"/>
          </w:tcPr>
          <w:p>
            <w:pPr>
              <w:spacing w:after="0"/>
              <w:rPr>
                <w:sz w:val="14"/>
                <w:szCs w:val="14"/>
                <w:color w:val="auto"/>
              </w:rPr>
            </w:pPr>
          </w:p>
        </w:tc>
        <w:tc>
          <w:tcPr>
            <w:tcW w:w="626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10.3 Performance Shares.................................................</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17</w:t>
            </w:r>
          </w:p>
        </w:tc>
      </w:tr>
      <w:tr>
        <w:trPr>
          <w:trHeight w:val="166"/>
        </w:trPr>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(a)</w:t>
            </w:r>
          </w:p>
        </w:tc>
        <w:tc>
          <w:tcPr>
            <w:tcW w:w="5340" w:type="dxa"/>
            <w:vAlign w:val="bottom"/>
          </w:tcPr>
          <w:p>
            <w:pPr>
              <w:spacing w:after="0"/>
              <w:rPr>
                <w:sz w:val="20"/>
                <w:szCs w:val="20"/>
                <w:color w:val="auto"/>
              </w:rPr>
            </w:pPr>
            <w:r>
              <w:rPr>
                <w:rFonts w:ascii="Courier New" w:cs="Courier New" w:eastAsia="Courier New" w:hAnsi="Courier New"/>
                <w:sz w:val="14"/>
                <w:szCs w:val="14"/>
                <w:color w:val="auto"/>
              </w:rPr>
              <w:t>Rights of Grantee.............................................</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17</w:t>
            </w:r>
          </w:p>
        </w:tc>
      </w:tr>
      <w:tr>
        <w:trPr>
          <w:trHeight w:val="166"/>
        </w:trPr>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(b)</w:t>
            </w:r>
          </w:p>
        </w:tc>
        <w:tc>
          <w:tcPr>
            <w:tcW w:w="5340" w:type="dxa"/>
            <w:vAlign w:val="bottom"/>
          </w:tcPr>
          <w:p>
            <w:pPr>
              <w:spacing w:after="0"/>
              <w:rPr>
                <w:sz w:val="20"/>
                <w:szCs w:val="20"/>
                <w:color w:val="auto"/>
              </w:rPr>
            </w:pPr>
            <w:r>
              <w:rPr>
                <w:rFonts w:ascii="Courier New" w:cs="Courier New" w:eastAsia="Courier New" w:hAnsi="Courier New"/>
                <w:sz w:val="14"/>
                <w:szCs w:val="14"/>
                <w:color w:val="auto"/>
              </w:rPr>
              <w:t>Non-transferability...........................................</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18</w:t>
            </w:r>
          </w:p>
        </w:tc>
      </w:tr>
      <w:tr>
        <w:trPr>
          <w:trHeight w:val="166"/>
        </w:trPr>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(c)</w:t>
            </w:r>
          </w:p>
        </w:tc>
        <w:tc>
          <w:tcPr>
            <w:tcW w:w="5340" w:type="dxa"/>
            <w:vAlign w:val="bottom"/>
          </w:tcPr>
          <w:p>
            <w:pPr>
              <w:spacing w:after="0"/>
              <w:rPr>
                <w:sz w:val="20"/>
                <w:szCs w:val="20"/>
                <w:color w:val="auto"/>
              </w:rPr>
            </w:pPr>
            <w:r>
              <w:rPr>
                <w:rFonts w:ascii="Courier New" w:cs="Courier New" w:eastAsia="Courier New" w:hAnsi="Courier New"/>
                <w:sz w:val="14"/>
                <w:szCs w:val="14"/>
                <w:color w:val="auto"/>
              </w:rPr>
              <w:t>Lapse of Restrictions.........................................</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18</w:t>
            </w:r>
          </w:p>
        </w:tc>
      </w:tr>
      <w:tr>
        <w:trPr>
          <w:trHeight w:val="166"/>
        </w:trPr>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(d)</w:t>
            </w:r>
          </w:p>
        </w:tc>
        <w:tc>
          <w:tcPr>
            <w:tcW w:w="5340" w:type="dxa"/>
            <w:vAlign w:val="bottom"/>
          </w:tcPr>
          <w:p>
            <w:pPr>
              <w:spacing w:after="0"/>
              <w:rPr>
                <w:sz w:val="20"/>
                <w:szCs w:val="20"/>
                <w:color w:val="auto"/>
              </w:rPr>
            </w:pPr>
            <w:r>
              <w:rPr>
                <w:rFonts w:ascii="Courier New" w:cs="Courier New" w:eastAsia="Courier New" w:hAnsi="Courier New"/>
                <w:sz w:val="14"/>
                <w:szCs w:val="14"/>
                <w:color w:val="auto"/>
              </w:rPr>
              <w:t>Treatment of Dividends........................................</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18</w:t>
            </w:r>
          </w:p>
        </w:tc>
      </w:tr>
      <w:tr>
        <w:trPr>
          <w:trHeight w:val="166"/>
        </w:trPr>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5340" w:type="dxa"/>
            <w:vAlign w:val="bottom"/>
          </w:tcPr>
          <w:p>
            <w:pPr>
              <w:spacing w:after="0"/>
              <w:rPr>
                <w:sz w:val="20"/>
                <w:szCs w:val="20"/>
                <w:color w:val="auto"/>
              </w:rPr>
            </w:pPr>
            <w:r>
              <w:rPr>
                <w:rFonts w:ascii="Courier New" w:cs="Courier New" w:eastAsia="Courier New" w:hAnsi="Courier New"/>
                <w:sz w:val="14"/>
                <w:szCs w:val="14"/>
                <w:color w:val="auto"/>
              </w:rPr>
              <w:t>Delivery of Shares............................................</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18</w:t>
            </w:r>
          </w:p>
        </w:tc>
      </w:tr>
      <w:tr>
        <w:trPr>
          <w:trHeight w:val="166"/>
        </w:trPr>
        <w:tc>
          <w:tcPr>
            <w:tcW w:w="300" w:type="dxa"/>
            <w:vAlign w:val="bottom"/>
          </w:tcPr>
          <w:p>
            <w:pPr>
              <w:spacing w:after="0"/>
              <w:rPr>
                <w:sz w:val="14"/>
                <w:szCs w:val="14"/>
                <w:color w:val="auto"/>
              </w:rPr>
            </w:pPr>
          </w:p>
        </w:tc>
        <w:tc>
          <w:tcPr>
            <w:tcW w:w="626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10.4 Effect of Change in Control........................................</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18</w:t>
            </w:r>
          </w:p>
        </w:tc>
      </w:tr>
      <w:tr>
        <w:trPr>
          <w:trHeight w:val="166"/>
        </w:trPr>
        <w:tc>
          <w:tcPr>
            <w:tcW w:w="300" w:type="dxa"/>
            <w:vAlign w:val="bottom"/>
          </w:tcPr>
          <w:p>
            <w:pPr>
              <w:spacing w:after="0"/>
              <w:rPr>
                <w:sz w:val="14"/>
                <w:szCs w:val="14"/>
                <w:color w:val="auto"/>
              </w:rPr>
            </w:pPr>
          </w:p>
        </w:tc>
        <w:tc>
          <w:tcPr>
            <w:tcW w:w="626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10.5 Non-transferability................................................</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19</w:t>
            </w:r>
          </w:p>
        </w:tc>
      </w:tr>
      <w:tr>
        <w:trPr>
          <w:trHeight w:val="166"/>
        </w:trPr>
        <w:tc>
          <w:tcPr>
            <w:tcW w:w="300" w:type="dxa"/>
            <w:vAlign w:val="bottom"/>
          </w:tcPr>
          <w:p>
            <w:pPr>
              <w:spacing w:after="0"/>
              <w:rPr>
                <w:sz w:val="14"/>
                <w:szCs w:val="14"/>
                <w:color w:val="auto"/>
              </w:rPr>
            </w:pPr>
          </w:p>
        </w:tc>
        <w:tc>
          <w:tcPr>
            <w:tcW w:w="626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10.6 Modification or Substitution.......................................</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19</w:t>
            </w:r>
          </w:p>
        </w:tc>
      </w:tr>
      <w:tr>
        <w:trPr>
          <w:trHeight w:val="331"/>
        </w:trPr>
        <w:tc>
          <w:tcPr>
            <w:tcW w:w="300" w:type="dxa"/>
            <w:vAlign w:val="bottom"/>
          </w:tcPr>
          <w:p>
            <w:pPr>
              <w:spacing w:after="0"/>
              <w:rPr>
                <w:sz w:val="20"/>
                <w:szCs w:val="20"/>
                <w:color w:val="auto"/>
              </w:rPr>
            </w:pPr>
            <w:r>
              <w:rPr>
                <w:rFonts w:ascii="Courier New" w:cs="Courier New" w:eastAsia="Courier New" w:hAnsi="Courier New"/>
                <w:sz w:val="14"/>
                <w:szCs w:val="14"/>
                <w:color w:val="auto"/>
              </w:rPr>
              <w:t>11.</w:t>
            </w:r>
          </w:p>
        </w:tc>
        <w:tc>
          <w:tcPr>
            <w:tcW w:w="9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Effect of</w:t>
            </w:r>
          </w:p>
        </w:tc>
        <w:tc>
          <w:tcPr>
            <w:tcW w:w="5340" w:type="dxa"/>
            <w:vAlign w:val="bottom"/>
          </w:tcPr>
          <w:p>
            <w:pPr>
              <w:spacing w:after="0"/>
              <w:rPr>
                <w:sz w:val="20"/>
                <w:szCs w:val="20"/>
                <w:color w:val="auto"/>
              </w:rPr>
            </w:pPr>
            <w:r>
              <w:rPr>
                <w:rFonts w:ascii="Courier New" w:cs="Courier New" w:eastAsia="Courier New" w:hAnsi="Courier New"/>
                <w:sz w:val="14"/>
                <w:szCs w:val="14"/>
                <w:color w:val="auto"/>
              </w:rPr>
              <w:t>a Termination of Employment or Service........................</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19</w:t>
            </w:r>
          </w:p>
        </w:tc>
      </w:tr>
      <w:tr>
        <w:trPr>
          <w:trHeight w:val="331"/>
        </w:trPr>
        <w:tc>
          <w:tcPr>
            <w:tcW w:w="300" w:type="dxa"/>
            <w:vAlign w:val="bottom"/>
          </w:tcPr>
          <w:p>
            <w:pPr>
              <w:spacing w:after="0"/>
              <w:rPr>
                <w:sz w:val="20"/>
                <w:szCs w:val="20"/>
                <w:color w:val="auto"/>
              </w:rPr>
            </w:pPr>
            <w:r>
              <w:rPr>
                <w:rFonts w:ascii="Courier New" w:cs="Courier New" w:eastAsia="Courier New" w:hAnsi="Courier New"/>
                <w:sz w:val="14"/>
                <w:szCs w:val="14"/>
                <w:color w:val="auto"/>
              </w:rPr>
              <w:t>12.</w:t>
            </w:r>
          </w:p>
        </w:tc>
        <w:tc>
          <w:tcPr>
            <w:tcW w:w="626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Adjustment Upon Changes in Capitalization...............................</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20</w:t>
            </w:r>
          </w:p>
        </w:tc>
      </w:tr>
      <w:tr>
        <w:trPr>
          <w:trHeight w:val="331"/>
        </w:trPr>
        <w:tc>
          <w:tcPr>
            <w:tcW w:w="300" w:type="dxa"/>
            <w:vAlign w:val="bottom"/>
          </w:tcPr>
          <w:p>
            <w:pPr>
              <w:spacing w:after="0"/>
              <w:rPr>
                <w:sz w:val="20"/>
                <w:szCs w:val="20"/>
                <w:color w:val="auto"/>
              </w:rPr>
            </w:pPr>
            <w:r>
              <w:rPr>
                <w:rFonts w:ascii="Courier New" w:cs="Courier New" w:eastAsia="Courier New" w:hAnsi="Courier New"/>
                <w:sz w:val="14"/>
                <w:szCs w:val="14"/>
                <w:color w:val="auto"/>
              </w:rPr>
              <w:t>13.</w:t>
            </w:r>
          </w:p>
        </w:tc>
        <w:tc>
          <w:tcPr>
            <w:tcW w:w="9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Effect of</w:t>
            </w:r>
          </w:p>
        </w:tc>
        <w:tc>
          <w:tcPr>
            <w:tcW w:w="5340" w:type="dxa"/>
            <w:vAlign w:val="bottom"/>
          </w:tcPr>
          <w:p>
            <w:pPr>
              <w:spacing w:after="0"/>
              <w:rPr>
                <w:sz w:val="20"/>
                <w:szCs w:val="20"/>
                <w:color w:val="auto"/>
              </w:rPr>
            </w:pPr>
            <w:r>
              <w:rPr>
                <w:rFonts w:ascii="Courier New" w:cs="Courier New" w:eastAsia="Courier New" w:hAnsi="Courier New"/>
                <w:sz w:val="14"/>
                <w:szCs w:val="14"/>
                <w:color w:val="auto"/>
              </w:rPr>
              <w:t>Certain Transactions..........................................</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20</w:t>
            </w:r>
          </w:p>
        </w:tc>
      </w:tr>
      <w:tr>
        <w:trPr>
          <w:trHeight w:val="331"/>
        </w:trPr>
        <w:tc>
          <w:tcPr>
            <w:tcW w:w="300" w:type="dxa"/>
            <w:vAlign w:val="bottom"/>
          </w:tcPr>
          <w:p>
            <w:pPr>
              <w:spacing w:after="0"/>
              <w:rPr>
                <w:sz w:val="20"/>
                <w:szCs w:val="20"/>
                <w:color w:val="auto"/>
              </w:rPr>
            </w:pPr>
            <w:r>
              <w:rPr>
                <w:rFonts w:ascii="Courier New" w:cs="Courier New" w:eastAsia="Courier New" w:hAnsi="Courier New"/>
                <w:sz w:val="14"/>
                <w:szCs w:val="14"/>
                <w:color w:val="auto"/>
              </w:rPr>
              <w:t>14.</w:t>
            </w:r>
          </w:p>
        </w:tc>
        <w:tc>
          <w:tcPr>
            <w:tcW w:w="626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Interpretation..........................................................</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20</w:t>
            </w:r>
          </w:p>
        </w:tc>
      </w:tr>
      <w:tr>
        <w:trPr>
          <w:trHeight w:val="331"/>
        </w:trPr>
        <w:tc>
          <w:tcPr>
            <w:tcW w:w="300" w:type="dxa"/>
            <w:vAlign w:val="bottom"/>
          </w:tcPr>
          <w:p>
            <w:pPr>
              <w:spacing w:after="0"/>
              <w:rPr>
                <w:sz w:val="20"/>
                <w:szCs w:val="20"/>
                <w:color w:val="auto"/>
              </w:rPr>
            </w:pPr>
            <w:r>
              <w:rPr>
                <w:rFonts w:ascii="Courier New" w:cs="Courier New" w:eastAsia="Courier New" w:hAnsi="Courier New"/>
                <w:sz w:val="14"/>
                <w:szCs w:val="14"/>
                <w:color w:val="auto"/>
              </w:rPr>
              <w:t>15.</w:t>
            </w:r>
          </w:p>
        </w:tc>
        <w:tc>
          <w:tcPr>
            <w:tcW w:w="626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Pooling Transactions....................................................</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21</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801488.1</w:t>
      </w:r>
    </w:p>
    <w:p>
      <w:pPr>
        <w:sectPr>
          <w:pgSz w:w="11900" w:h="16838" w:orient="portrait"/>
          <w:cols w:equalWidth="0" w:num="1">
            <w:col w:w="10239"/>
          </w:cols>
          <w:pgMar w:left="220" w:top="782"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16.</w:t>
            </w:r>
          </w:p>
        </w:tc>
        <w:tc>
          <w:tcPr>
            <w:tcW w:w="62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Termination and Amendment of the Plan...................................</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21</w:t>
            </w:r>
          </w:p>
        </w:tc>
      </w:tr>
      <w:tr>
        <w:trPr>
          <w:trHeight w:val="331"/>
        </w:trPr>
        <w:tc>
          <w:tcPr>
            <w:tcW w:w="300" w:type="dxa"/>
            <w:vAlign w:val="bottom"/>
          </w:tcPr>
          <w:p>
            <w:pPr>
              <w:spacing w:after="0"/>
              <w:rPr>
                <w:sz w:val="20"/>
                <w:szCs w:val="20"/>
                <w:color w:val="auto"/>
              </w:rPr>
            </w:pPr>
            <w:r>
              <w:rPr>
                <w:rFonts w:ascii="Courier New" w:cs="Courier New" w:eastAsia="Courier New" w:hAnsi="Courier New"/>
                <w:sz w:val="14"/>
                <w:szCs w:val="14"/>
                <w:color w:val="auto"/>
              </w:rPr>
              <w:t>17.</w:t>
            </w:r>
          </w:p>
        </w:tc>
        <w:tc>
          <w:tcPr>
            <w:tcW w:w="62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Non-Exclusivity of the Plan.............................................</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22</w:t>
            </w:r>
          </w:p>
        </w:tc>
      </w:tr>
      <w:tr>
        <w:trPr>
          <w:trHeight w:val="331"/>
        </w:trPr>
        <w:tc>
          <w:tcPr>
            <w:tcW w:w="300" w:type="dxa"/>
            <w:vAlign w:val="bottom"/>
          </w:tcPr>
          <w:p>
            <w:pPr>
              <w:spacing w:after="0"/>
              <w:rPr>
                <w:sz w:val="20"/>
                <w:szCs w:val="20"/>
                <w:color w:val="auto"/>
              </w:rPr>
            </w:pPr>
            <w:r>
              <w:rPr>
                <w:rFonts w:ascii="Courier New" w:cs="Courier New" w:eastAsia="Courier New" w:hAnsi="Courier New"/>
                <w:sz w:val="14"/>
                <w:szCs w:val="14"/>
                <w:color w:val="auto"/>
              </w:rPr>
              <w:t>18.</w:t>
            </w:r>
          </w:p>
        </w:tc>
        <w:tc>
          <w:tcPr>
            <w:tcW w:w="62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Limitation of Liability.................................................</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22</w:t>
            </w:r>
          </w:p>
        </w:tc>
      </w:tr>
      <w:tr>
        <w:trPr>
          <w:trHeight w:val="331"/>
        </w:trPr>
        <w:tc>
          <w:tcPr>
            <w:tcW w:w="300" w:type="dxa"/>
            <w:vAlign w:val="bottom"/>
          </w:tcPr>
          <w:p>
            <w:pPr>
              <w:spacing w:after="0"/>
              <w:rPr>
                <w:sz w:val="20"/>
                <w:szCs w:val="20"/>
                <w:color w:val="auto"/>
              </w:rPr>
            </w:pPr>
            <w:r>
              <w:rPr>
                <w:rFonts w:ascii="Courier New" w:cs="Courier New" w:eastAsia="Courier New" w:hAnsi="Courier New"/>
                <w:sz w:val="14"/>
                <w:szCs w:val="14"/>
                <w:color w:val="auto"/>
              </w:rPr>
              <w:t>19.</w:t>
            </w:r>
          </w:p>
        </w:tc>
        <w:tc>
          <w:tcPr>
            <w:tcW w:w="62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Regulations and Other Approvals; Governing Law..........................</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22</w:t>
            </w:r>
          </w:p>
        </w:tc>
      </w:tr>
      <w:tr>
        <w:trPr>
          <w:trHeight w:val="331"/>
        </w:trPr>
        <w:tc>
          <w:tcPr>
            <w:tcW w:w="300" w:type="dxa"/>
            <w:vAlign w:val="bottom"/>
          </w:tcPr>
          <w:p>
            <w:pPr>
              <w:spacing w:after="0"/>
              <w:rPr>
                <w:sz w:val="20"/>
                <w:szCs w:val="20"/>
                <w:color w:val="auto"/>
              </w:rPr>
            </w:pPr>
            <w:r>
              <w:rPr>
                <w:rFonts w:ascii="Courier New" w:cs="Courier New" w:eastAsia="Courier New" w:hAnsi="Courier New"/>
                <w:sz w:val="14"/>
                <w:szCs w:val="14"/>
                <w:color w:val="auto"/>
              </w:rPr>
              <w:t>20.</w:t>
            </w:r>
          </w:p>
        </w:tc>
        <w:tc>
          <w:tcPr>
            <w:tcW w:w="62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Miscellaneous...........................................................</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23</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20.1</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Multiple Agreements................................................</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23</w:t>
            </w:r>
          </w:p>
        </w:tc>
      </w:tr>
      <w:tr>
        <w:trPr>
          <w:trHeight w:val="166"/>
        </w:trPr>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20.2</w:t>
            </w:r>
          </w:p>
        </w:tc>
        <w:tc>
          <w:tcPr>
            <w:tcW w:w="5820" w:type="dxa"/>
            <w:vAlign w:val="bottom"/>
          </w:tcPr>
          <w:p>
            <w:pPr>
              <w:ind w:left="40"/>
              <w:spacing w:after="0"/>
              <w:rPr>
                <w:sz w:val="20"/>
                <w:szCs w:val="20"/>
                <w:color w:val="auto"/>
              </w:rPr>
            </w:pPr>
            <w:r>
              <w:rPr>
                <w:rFonts w:ascii="Courier New" w:cs="Courier New" w:eastAsia="Courier New" w:hAnsi="Courier New"/>
                <w:sz w:val="14"/>
                <w:szCs w:val="14"/>
                <w:color w:val="auto"/>
              </w:rPr>
              <w:t>Withholding of Taxes...............................................</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23</w:t>
            </w:r>
          </w:p>
        </w:tc>
      </w:tr>
      <w:tr>
        <w:trPr>
          <w:trHeight w:val="331"/>
        </w:trPr>
        <w:tc>
          <w:tcPr>
            <w:tcW w:w="300" w:type="dxa"/>
            <w:vAlign w:val="bottom"/>
          </w:tcPr>
          <w:p>
            <w:pPr>
              <w:spacing w:after="0"/>
              <w:rPr>
                <w:sz w:val="20"/>
                <w:szCs w:val="20"/>
                <w:color w:val="auto"/>
              </w:rPr>
            </w:pPr>
            <w:r>
              <w:rPr>
                <w:rFonts w:ascii="Courier New" w:cs="Courier New" w:eastAsia="Courier New" w:hAnsi="Courier New"/>
                <w:sz w:val="14"/>
                <w:szCs w:val="14"/>
                <w:color w:val="auto"/>
              </w:rPr>
              <w:t>21.</w:t>
            </w:r>
          </w:p>
        </w:tc>
        <w:tc>
          <w:tcPr>
            <w:tcW w:w="62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Effective Date..........................................................</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24</w:t>
            </w:r>
          </w:p>
        </w:tc>
      </w:tr>
      <w:tr>
        <w:trPr>
          <w:trHeight w:val="663"/>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801488.1</w:t>
            </w:r>
          </w:p>
        </w:tc>
        <w:tc>
          <w:tcPr>
            <w:tcW w:w="58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0239"/>
          </w:cols>
          <w:pgMar w:left="220" w:top="782" w:right="1440" w:bottom="1440" w:gutter="0" w:footer="0" w:header="0"/>
        </w:sectPr>
      </w:pPr>
    </w:p>
    <w:bookmarkStart w:id="13" w:name="page14"/>
    <w:bookmarkEnd w:id="13"/>
    <w:p>
      <w:pPr>
        <w:jc w:val="center"/>
        <w:ind w:right="3239"/>
        <w:spacing w:after="0"/>
        <w:rPr>
          <w:sz w:val="20"/>
          <w:szCs w:val="20"/>
          <w:color w:val="auto"/>
        </w:rPr>
      </w:pPr>
      <w:r>
        <w:rPr>
          <w:rFonts w:ascii="Courier New" w:cs="Courier New" w:eastAsia="Courier New" w:hAnsi="Courier New"/>
          <w:sz w:val="14"/>
          <w:szCs w:val="14"/>
          <w:color w:val="auto"/>
        </w:rPr>
        <w:t>ACADIA REALTY TRUST</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1999 SHARE INCENTIVE PLAN</w:t>
      </w:r>
    </w:p>
    <w:p>
      <w:pPr>
        <w:spacing w:after="0" w:line="338" w:lineRule="exact"/>
        <w:rPr>
          <w:sz w:val="20"/>
          <w:szCs w:val="20"/>
          <w:color w:val="auto"/>
        </w:rPr>
      </w:pPr>
    </w:p>
    <w:p>
      <w:pPr>
        <w:ind w:left="1480" w:hanging="524"/>
        <w:spacing w:after="0"/>
        <w:tabs>
          <w:tab w:leader="none" w:pos="14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w:t>
      </w:r>
    </w:p>
    <w:p>
      <w:pPr>
        <w:spacing w:after="0" w:line="173" w:lineRule="exact"/>
        <w:rPr>
          <w:sz w:val="20"/>
          <w:szCs w:val="20"/>
          <w:color w:val="auto"/>
        </w:rPr>
      </w:pPr>
    </w:p>
    <w:p>
      <w:pPr>
        <w:ind w:right="3339" w:firstLine="947"/>
        <w:spacing w:after="0" w:line="251" w:lineRule="auto"/>
        <w:rPr>
          <w:sz w:val="20"/>
          <w:szCs w:val="20"/>
          <w:color w:val="auto"/>
        </w:rPr>
      </w:pPr>
      <w:r>
        <w:rPr>
          <w:rFonts w:ascii="Courier New" w:cs="Courier New" w:eastAsia="Courier New" w:hAnsi="Courier New"/>
          <w:sz w:val="14"/>
          <w:szCs w:val="14"/>
          <w:color w:val="auto"/>
        </w:rPr>
        <w:t>The purpose of this Plan is to strengthen Acadia Realty Trust (the "Company") by providing an incentive to its officers, employees, consultants and directors and thereby encouraging them to devote their abilities and industry to the success of the Company's business enterprise. It is intended that this purpose be achieved by extending to officers, employees, consultants and directors of the Company and its subsidiaries an added long-term incentive for high levels of performance and unusual efforts through the grant of Incentive Share Options, Nonqualified Share Options, Share Appreciation Rights, Restricted Shares, Performance Units and Performance Shares (as each term is hereinafter defined).</w:t>
      </w:r>
    </w:p>
    <w:p>
      <w:pPr>
        <w:spacing w:after="0" w:line="329" w:lineRule="exact"/>
        <w:rPr>
          <w:sz w:val="20"/>
          <w:szCs w:val="20"/>
          <w:color w:val="auto"/>
        </w:rPr>
      </w:pPr>
    </w:p>
    <w:p>
      <w:pPr>
        <w:ind w:left="1480" w:hanging="524"/>
        <w:spacing w:after="0"/>
        <w:tabs>
          <w:tab w:leader="none" w:pos="14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172" w:lineRule="exact"/>
        <w:rPr>
          <w:rFonts w:ascii="Courier New" w:cs="Courier New" w:eastAsia="Courier New" w:hAnsi="Courier New"/>
          <w:sz w:val="14"/>
          <w:szCs w:val="14"/>
          <w:color w:val="auto"/>
        </w:rPr>
      </w:pPr>
    </w:p>
    <w:p>
      <w:pPr>
        <w:ind w:left="1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the Plan:</w:t>
      </w:r>
    </w:p>
    <w:p>
      <w:pPr>
        <w:spacing w:after="0" w:line="173" w:lineRule="exact"/>
        <w:rPr>
          <w:sz w:val="20"/>
          <w:szCs w:val="20"/>
          <w:color w:val="auto"/>
        </w:rPr>
      </w:pPr>
    </w:p>
    <w:p>
      <w:pPr>
        <w:ind w:right="3339" w:firstLine="1464"/>
        <w:spacing w:after="0" w:line="252" w:lineRule="auto"/>
        <w:rPr>
          <w:sz w:val="20"/>
          <w:szCs w:val="20"/>
          <w:color w:val="auto"/>
        </w:rPr>
      </w:pPr>
      <w:r>
        <w:rPr>
          <w:rFonts w:ascii="Courier New" w:cs="Courier New" w:eastAsia="Courier New" w:hAnsi="Courier New"/>
          <w:sz w:val="14"/>
          <w:szCs w:val="14"/>
          <w:color w:val="auto"/>
        </w:rPr>
        <w:t>2.1 "Agreement" means the written agreement between the Company and an Optionee or Grantee evidencing the grant of an Option or Award and setting forth the terms and conditions thereof.</w:t>
      </w:r>
    </w:p>
    <w:p>
      <w:pPr>
        <w:spacing w:after="0" w:line="163" w:lineRule="exact"/>
        <w:rPr>
          <w:sz w:val="20"/>
          <w:szCs w:val="20"/>
          <w:color w:val="auto"/>
        </w:rPr>
      </w:pPr>
    </w:p>
    <w:p>
      <w:pPr>
        <w:ind w:right="4019" w:firstLine="1464"/>
        <w:spacing w:after="0" w:line="255" w:lineRule="auto"/>
        <w:rPr>
          <w:sz w:val="20"/>
          <w:szCs w:val="20"/>
          <w:color w:val="auto"/>
        </w:rPr>
      </w:pPr>
      <w:r>
        <w:rPr>
          <w:rFonts w:ascii="Courier New" w:cs="Courier New" w:eastAsia="Courier New" w:hAnsi="Courier New"/>
          <w:sz w:val="14"/>
          <w:szCs w:val="14"/>
          <w:color w:val="auto"/>
        </w:rPr>
        <w:t>2.2 "Award" means a grant of Restricted Shares, a Share Appreciation Rights, a Performance Award or any or all of them.</w:t>
      </w:r>
    </w:p>
    <w:p>
      <w:pPr>
        <w:spacing w:after="0" w:line="16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2.3 "Board" means the Board of Trustees of the Company.</w:t>
      </w:r>
    </w:p>
    <w:p>
      <w:pPr>
        <w:spacing w:after="0" w:line="173" w:lineRule="exact"/>
        <w:rPr>
          <w:sz w:val="20"/>
          <w:szCs w:val="20"/>
          <w:color w:val="auto"/>
        </w:rPr>
      </w:pPr>
    </w:p>
    <w:p>
      <w:pPr>
        <w:ind w:right="3339" w:firstLine="1464"/>
        <w:spacing w:after="0" w:line="251" w:lineRule="auto"/>
        <w:rPr>
          <w:sz w:val="20"/>
          <w:szCs w:val="20"/>
          <w:color w:val="auto"/>
        </w:rPr>
      </w:pPr>
      <w:r>
        <w:rPr>
          <w:rFonts w:ascii="Courier New" w:cs="Courier New" w:eastAsia="Courier New" w:hAnsi="Courier New"/>
          <w:sz w:val="14"/>
          <w:szCs w:val="14"/>
          <w:color w:val="auto"/>
        </w:rPr>
        <w:t>2.4 "Cause" means, unless otherwise defined in the Agreement evidencing a particular Award or an employment agreement between the Company and the individual, an individual's (i) intentional failure to perform reasonably assigned duties, (ii) dishonesty or willful misconduct in the performance of duties, (iii) involvement in a transaction in connection with the performance of duties to the Company or any of its Subsidiaries thereof which transaction is adverse to the interests of the Company or any of its Subsidiaries and which is engaged in for personal profit, (iv) willful violation of any law, rule or regulation in connection with the performance of duties (other than traffic violations or similar offenses), or (v) the commission of an act of fraud or intentional misappropriation or conversion of assets or opportunities of the Company or any Subsidiary.</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2.5 "Change in Capitalization" means any increase or reduction in the number of Shares, or any change (including, but not limited to, a change in value) in the Shares or exchange of Shares for a different number or kind of shares or other securities of the Company, by reason of a reclassification, recapitalization, merger, consolidation,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801488.1</w:t>
      </w:r>
    </w:p>
    <w:p>
      <w:pPr>
        <w:sectPr>
          <w:pgSz w:w="11900" w:h="16838" w:orient="portrait"/>
          <w:cols w:equalWidth="0" w:num="1">
            <w:col w:w="10239"/>
          </w:cols>
          <w:pgMar w:left="220" w:top="782" w:right="1440" w:bottom="1440" w:gutter="0" w:footer="0" w:header="0"/>
        </w:sectPr>
      </w:pPr>
    </w:p>
    <w:bookmarkStart w:id="14" w:name="page15"/>
    <w:bookmarkEnd w:id="14"/>
    <w:p>
      <w:pPr>
        <w:ind w:right="3519"/>
        <w:spacing w:after="0" w:line="252" w:lineRule="auto"/>
        <w:rPr>
          <w:sz w:val="20"/>
          <w:szCs w:val="20"/>
          <w:color w:val="auto"/>
        </w:rPr>
      </w:pPr>
      <w:r>
        <w:rPr>
          <w:rFonts w:ascii="Courier New" w:cs="Courier New" w:eastAsia="Courier New" w:hAnsi="Courier New"/>
          <w:sz w:val="14"/>
          <w:szCs w:val="14"/>
          <w:color w:val="auto"/>
        </w:rPr>
        <w:t>reorganization, spin-off, split-up, issuance of warrants or rights or debentures, share dividend, share split or reverse share split, cash dividend, property dividend, combination or exchange of shares, repurchase of shares, change in corporate structure or otherwise.</w:t>
      </w:r>
    </w:p>
    <w:p>
      <w:pPr>
        <w:spacing w:after="0" w:line="162" w:lineRule="exact"/>
        <w:rPr>
          <w:sz w:val="20"/>
          <w:szCs w:val="20"/>
          <w:color w:val="auto"/>
        </w:rPr>
      </w:pPr>
    </w:p>
    <w:p>
      <w:pPr>
        <w:ind w:right="3419" w:firstLine="1464"/>
        <w:spacing w:after="0" w:line="255" w:lineRule="auto"/>
        <w:rPr>
          <w:sz w:val="20"/>
          <w:szCs w:val="20"/>
          <w:color w:val="auto"/>
        </w:rPr>
      </w:pPr>
      <w:r>
        <w:rPr>
          <w:rFonts w:ascii="Courier New" w:cs="Courier New" w:eastAsia="Courier New" w:hAnsi="Courier New"/>
          <w:sz w:val="14"/>
          <w:szCs w:val="14"/>
          <w:color w:val="auto"/>
        </w:rPr>
        <w:t>2.6 A "Change in Control" shall mean the occurrence during the term of the Plan of:</w:t>
      </w:r>
    </w:p>
    <w:p>
      <w:pPr>
        <w:spacing w:after="0" w:line="160" w:lineRule="exact"/>
        <w:rPr>
          <w:sz w:val="20"/>
          <w:szCs w:val="20"/>
          <w:color w:val="auto"/>
        </w:rPr>
      </w:pPr>
    </w:p>
    <w:p>
      <w:pPr>
        <w:ind w:left="1040" w:right="3339" w:firstLine="863"/>
        <w:spacing w:after="0" w:line="250" w:lineRule="auto"/>
        <w:tabs>
          <w:tab w:leader="none" w:pos="2246"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acquisition (other than directly from the Company) of any voting securities of the Company (the "Voting Securities") by any "Person" (as the term person is used for purposes of Section 13(d) or 14(d) of the Exchange Act) immediately after which such Person has "Beneficial Ownership" (within the meaning of Rule 13d-3 promulgated under the Exchange Act) of fifty percent (50%) or more of the combined voting power of the Company's then outstanding Voting Securities; provided, however, in determining whether a Change in Control has occurred, Voting Securities which are acquired in a "Non-Control Acquisition" (as hereinafter defined) shall not constitute an acquisition which would cause a Change in Control. A "Non-Control Acquisition" shall mean an acquisition by (i) an employee benefit plan (or a trust forming a part thereof) maintained by (A) the Company or (B) any corporation or other Person of which a majority of its voting power or its voting equity securities or equity interest is owned, directly or indirectly, by the Company (for purposes of this definition, a "Subsidiary"), (ii) the Company or its Subsidiaries, or (iii) any Person in connection with a "Non-Control Transaction" (as hereinafter defined).</w:t>
      </w:r>
    </w:p>
    <w:p>
      <w:pPr>
        <w:spacing w:after="0" w:line="173" w:lineRule="exact"/>
        <w:rPr>
          <w:rFonts w:ascii="Courier New" w:cs="Courier New" w:eastAsia="Courier New" w:hAnsi="Courier New"/>
          <w:sz w:val="14"/>
          <w:szCs w:val="14"/>
          <w:color w:val="auto"/>
        </w:rPr>
      </w:pPr>
    </w:p>
    <w:p>
      <w:pPr>
        <w:ind w:left="1040" w:right="3339" w:firstLine="863"/>
        <w:spacing w:after="0" w:line="250" w:lineRule="auto"/>
        <w:tabs>
          <w:tab w:leader="none" w:pos="2246"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individuals who, as of January 1, 1999, are members of the Board (the "Incumbent Board"), cease for any reason to constitute at least two-thirds of the members of the Board; provided, however, that if the election, or nomination for election by the Company's common shareholders, of any new director was approved by a vote of at least two-thirds of the Incumbent Board, such new director shall, for purposes of this Plan, be considered as a member of the Incumbent Board; provided further, however,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(a "Proxy Contest") including by reason of any agreement intended to avoid or settle any Election Contest or Proxy Contest; or</w:t>
      </w:r>
    </w:p>
    <w:p>
      <w:pPr>
        <w:spacing w:after="0" w:line="172" w:lineRule="exact"/>
        <w:rPr>
          <w:rFonts w:ascii="Courier New" w:cs="Courier New" w:eastAsia="Courier New" w:hAnsi="Courier New"/>
          <w:sz w:val="14"/>
          <w:szCs w:val="14"/>
          <w:color w:val="auto"/>
        </w:rPr>
      </w:pPr>
    </w:p>
    <w:p>
      <w:pPr>
        <w:ind w:left="2240" w:hanging="337"/>
        <w:spacing w:after="0"/>
        <w:tabs>
          <w:tab w:leader="none" w:pos="22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shareholders of the Company of:</w:t>
      </w:r>
    </w:p>
    <w:p>
      <w:pPr>
        <w:spacing w:after="0" w:line="172" w:lineRule="exact"/>
        <w:rPr>
          <w:rFonts w:ascii="Courier New" w:cs="Courier New" w:eastAsia="Courier New" w:hAnsi="Courier New"/>
          <w:sz w:val="14"/>
          <w:szCs w:val="14"/>
          <w:color w:val="auto"/>
        </w:rPr>
      </w:pPr>
    </w:p>
    <w:p>
      <w:pPr>
        <w:ind w:left="1560" w:right="3419" w:firstLine="860"/>
        <w:spacing w:after="0" w:line="251" w:lineRule="auto"/>
        <w:tabs>
          <w:tab w:leader="none" w:pos="2766"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merger, consolidation or reorganization involving the Company, unless such merger, consolidation or reorganization is a "Non-Control Transaction." A "Non-Control Transaction" shall mean a merger, consolidation or reorganization of the Company where: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801488.1</w:t>
      </w:r>
    </w:p>
    <w:p>
      <w:pPr>
        <w:sectPr>
          <w:pgSz w:w="11900" w:h="16838" w:orient="portrait"/>
          <w:cols w:equalWidth="0" w:num="1">
            <w:col w:w="10239"/>
          </w:cols>
          <w:pgMar w:left="220" w:top="948" w:right="1440" w:bottom="1440" w:gutter="0" w:footer="0" w:header="0"/>
        </w:sectPr>
      </w:pPr>
    </w:p>
    <w:bookmarkStart w:id="15" w:name="page16"/>
    <w:bookmarkEnd w:id="15"/>
    <w:p>
      <w:pPr>
        <w:ind w:left="2080" w:right="3339" w:firstLine="685"/>
        <w:spacing w:after="0" w:line="251" w:lineRule="auto"/>
        <w:tabs>
          <w:tab w:leader="none" w:pos="3114"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of the Company, immediately before such merger, consolidation or reorganization, own, directly or indirectly immediately following such merger, consolidation or reorganization, at least fifty percent (50%) of the combined voting power of the outstanding voting securities of the corporation resulting from such merger or consolidation or reorganization (the "Surviving Corporation") in substantially the same proportion as their ownership of the Voting Securities immediately before such merger, consolidation or reorganization,</w:t>
      </w:r>
    </w:p>
    <w:p>
      <w:pPr>
        <w:spacing w:after="0" w:line="329" w:lineRule="exact"/>
        <w:rPr>
          <w:rFonts w:ascii="Courier New" w:cs="Courier New" w:eastAsia="Courier New" w:hAnsi="Courier New"/>
          <w:sz w:val="14"/>
          <w:szCs w:val="14"/>
          <w:color w:val="auto"/>
        </w:rPr>
      </w:pPr>
    </w:p>
    <w:p>
      <w:pPr>
        <w:ind w:left="2080" w:right="3339" w:firstLine="685"/>
        <w:spacing w:after="0" w:line="251" w:lineRule="auto"/>
        <w:tabs>
          <w:tab w:leader="none" w:pos="3114"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individuals who were members of the Incumbent Board immediately prior to the execution of the agreement providing for such merger, consolidation or reorganization constitute at least two-thirds of the members of the board of directors of the Surviving Corporation, or a corporation beneficially directly or indirectly owning a majority of the Voting Securities of the Surviving Corporation, and</w:t>
      </w:r>
    </w:p>
    <w:p>
      <w:pPr>
        <w:spacing w:after="0" w:line="163" w:lineRule="exact"/>
        <w:rPr>
          <w:rFonts w:ascii="Courier New" w:cs="Courier New" w:eastAsia="Courier New" w:hAnsi="Courier New"/>
          <w:sz w:val="14"/>
          <w:szCs w:val="14"/>
          <w:color w:val="auto"/>
        </w:rPr>
      </w:pPr>
    </w:p>
    <w:p>
      <w:pPr>
        <w:ind w:left="2080" w:right="3339" w:firstLine="685"/>
        <w:spacing w:after="0" w:line="251" w:lineRule="auto"/>
        <w:tabs>
          <w:tab w:leader="none" w:pos="3114"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Person other than (i) the Company, (ii) any Subsidiary, (iii) any employee benefit plan (or any trust forming a part thereof) maintained by the Company, the Surviving Corporation, or any Subsidiary, or (iv) any Person who, immediately prior to such merger, consolidation or reorganization had Beneficial Ownership of fifty percent (50%) or more of the then outstanding Voting Securities has Beneficial Ownership of fifty percent (50%) or more of the combined voting power of the Surviving Corporation's then outstanding voting securities.</w:t>
      </w:r>
    </w:p>
    <w:p>
      <w:pPr>
        <w:spacing w:after="0" w:line="163" w:lineRule="exact"/>
        <w:rPr>
          <w:rFonts w:ascii="Courier New" w:cs="Courier New" w:eastAsia="Courier New" w:hAnsi="Courier New"/>
          <w:sz w:val="14"/>
          <w:szCs w:val="14"/>
          <w:color w:val="auto"/>
        </w:rPr>
      </w:pPr>
    </w:p>
    <w:p>
      <w:pPr>
        <w:ind w:left="2860" w:hanging="440"/>
        <w:spacing w:after="0"/>
        <w:tabs>
          <w:tab w:leader="none" w:pos="28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complete liquidation or dissolution of the</w:t>
      </w:r>
    </w:p>
    <w:p>
      <w:pPr>
        <w:spacing w:after="0" w:line="7"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Company; or</w:t>
      </w:r>
    </w:p>
    <w:p>
      <w:pPr>
        <w:spacing w:after="0" w:line="172" w:lineRule="exact"/>
        <w:rPr>
          <w:rFonts w:ascii="Courier New" w:cs="Courier New" w:eastAsia="Courier New" w:hAnsi="Courier New"/>
          <w:sz w:val="14"/>
          <w:szCs w:val="14"/>
          <w:color w:val="auto"/>
        </w:rPr>
      </w:pPr>
    </w:p>
    <w:p>
      <w:pPr>
        <w:jc w:val="both"/>
        <w:ind w:left="1560" w:right="3339" w:firstLine="860"/>
        <w:spacing w:after="0" w:line="252" w:lineRule="auto"/>
        <w:tabs>
          <w:tab w:leader="none" w:pos="2938"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definitive agreement for the sale or other disposition of all or substantially all of the assets of the Company to any Person (other than a transfer to a Subsidiary).</w:t>
      </w:r>
    </w:p>
    <w:p>
      <w:pPr>
        <w:spacing w:after="0" w:line="163" w:lineRule="exact"/>
        <w:rPr>
          <w:sz w:val="20"/>
          <w:szCs w:val="20"/>
          <w:color w:val="auto"/>
        </w:rPr>
      </w:pPr>
    </w:p>
    <w:p>
      <w:pPr>
        <w:ind w:right="3519" w:firstLine="1034"/>
        <w:spacing w:after="0" w:line="251" w:lineRule="auto"/>
        <w:rPr>
          <w:sz w:val="20"/>
          <w:szCs w:val="20"/>
          <w:color w:val="auto"/>
        </w:rPr>
      </w:pPr>
      <w:r>
        <w:rPr>
          <w:rFonts w:ascii="Courier New" w:cs="Courier New" w:eastAsia="Courier New" w:hAnsi="Courier New"/>
          <w:sz w:val="14"/>
          <w:szCs w:val="14"/>
          <w:color w:val="auto"/>
        </w:rPr>
        <w:t>Notwithstanding the foregoing, a Change in Control shall not be deemed to occur solely because any Person (the "Subject Person") acquired Beneficial Ownership of more than the permitted amount of the then outstanding Voting Securities as a result of the acquisition of Voting Securities by the Company which, by reducing the number of Voting Securities outstanding, increases the proportional number of shares Beneficially Owned by the Subject Persons. If a Change in Control would occur (but for the operation of this sentence) as a result of the acquisition of Voting Securities by the Company, the Board shall take action to either (i) affirm the permitted amount of then outstanding Voting Securities or (ii) adjust such number, before a Change in Control shall occur.</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801488.1</w:t>
      </w:r>
    </w:p>
    <w:p>
      <w:pPr>
        <w:sectPr>
          <w:pgSz w:w="11900" w:h="16838" w:orient="portrait"/>
          <w:cols w:equalWidth="0" w:num="1">
            <w:col w:w="10239"/>
          </w:cols>
          <w:pgMar w:left="220" w:top="948" w:right="1440" w:bottom="1440" w:gutter="0" w:footer="0" w:header="0"/>
        </w:sectPr>
      </w:pPr>
    </w:p>
    <w:bookmarkStart w:id="16" w:name="page17"/>
    <w:bookmarkEnd w:id="16"/>
    <w:p>
      <w:pPr>
        <w:ind w:left="1560"/>
        <w:spacing w:after="0"/>
        <w:rPr>
          <w:sz w:val="20"/>
          <w:szCs w:val="20"/>
          <w:color w:val="auto"/>
        </w:rPr>
      </w:pPr>
      <w:r>
        <w:rPr>
          <w:rFonts w:ascii="Courier New" w:cs="Courier New" w:eastAsia="Courier New" w:hAnsi="Courier New"/>
          <w:sz w:val="14"/>
          <w:szCs w:val="14"/>
          <w:color w:val="auto"/>
        </w:rPr>
        <w:t>2.7 "Code" means the Internal Revenue Code of 1986,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w:t>
      </w:r>
    </w:p>
    <w:p>
      <w:pPr>
        <w:spacing w:after="0" w:line="173" w:lineRule="exact"/>
        <w:rPr>
          <w:sz w:val="20"/>
          <w:szCs w:val="20"/>
          <w:color w:val="auto"/>
        </w:rPr>
      </w:pPr>
    </w:p>
    <w:p>
      <w:pPr>
        <w:jc w:val="both"/>
        <w:ind w:right="3419" w:firstLine="1550"/>
        <w:spacing w:after="0" w:line="252" w:lineRule="auto"/>
        <w:rPr>
          <w:sz w:val="20"/>
          <w:szCs w:val="20"/>
          <w:color w:val="auto"/>
        </w:rPr>
      </w:pPr>
      <w:r>
        <w:rPr>
          <w:rFonts w:ascii="Courier New" w:cs="Courier New" w:eastAsia="Courier New" w:hAnsi="Courier New"/>
          <w:sz w:val="14"/>
          <w:szCs w:val="14"/>
          <w:color w:val="auto"/>
        </w:rPr>
        <w:t>2.8 "Committee" means a committee as described in Section 3.1 consisting of at least two (2) nonemployee trustees within the meaning of Rule 16b-3 under the Exchange Act appointed by the Board to administer the Plan and to perform the functions set forth herein.</w:t>
      </w:r>
    </w:p>
    <w:p>
      <w:pPr>
        <w:spacing w:after="0" w:line="16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2.9 "Company" means Acadia Realty Trust.</w:t>
      </w:r>
    </w:p>
    <w:p>
      <w:pPr>
        <w:spacing w:after="0" w:line="173" w:lineRule="exact"/>
        <w:rPr>
          <w:sz w:val="20"/>
          <w:szCs w:val="20"/>
          <w:color w:val="auto"/>
        </w:rPr>
      </w:pPr>
    </w:p>
    <w:p>
      <w:pPr>
        <w:jc w:val="both"/>
        <w:ind w:right="3419" w:firstLine="1550"/>
        <w:spacing w:after="0" w:line="252" w:lineRule="auto"/>
        <w:rPr>
          <w:sz w:val="20"/>
          <w:szCs w:val="20"/>
          <w:color w:val="auto"/>
        </w:rPr>
      </w:pPr>
      <w:r>
        <w:rPr>
          <w:rFonts w:ascii="Courier New" w:cs="Courier New" w:eastAsia="Courier New" w:hAnsi="Courier New"/>
          <w:sz w:val="14"/>
          <w:szCs w:val="14"/>
          <w:color w:val="auto"/>
        </w:rPr>
        <w:t>2.10 "Disability" means a physical or mental infirmity which impairs the Optionee's ability to perform substantially his or her duties for a period of one hundred eighty (180) consecutive days.</w:t>
      </w:r>
    </w:p>
    <w:p>
      <w:pPr>
        <w:spacing w:after="0" w:line="16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2.11 "Discretionary Option" means an Option granted pursuant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Section 6.</w:t>
      </w:r>
    </w:p>
    <w:p>
      <w:pPr>
        <w:spacing w:after="0" w:line="173" w:lineRule="exact"/>
        <w:rPr>
          <w:sz w:val="20"/>
          <w:szCs w:val="20"/>
          <w:color w:val="auto"/>
        </w:rPr>
      </w:pPr>
    </w:p>
    <w:p>
      <w:pPr>
        <w:jc w:val="both"/>
        <w:ind w:right="3419" w:firstLine="1550"/>
        <w:spacing w:after="0" w:line="252" w:lineRule="auto"/>
        <w:rPr>
          <w:sz w:val="20"/>
          <w:szCs w:val="20"/>
          <w:color w:val="auto"/>
        </w:rPr>
      </w:pPr>
      <w:r>
        <w:rPr>
          <w:rFonts w:ascii="Courier New" w:cs="Courier New" w:eastAsia="Courier New" w:hAnsi="Courier New"/>
          <w:sz w:val="14"/>
          <w:szCs w:val="14"/>
          <w:color w:val="auto"/>
        </w:rPr>
        <w:t>2.12 "Dividend Equivalent Right" means a right to receive all or some portion of the cash dividends that are or would be payable with respect to Shares.</w:t>
      </w:r>
    </w:p>
    <w:p>
      <w:pPr>
        <w:spacing w:after="0" w:line="163" w:lineRule="exact"/>
        <w:rPr>
          <w:sz w:val="20"/>
          <w:szCs w:val="20"/>
          <w:color w:val="auto"/>
        </w:rPr>
      </w:pPr>
    </w:p>
    <w:p>
      <w:pPr>
        <w:jc w:val="both"/>
        <w:ind w:right="3419" w:firstLine="1550"/>
        <w:spacing w:after="0" w:line="255" w:lineRule="auto"/>
        <w:rPr>
          <w:sz w:val="20"/>
          <w:szCs w:val="20"/>
          <w:color w:val="auto"/>
        </w:rPr>
      </w:pPr>
      <w:r>
        <w:rPr>
          <w:rFonts w:ascii="Courier New" w:cs="Courier New" w:eastAsia="Courier New" w:hAnsi="Courier New"/>
          <w:sz w:val="14"/>
          <w:szCs w:val="14"/>
          <w:color w:val="auto"/>
        </w:rPr>
        <w:t>2.13 "Division" means any of the operating units or divisions of the Company designated as a Division by the Committee.</w:t>
      </w:r>
    </w:p>
    <w:p>
      <w:pPr>
        <w:spacing w:after="0" w:line="160"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2.14 "Eligible Individual" means any officer, employee, consultant or director of the Company or a Subsidiary designated by the Committee as eligible to receive Options or Awards subject to the conditions set forth herein.</w:t>
      </w:r>
    </w:p>
    <w:p>
      <w:pPr>
        <w:spacing w:after="0" w:line="16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2.15 "Exchange Act" means the Securities Exchange Act of 1934,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amended.</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2.16 "Fair Market Value" on any date means the average of the high and low sales prices of the Shares on such date on the principal national securities exchange on which such Shares are listed or admitted to trading, or, if such Shares are not so listed or admitted to trading, the arithmetic mean of the per Share closing bid price and per Share closing asked price on such date as quoted on the National Association of Securities Dealers Automated Quotation System or such other market in which such prices are regularly quoted, or, if there have been no published bid or asked quotations with respect to Shares on such date, the Fair Market Value shall be the value established by the Board in good faith and, in the case of an Incentive Share Option, in accordance with Section 422 of the Code.</w:t>
      </w:r>
    </w:p>
    <w:p>
      <w:pPr>
        <w:spacing w:after="0" w:line="163" w:lineRule="exact"/>
        <w:rPr>
          <w:sz w:val="20"/>
          <w:szCs w:val="20"/>
          <w:color w:val="auto"/>
        </w:rPr>
      </w:pPr>
    </w:p>
    <w:p>
      <w:pPr>
        <w:ind w:right="3339" w:firstLine="1550"/>
        <w:spacing w:after="0" w:line="255" w:lineRule="auto"/>
        <w:rPr>
          <w:sz w:val="20"/>
          <w:szCs w:val="20"/>
          <w:color w:val="auto"/>
        </w:rPr>
      </w:pPr>
      <w:r>
        <w:rPr>
          <w:rFonts w:ascii="Courier New" w:cs="Courier New" w:eastAsia="Courier New" w:hAnsi="Courier New"/>
          <w:sz w:val="14"/>
          <w:szCs w:val="14"/>
          <w:color w:val="auto"/>
        </w:rPr>
        <w:t>2.17 "Fully Diluted Shares" means all Shares and any operating partnership units convertible into Shares.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801488.1</w:t>
      </w:r>
    </w:p>
    <w:p>
      <w:pPr>
        <w:sectPr>
          <w:pgSz w:w="11900" w:h="16838" w:orient="portrait"/>
          <w:cols w:equalWidth="0" w:num="1">
            <w:col w:w="10239"/>
          </w:cols>
          <w:pgMar w:left="220" w:top="947" w:right="1440" w:bottom="1440" w:gutter="0" w:footer="0" w:header="0"/>
        </w:sectPr>
      </w:pPr>
    </w:p>
    <w:bookmarkStart w:id="17" w:name="page18"/>
    <w:bookmarkEnd w:id="17"/>
    <w:p>
      <w:pPr>
        <w:ind w:right="3939" w:firstLine="1550"/>
        <w:spacing w:after="0" w:line="255" w:lineRule="auto"/>
        <w:rPr>
          <w:sz w:val="20"/>
          <w:szCs w:val="20"/>
          <w:color w:val="auto"/>
        </w:rPr>
      </w:pPr>
      <w:r>
        <w:rPr>
          <w:rFonts w:ascii="Courier New" w:cs="Courier New" w:eastAsia="Courier New" w:hAnsi="Courier New"/>
          <w:sz w:val="14"/>
          <w:szCs w:val="14"/>
          <w:color w:val="auto"/>
        </w:rPr>
        <w:t>2.18 "Grantee" means a person to whom an Award has been granted under the Plan.</w:t>
      </w:r>
    </w:p>
    <w:p>
      <w:pPr>
        <w:spacing w:after="0" w:line="160"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2.19 "Incentive Share Option" means an Option satisfying the requirements of Section 422 of the Code and designated by the Committee as an Incentive Share Option.</w:t>
      </w:r>
    </w:p>
    <w:p>
      <w:pPr>
        <w:spacing w:after="0" w:line="163" w:lineRule="exact"/>
        <w:rPr>
          <w:sz w:val="20"/>
          <w:szCs w:val="20"/>
          <w:color w:val="auto"/>
        </w:rPr>
      </w:pPr>
    </w:p>
    <w:p>
      <w:pPr>
        <w:ind w:right="3419" w:firstLine="1550"/>
        <w:spacing w:after="0" w:line="255" w:lineRule="auto"/>
        <w:rPr>
          <w:sz w:val="20"/>
          <w:szCs w:val="20"/>
          <w:color w:val="auto"/>
        </w:rPr>
      </w:pPr>
      <w:r>
        <w:rPr>
          <w:rFonts w:ascii="Courier New" w:cs="Courier New" w:eastAsia="Courier New" w:hAnsi="Courier New"/>
          <w:sz w:val="14"/>
          <w:szCs w:val="14"/>
          <w:color w:val="auto"/>
        </w:rPr>
        <w:t>2.20 "Nonemployee Trustee" means a trustee of the Company who is not an employee of the Company or any Subsidiary.</w:t>
      </w:r>
    </w:p>
    <w:p>
      <w:pPr>
        <w:spacing w:after="0" w:line="160" w:lineRule="exact"/>
        <w:rPr>
          <w:sz w:val="20"/>
          <w:szCs w:val="20"/>
          <w:color w:val="auto"/>
        </w:rPr>
      </w:pPr>
    </w:p>
    <w:p>
      <w:pPr>
        <w:ind w:right="3419" w:firstLine="1550"/>
        <w:spacing w:after="0" w:line="255" w:lineRule="auto"/>
        <w:rPr>
          <w:sz w:val="20"/>
          <w:szCs w:val="20"/>
          <w:color w:val="auto"/>
        </w:rPr>
      </w:pPr>
      <w:r>
        <w:rPr>
          <w:rFonts w:ascii="Courier New" w:cs="Courier New" w:eastAsia="Courier New" w:hAnsi="Courier New"/>
          <w:sz w:val="14"/>
          <w:szCs w:val="14"/>
          <w:color w:val="auto"/>
        </w:rPr>
        <w:t>2.21 "Nonqualified Share Option" means an Option which is not an Incentive Share Option.</w:t>
      </w:r>
    </w:p>
    <w:p>
      <w:pPr>
        <w:spacing w:after="0" w:line="160" w:lineRule="exact"/>
        <w:rPr>
          <w:sz w:val="20"/>
          <w:szCs w:val="20"/>
          <w:color w:val="auto"/>
        </w:rPr>
      </w:pPr>
    </w:p>
    <w:p>
      <w:pPr>
        <w:ind w:right="3339" w:firstLine="1550"/>
        <w:spacing w:after="0" w:line="255" w:lineRule="auto"/>
        <w:rPr>
          <w:sz w:val="20"/>
          <w:szCs w:val="20"/>
          <w:color w:val="auto"/>
        </w:rPr>
      </w:pPr>
      <w:r>
        <w:rPr>
          <w:rFonts w:ascii="Courier New" w:cs="Courier New" w:eastAsia="Courier New" w:hAnsi="Courier New"/>
          <w:sz w:val="14"/>
          <w:szCs w:val="14"/>
          <w:color w:val="auto"/>
        </w:rPr>
        <w:t>2.22 "Option" means an Discretionary Option, a Trustee Option, or either or both of them.</w:t>
      </w:r>
    </w:p>
    <w:p>
      <w:pPr>
        <w:spacing w:after="0" w:line="160" w:lineRule="exact"/>
        <w:rPr>
          <w:sz w:val="20"/>
          <w:szCs w:val="20"/>
          <w:color w:val="auto"/>
        </w:rPr>
      </w:pPr>
    </w:p>
    <w:p>
      <w:pPr>
        <w:ind w:right="3779" w:firstLine="1550"/>
        <w:spacing w:after="0" w:line="255" w:lineRule="auto"/>
        <w:rPr>
          <w:sz w:val="20"/>
          <w:szCs w:val="20"/>
          <w:color w:val="auto"/>
        </w:rPr>
      </w:pPr>
      <w:r>
        <w:rPr>
          <w:rFonts w:ascii="Courier New" w:cs="Courier New" w:eastAsia="Courier New" w:hAnsi="Courier New"/>
          <w:sz w:val="14"/>
          <w:szCs w:val="14"/>
          <w:color w:val="auto"/>
        </w:rPr>
        <w:t>2.23 "Optionee" means a person to whom an Option has been granted under the Plan.</w:t>
      </w:r>
    </w:p>
    <w:p>
      <w:pPr>
        <w:spacing w:after="0" w:line="160"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2.24 "Parent" means any corporation which is a parent corporation (within the meaning of Section 424(e) of the Code) with respect to the Company.</w:t>
      </w:r>
    </w:p>
    <w:p>
      <w:pPr>
        <w:spacing w:after="0" w:line="163" w:lineRule="exact"/>
        <w:rPr>
          <w:sz w:val="20"/>
          <w:szCs w:val="20"/>
          <w:color w:val="auto"/>
        </w:rPr>
      </w:pPr>
    </w:p>
    <w:p>
      <w:pPr>
        <w:ind w:right="3339" w:firstLine="1550"/>
        <w:spacing w:after="0" w:line="255" w:lineRule="auto"/>
        <w:rPr>
          <w:sz w:val="20"/>
          <w:szCs w:val="20"/>
          <w:color w:val="auto"/>
        </w:rPr>
      </w:pPr>
      <w:r>
        <w:rPr>
          <w:rFonts w:ascii="Courier New" w:cs="Courier New" w:eastAsia="Courier New" w:hAnsi="Courier New"/>
          <w:sz w:val="14"/>
          <w:szCs w:val="14"/>
          <w:color w:val="auto"/>
        </w:rPr>
        <w:t>2.25 "Performance Awards" means Performance Units, Performance Shares or either or both of them.</w:t>
      </w:r>
    </w:p>
    <w:p>
      <w:pPr>
        <w:spacing w:after="0" w:line="160"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2.26 "Performance Cycle" means the time period specified by the Committee at the time a Performance Award is granted during which the performance of the Company, a Subsidiary or a Division will be measured.</w:t>
      </w:r>
    </w:p>
    <w:p>
      <w:pPr>
        <w:spacing w:after="0" w:line="163" w:lineRule="exact"/>
        <w:rPr>
          <w:sz w:val="20"/>
          <w:szCs w:val="20"/>
          <w:color w:val="auto"/>
        </w:rPr>
      </w:pPr>
    </w:p>
    <w:p>
      <w:pPr>
        <w:ind w:right="3519" w:firstLine="1550"/>
        <w:spacing w:after="0" w:line="255" w:lineRule="auto"/>
        <w:rPr>
          <w:sz w:val="20"/>
          <w:szCs w:val="20"/>
          <w:color w:val="auto"/>
        </w:rPr>
      </w:pPr>
      <w:r>
        <w:rPr>
          <w:rFonts w:ascii="Courier New" w:cs="Courier New" w:eastAsia="Courier New" w:hAnsi="Courier New"/>
          <w:sz w:val="14"/>
          <w:szCs w:val="14"/>
          <w:color w:val="auto"/>
        </w:rPr>
        <w:t>2.27 "Performance Shares" means Shares issued or transferred to an Eligible Individual under Section 10.3.</w:t>
      </w:r>
    </w:p>
    <w:p>
      <w:pPr>
        <w:spacing w:after="0" w:line="160" w:lineRule="exact"/>
        <w:rPr>
          <w:sz w:val="20"/>
          <w:szCs w:val="20"/>
          <w:color w:val="auto"/>
        </w:rPr>
      </w:pPr>
    </w:p>
    <w:p>
      <w:pPr>
        <w:ind w:right="3419" w:firstLine="1550"/>
        <w:spacing w:after="0" w:line="255" w:lineRule="auto"/>
        <w:rPr>
          <w:sz w:val="20"/>
          <w:szCs w:val="20"/>
          <w:color w:val="auto"/>
        </w:rPr>
      </w:pPr>
      <w:r>
        <w:rPr>
          <w:rFonts w:ascii="Courier New" w:cs="Courier New" w:eastAsia="Courier New" w:hAnsi="Courier New"/>
          <w:sz w:val="14"/>
          <w:szCs w:val="14"/>
          <w:color w:val="auto"/>
        </w:rPr>
        <w:t>2.28 "Performance Unit" means Performance Units granted to an Eligible Individual under Section 10.2.</w:t>
      </w:r>
    </w:p>
    <w:p>
      <w:pPr>
        <w:spacing w:after="0" w:line="16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2.29 "Plan" means the Acadia Realty Trust 1999 Share Incentive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w:t>
      </w:r>
    </w:p>
    <w:p>
      <w:pPr>
        <w:spacing w:after="0" w:line="173"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2.30 "Pooling Transaction" means an acquisition of the Company in a transaction which is intended to be treated as a "pooling of interests" under generally accepted accounting principles.</w:t>
      </w:r>
    </w:p>
    <w:p>
      <w:pPr>
        <w:spacing w:after="0" w:line="163" w:lineRule="exact"/>
        <w:rPr>
          <w:sz w:val="20"/>
          <w:szCs w:val="20"/>
          <w:color w:val="auto"/>
        </w:rPr>
      </w:pPr>
    </w:p>
    <w:p>
      <w:pPr>
        <w:ind w:right="3339" w:firstLine="1550"/>
        <w:spacing w:after="0" w:line="255" w:lineRule="auto"/>
        <w:rPr>
          <w:sz w:val="20"/>
          <w:szCs w:val="20"/>
          <w:color w:val="auto"/>
        </w:rPr>
      </w:pPr>
      <w:r>
        <w:rPr>
          <w:rFonts w:ascii="Courier New" w:cs="Courier New" w:eastAsia="Courier New" w:hAnsi="Courier New"/>
          <w:sz w:val="14"/>
          <w:szCs w:val="14"/>
          <w:color w:val="auto"/>
        </w:rPr>
        <w:t>2.31 "Restricted Shares" means Shares issued or transferred to an Eligible Individual pursuant to Section 9.</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801488.1</w:t>
      </w:r>
    </w:p>
    <w:p>
      <w:pPr>
        <w:sectPr>
          <w:pgSz w:w="11900" w:h="16838" w:orient="portrait"/>
          <w:cols w:equalWidth="0" w:num="1">
            <w:col w:w="10239"/>
          </w:cols>
          <w:pgMar w:left="220" w:top="947" w:right="1440" w:bottom="1440" w:gutter="0" w:footer="0" w:header="0"/>
        </w:sectPr>
      </w:pPr>
    </w:p>
    <w:bookmarkStart w:id="18" w:name="page19"/>
    <w:bookmarkEnd w:id="18"/>
    <w:p>
      <w:pPr>
        <w:ind w:left="1560"/>
        <w:spacing w:after="0"/>
        <w:rPr>
          <w:sz w:val="20"/>
          <w:szCs w:val="20"/>
          <w:color w:val="auto"/>
        </w:rPr>
      </w:pPr>
      <w:r>
        <w:rPr>
          <w:rFonts w:ascii="Courier New" w:cs="Courier New" w:eastAsia="Courier New" w:hAnsi="Courier New"/>
          <w:sz w:val="14"/>
          <w:szCs w:val="14"/>
          <w:color w:val="auto"/>
        </w:rPr>
        <w:t>2.32 "Shares" means the shares of beneficial interest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w:t>
      </w:r>
    </w:p>
    <w:p>
      <w:pPr>
        <w:spacing w:after="0" w:line="173"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2.33 "Share Appreciation Right" (SAR) means a right to receive all or some portion of the increase in the value of the Shares as provided in Section 8 hereof.</w:t>
      </w:r>
    </w:p>
    <w:p>
      <w:pPr>
        <w:spacing w:after="0" w:line="163" w:lineRule="exact"/>
        <w:rPr>
          <w:sz w:val="20"/>
          <w:szCs w:val="20"/>
          <w:color w:val="auto"/>
        </w:rPr>
      </w:pPr>
    </w:p>
    <w:p>
      <w:pPr>
        <w:jc w:val="both"/>
        <w:ind w:right="3419" w:firstLine="1550"/>
        <w:spacing w:after="0" w:line="252" w:lineRule="auto"/>
        <w:rPr>
          <w:sz w:val="20"/>
          <w:szCs w:val="20"/>
          <w:color w:val="auto"/>
        </w:rPr>
      </w:pPr>
      <w:r>
        <w:rPr>
          <w:rFonts w:ascii="Courier New" w:cs="Courier New" w:eastAsia="Courier New" w:hAnsi="Courier New"/>
          <w:sz w:val="14"/>
          <w:szCs w:val="14"/>
          <w:color w:val="auto"/>
        </w:rPr>
        <w:t>2.34 "Subsidiary" means any corporation which is a subsidiary corporation (within the meaning of Section 424(f) of the Code) with respect to the Company.</w:t>
      </w:r>
    </w:p>
    <w:p>
      <w:pPr>
        <w:spacing w:after="0" w:line="163"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2.35 "Successor Corporation" means a corporation, or a parent or subsidiary thereof within the meaning of Section 424(a) of the Code, which issues or assumes a share option in a transaction to which Section 424(a) of the Code applies.</w:t>
      </w:r>
    </w:p>
    <w:p>
      <w:pPr>
        <w:spacing w:after="0" w:line="162"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2.36 "Ten-Percent Shareholder" means an Eligible Individual, who, at the time an Incentive Share Option is to be granted to him or her, owns (within the meaning of Section 422(b)(6) of the Code) more than ten percent (10%) of the total combined voting power of all classes of shares of the Company, or of a Parent or a Subsidiary.</w:t>
      </w:r>
    </w:p>
    <w:p>
      <w:pPr>
        <w:spacing w:after="0" w:line="16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2.37 "Trustee Option" means an Option granted pursuant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5.</w:t>
      </w:r>
    </w:p>
    <w:p>
      <w:pPr>
        <w:spacing w:after="0" w:line="173" w:lineRule="exact"/>
        <w:rPr>
          <w:sz w:val="20"/>
          <w:szCs w:val="20"/>
          <w:color w:val="auto"/>
        </w:rPr>
      </w:pPr>
    </w:p>
    <w:p>
      <w:pPr>
        <w:ind w:left="1560" w:hanging="604"/>
        <w:spacing w:after="0"/>
        <w:tabs>
          <w:tab w:leader="none" w:pos="15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w:t>
      </w:r>
    </w:p>
    <w:p>
      <w:pPr>
        <w:spacing w:after="0" w:line="173"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3.1 The Plan shall be administered by the Committee which shall hold meetings at such times as may be necessary for the proper administration of the Plan. The Committee shall keep minutes of its meetings. A quorum shall consist of not less than two members of the Committee and a majority of a quorum may authorize any action. Any decision or determination reduced to writing and signed by a majority of all of the members shall be as fully effective as if made by a majority vote at a meeting duly called and held. Following the time that any securities of the Company are required to be registered under Section 12 of the Exchange Act, each member of the Committee shall be a nonemployee trustee within the meaning of Rule 16b-3 promulgated under the Exchange Act. To the extent compliance with Section 162(m) of the Code is desired, such Committee members shall also qualify as "outside directors" within the meaning of Section 162(m)(4)(C) and the regulations thereunder. No member of the Committee shall be liable for any action, failure to act, determination or interpretation made in good faith with respect to this Plan or any transaction hereunder, except for liability arising from his or her own willful misfeasance, gross negligence or reckless disregard of his or her duties. The Company hereby agrees to indemnify each member of the Committee for all costs and expenses and, to the extent permitted by applicable law, any liability incurred in connection with defending against, responding to, negotiating for the settlement of or otherwise dealing with any claim, cause of action or dispute of any kind arising in connection with any actions in administering this Plan or in authorizing or denying authorization to any transaction hereunder.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801488.1</w:t>
      </w:r>
    </w:p>
    <w:p>
      <w:pPr>
        <w:sectPr>
          <w:pgSz w:w="11900" w:h="16838" w:orient="portrait"/>
          <w:cols w:equalWidth="0" w:num="1">
            <w:col w:w="10239"/>
          </w:cols>
          <w:pgMar w:left="220" w:top="948" w:right="1440" w:bottom="1440" w:gutter="0" w:footer="0" w:header="0"/>
        </w:sectPr>
      </w:pPr>
    </w:p>
    <w:bookmarkStart w:id="19" w:name="page20"/>
    <w:bookmarkEnd w:id="19"/>
    <w:p>
      <w:pPr>
        <w:ind w:right="3779" w:firstLine="1550"/>
        <w:spacing w:after="0" w:line="255" w:lineRule="auto"/>
        <w:rPr>
          <w:sz w:val="20"/>
          <w:szCs w:val="20"/>
          <w:color w:val="auto"/>
        </w:rPr>
      </w:pPr>
      <w:r>
        <w:rPr>
          <w:rFonts w:ascii="Courier New" w:cs="Courier New" w:eastAsia="Courier New" w:hAnsi="Courier New"/>
          <w:sz w:val="14"/>
          <w:szCs w:val="14"/>
          <w:color w:val="auto"/>
        </w:rPr>
        <w:t>3.2 Subject to the express terms and conditions set forth herein, the Committee shall have the power from time to time to:</w:t>
      </w:r>
    </w:p>
    <w:p>
      <w:pPr>
        <w:spacing w:after="0" w:line="160" w:lineRule="exact"/>
        <w:rPr>
          <w:sz w:val="20"/>
          <w:szCs w:val="20"/>
          <w:color w:val="auto"/>
        </w:rPr>
      </w:pPr>
    </w:p>
    <w:p>
      <w:pPr>
        <w:ind w:left="2240" w:hanging="337"/>
        <w:spacing w:after="0"/>
        <w:tabs>
          <w:tab w:leader="none" w:pos="22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 those Eligible Individuals to whom</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Discretionary Options shall be granted under the Plan and the number of Incentive Share Options and/or Nonqualified Share Options to be granted to each Eligible Individual and to prescribe the terms and conditions (which need not be identical) of each Discretionary Option, including the purchase price per Share subject to each Discretionary Option, make any amendment or modification to any Agreement consistent with the terms of the Plan and accelerate the vesting or lapse of restrictions with respect to Options and Awards; and</w:t>
      </w:r>
    </w:p>
    <w:p>
      <w:pPr>
        <w:spacing w:after="0" w:line="164" w:lineRule="exact"/>
        <w:rPr>
          <w:rFonts w:ascii="Courier New" w:cs="Courier New" w:eastAsia="Courier New" w:hAnsi="Courier New"/>
          <w:sz w:val="14"/>
          <w:szCs w:val="14"/>
          <w:color w:val="auto"/>
        </w:rPr>
      </w:pPr>
    </w:p>
    <w:p>
      <w:pPr>
        <w:ind w:right="3339" w:firstLine="1903"/>
        <w:spacing w:after="0" w:line="251" w:lineRule="auto"/>
        <w:tabs>
          <w:tab w:leader="none" w:pos="2239"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select those Eligible Individuals to whom Awards shall be granted under the Plan and to determine the number of Share Appreciation Rights, Performance Units, Performance Shares, and/or Shares of Restricted Share to be granted pursuant to each Award, the terms and conditions of each Award, including the restrictions or performance criteria relating to such Units or Shares, the maximum value of each Performance Unit and Performance Share and make any amendment or modification to any Agreement consistent with the terms of the Plan.</w:t>
      </w:r>
    </w:p>
    <w:p>
      <w:pPr>
        <w:spacing w:after="0" w:line="164" w:lineRule="exact"/>
        <w:rPr>
          <w:sz w:val="20"/>
          <w:szCs w:val="20"/>
          <w:color w:val="auto"/>
        </w:rPr>
      </w:pPr>
    </w:p>
    <w:p>
      <w:pPr>
        <w:ind w:right="3779" w:firstLine="1550"/>
        <w:spacing w:after="0" w:line="255" w:lineRule="auto"/>
        <w:rPr>
          <w:sz w:val="20"/>
          <w:szCs w:val="20"/>
          <w:color w:val="auto"/>
        </w:rPr>
      </w:pPr>
      <w:r>
        <w:rPr>
          <w:rFonts w:ascii="Courier New" w:cs="Courier New" w:eastAsia="Courier New" w:hAnsi="Courier New"/>
          <w:sz w:val="14"/>
          <w:szCs w:val="14"/>
          <w:color w:val="auto"/>
        </w:rPr>
        <w:t>3.3 Subject to the express terms and conditions set forth herein, the Committee shall have the power from time to time:</w:t>
      </w:r>
    </w:p>
    <w:p>
      <w:pPr>
        <w:spacing w:after="0" w:line="160" w:lineRule="exact"/>
        <w:rPr>
          <w:sz w:val="20"/>
          <w:szCs w:val="20"/>
          <w:color w:val="auto"/>
        </w:rPr>
      </w:pPr>
    </w:p>
    <w:p>
      <w:pPr>
        <w:ind w:left="2240" w:hanging="337"/>
        <w:spacing w:after="0"/>
        <w:tabs>
          <w:tab w:leader="none" w:pos="22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construe and interpret the Plan and the Options and</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Awards granted hereunder and to establish, amend and revoke rules and regulations for the administration of the Plan, including, but not limited to, correcting any defect or supplying any omission, or reconciling any inconsistency in the Plan or in any Agreement, in the manner and to the extent it shall deem necessary or advisable to make the Plan fully effective and comply with applicable law including Rule 16b-3 under the Exchange Act and the Code to the extent applicable. All decisions and determinations by the Committee in the exercise of this power shall be final, binding and conclusive upon the Company, its Subsidiaries, the Optionees and Grantees, and all other persons having any interest therein;</w:t>
      </w:r>
    </w:p>
    <w:p>
      <w:pPr>
        <w:spacing w:after="0" w:line="329" w:lineRule="exact"/>
        <w:rPr>
          <w:rFonts w:ascii="Courier New" w:cs="Courier New" w:eastAsia="Courier New" w:hAnsi="Courier New"/>
          <w:sz w:val="14"/>
          <w:szCs w:val="14"/>
          <w:color w:val="auto"/>
        </w:rPr>
      </w:pPr>
    </w:p>
    <w:p>
      <w:pPr>
        <w:ind w:right="3419" w:firstLine="1903"/>
        <w:spacing w:after="0" w:line="252" w:lineRule="auto"/>
        <w:tabs>
          <w:tab w:leader="none" w:pos="2239"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the duration and purposes for leaves of absence which may be granted to an Optionee or Grantee on an individual basis without constituting a termination of employment or service for purposes of the Plan;</w:t>
      </w:r>
    </w:p>
    <w:p>
      <w:pPr>
        <w:spacing w:after="0" w:line="162" w:lineRule="exact"/>
        <w:rPr>
          <w:rFonts w:ascii="Courier New" w:cs="Courier New" w:eastAsia="Courier New" w:hAnsi="Courier New"/>
          <w:sz w:val="14"/>
          <w:szCs w:val="14"/>
          <w:color w:val="auto"/>
        </w:rPr>
      </w:pPr>
    </w:p>
    <w:p>
      <w:pPr>
        <w:ind w:right="3419" w:firstLine="1903"/>
        <w:spacing w:after="0" w:line="252" w:lineRule="auto"/>
        <w:tabs>
          <w:tab w:leader="none" w:pos="2239"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on an individual basis whether a change in status from or to employee, director or consultant constitutes a termination of employment or service for purposes of the Plan;</w:t>
      </w:r>
    </w:p>
    <w:p>
      <w:pPr>
        <w:spacing w:after="0" w:line="162" w:lineRule="exact"/>
        <w:rPr>
          <w:rFonts w:ascii="Courier New" w:cs="Courier New" w:eastAsia="Courier New" w:hAnsi="Courier New"/>
          <w:sz w:val="14"/>
          <w:szCs w:val="14"/>
          <w:color w:val="auto"/>
        </w:rPr>
      </w:pPr>
    </w:p>
    <w:p>
      <w:pPr>
        <w:ind w:right="3419" w:firstLine="1903"/>
        <w:spacing w:after="0" w:line="255" w:lineRule="auto"/>
        <w:tabs>
          <w:tab w:leader="none" w:pos="2239"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exercise its discretion with respect to the powers and rights granted to it as set forth in the Plan;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801488.1</w:t>
      </w:r>
    </w:p>
    <w:p>
      <w:pPr>
        <w:sectPr>
          <w:pgSz w:w="11900" w:h="16838" w:orient="portrait"/>
          <w:cols w:equalWidth="0" w:num="1">
            <w:col w:w="10239"/>
          </w:cols>
          <w:pgMar w:left="220" w:top="947" w:right="1440" w:bottom="1440" w:gutter="0" w:footer="0" w:header="0"/>
        </w:sectPr>
      </w:pPr>
    </w:p>
    <w:bookmarkStart w:id="20" w:name="page21"/>
    <w:bookmarkEnd w:id="20"/>
    <w:p>
      <w:pPr>
        <w:ind w:right="3339" w:firstLine="1903"/>
        <w:spacing w:after="0" w:line="252" w:lineRule="auto"/>
        <w:tabs>
          <w:tab w:leader="none" w:pos="2239"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generally, to exercise such powers and to perform such acts as are deemed necessary or advisable to promote the best interests of the Company with respect to the Plan; and</w:t>
      </w:r>
    </w:p>
    <w:p>
      <w:pPr>
        <w:spacing w:after="0" w:line="162" w:lineRule="exact"/>
        <w:rPr>
          <w:rFonts w:ascii="Courier New" w:cs="Courier New" w:eastAsia="Courier New" w:hAnsi="Courier New"/>
          <w:sz w:val="14"/>
          <w:szCs w:val="14"/>
          <w:color w:val="auto"/>
        </w:rPr>
      </w:pPr>
    </w:p>
    <w:p>
      <w:pPr>
        <w:ind w:right="3419" w:firstLine="1903"/>
        <w:spacing w:after="0" w:line="255" w:lineRule="auto"/>
        <w:tabs>
          <w:tab w:leader="none" w:pos="2239"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provide for the limited transferability of Options to certain family members, family trusts or family partnerships of Optionees.</w:t>
      </w:r>
    </w:p>
    <w:p>
      <w:pPr>
        <w:spacing w:after="0" w:line="159" w:lineRule="exact"/>
        <w:rPr>
          <w:rFonts w:ascii="Courier New" w:cs="Courier New" w:eastAsia="Courier New" w:hAnsi="Courier New"/>
          <w:sz w:val="14"/>
          <w:szCs w:val="14"/>
          <w:color w:val="auto"/>
        </w:rPr>
      </w:pPr>
    </w:p>
    <w:p>
      <w:pPr>
        <w:ind w:left="1560" w:hanging="604"/>
        <w:spacing w:after="0"/>
        <w:tabs>
          <w:tab w:leader="none" w:pos="15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Subject to the Plan.</w:t>
      </w:r>
    </w:p>
    <w:p>
      <w:pPr>
        <w:spacing w:after="0" w:line="172"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4.1 Aggregate Limit. With respect to calendar year 1999, the</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maximum number of Shares that may be issued pursuant to Options and Awards granted under the Plan shall be the total of (i) eight (8%) percent of the number of Fully Diluted Shares that were outstanding as of December 31, 1998 (rounded downward if necessary to eliminate fractional shares). Thereafter, at any given time, the maximum number of Shares that may be issued pursuant to Options and Awards granted under the Plan shall be the total of (i) eight (8%) percent of the number of Fully Diluted Shares that were outstanding as of the end of the immediately preceding calendar year (rounded downward if necessary to eliminate fractional shares), minus (ii) the number of Shares subject to Options and Awards which were granted under the Plan through the last day of the immediately preceding calendar year, plus (iii) as of the last day of the immediately preceding calendar year, the number of shares with respect to which previously granted Options and Awards have expired. In addition to the foregoing, in no event may the total number of Shares covered by outstanding Incentive Share Options granted under the Plan, plus the number of Shares issued pursuant to the exercise of Incentive Share Options whenever granted under the Plan, exceed [4,000,000] Shares.</w:t>
      </w:r>
    </w:p>
    <w:p>
      <w:pPr>
        <w:spacing w:after="0" w:line="338"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4.2 The maximum number of Shares that may be made the subject of Options and Awards granted to any Eligible Individual during the term of the Plan may not exceed [5,000,000] Shares. Upon a Change in Capitalization the maximum number of Shares which may be made the subject of Options or Awards granted under the Plan, the number of Shares which may be granted to any Eligible Individual and the number of Shares which may be issued pursuant to the exercise of Incentive Share Options shall be adjusted in number and kind pursuant to Section 12. The Company shall reserve for the purposes of the Plan, out of its authorized but unissued Shares or out of Shares held in the Company's treasury, or partly out of each, such number of Shares as shall be determined by the Board, but no less than the number of Shares subject to outstanding Options or Awards.</w:t>
      </w:r>
    </w:p>
    <w:p>
      <w:pPr>
        <w:spacing w:after="0" w:line="329"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4.3 Whenever any outstanding Option or Award or portion thereof expires, is canceled or is otherwise terminated for any reason without having been exercised or payment having been made in respect of the entire Option or Award, the Shares allocable to the expired, canceled or otherwise terminated portion of the Option or Award may again be the subject of Options or Awards granted hereunder.</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801488.1</w:t>
      </w:r>
    </w:p>
    <w:p>
      <w:pPr>
        <w:sectPr>
          <w:pgSz w:w="11900" w:h="16838" w:orient="portrait"/>
          <w:cols w:equalWidth="0" w:num="1">
            <w:col w:w="10239"/>
          </w:cols>
          <w:pgMar w:left="220" w:top="947" w:right="1440" w:bottom="1440" w:gutter="0" w:footer="0" w:header="0"/>
        </w:sectPr>
      </w:pPr>
    </w:p>
    <w:bookmarkStart w:id="21" w:name="page22"/>
    <w:bookmarkEnd w:id="21"/>
    <w:p>
      <w:pPr>
        <w:ind w:left="1560" w:hanging="604"/>
        <w:spacing w:after="0"/>
        <w:tabs>
          <w:tab w:leader="none" w:pos="15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Grants for Nonemployee Trustees.</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5.1 Grant. Trustee Options shall be granted to each Nonemployee Trustee on the first business day following the Company's Annual Meeting of Shareholders in each year that the Plan is in effect, beginning with 1999. Each Trustee Option granted shall be in respect of 1,000 Shares. The purchase price of each Trustee Option shall be as provided in Section 5.2 and such Options shall be evidenced by an Agreement containing such other terms and conditions not inconsistent with the provisions of this Plan as determined by the Board.</w:t>
      </w:r>
    </w:p>
    <w:p>
      <w:pPr>
        <w:spacing w:after="0" w:line="164"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5.2 Purchase Price. The purchase price for Shares under each Trustee Option shall be the amount determined by the Board, but shall not be less than 100% of the Fair Market Value of such Shares on the date immediately preceding the date of grant.</w:t>
      </w:r>
    </w:p>
    <w:p>
      <w:pPr>
        <w:spacing w:after="0" w:line="162"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5.3 Vesting. Subject to Sections 5.4 and 7.5, each Trustee Option shall become exercisable with respect to twenty (20%) percent of the Shares subject thereto effective immediately as of the grant date and shall become exercisable with respect to an additional twenty (20%) percent of the Shares subject thereto effective as of each of the first, second, third and fourth anniversaries of the grant date; provided, however, that the Optionee continues to serve as a Trustee as of such dates. If an Optionee ceases to serve as a Trustee for any reason, the Optionee shall have no rights with respect to that portion of a Trustee Option which has not then vested pursuant to the preceding sentence and the Optionee shall automatically forfeit that portion of the Trustee Option which remains unvested.</w:t>
      </w:r>
    </w:p>
    <w:p>
      <w:pPr>
        <w:spacing w:after="0" w:line="163" w:lineRule="exact"/>
        <w:rPr>
          <w:sz w:val="20"/>
          <w:szCs w:val="20"/>
          <w:color w:val="auto"/>
        </w:rPr>
      </w:pPr>
    </w:p>
    <w:p>
      <w:pPr>
        <w:jc w:val="both"/>
        <w:ind w:right="3419" w:firstLine="1550"/>
        <w:spacing w:after="0" w:line="252" w:lineRule="auto"/>
        <w:rPr>
          <w:sz w:val="20"/>
          <w:szCs w:val="20"/>
          <w:color w:val="auto"/>
        </w:rPr>
      </w:pPr>
      <w:r>
        <w:rPr>
          <w:rFonts w:ascii="Courier New" w:cs="Courier New" w:eastAsia="Courier New" w:hAnsi="Courier New"/>
          <w:sz w:val="14"/>
          <w:szCs w:val="14"/>
          <w:color w:val="auto"/>
        </w:rPr>
        <w:t>5.4 Duration. Each Trustee Option shall terminate on the date which is the tenth anniversary of the grant date, unless terminated earlier as follows:</w:t>
      </w:r>
    </w:p>
    <w:p>
      <w:pPr>
        <w:spacing w:after="0" w:line="163" w:lineRule="exact"/>
        <w:rPr>
          <w:sz w:val="20"/>
          <w:szCs w:val="20"/>
          <w:color w:val="auto"/>
        </w:rPr>
      </w:pPr>
    </w:p>
    <w:p>
      <w:pPr>
        <w:ind w:right="3419" w:firstLine="1903"/>
        <w:spacing w:after="0" w:line="251" w:lineRule="auto"/>
        <w:tabs>
          <w:tab w:leader="none" w:pos="2239"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Optionee's service as a Trustee terminates for any reason other than Disability, death or Cause, the Optionee may for a period of three (3) months after such termination exercise his or her Option to the extent, and only to the extent, that such Option or portion thereof was vested and exercisable as of the date the Optionee's service as a Trustee terminated, after which time the Option shall automatically terminate in full.</w:t>
      </w:r>
    </w:p>
    <w:p>
      <w:pPr>
        <w:spacing w:after="0" w:line="164" w:lineRule="exact"/>
        <w:rPr>
          <w:rFonts w:ascii="Courier New" w:cs="Courier New" w:eastAsia="Courier New" w:hAnsi="Courier New"/>
          <w:sz w:val="14"/>
          <w:szCs w:val="14"/>
          <w:color w:val="auto"/>
        </w:rPr>
      </w:pPr>
    </w:p>
    <w:p>
      <w:pPr>
        <w:ind w:left="2240" w:hanging="337"/>
        <w:spacing w:after="0"/>
        <w:tabs>
          <w:tab w:leader="none" w:pos="22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Optionee's service as a Trustee terminates by</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reason of the Optionee's resignation or removal from the Board due to Disability, the Optionee may, for a period of one (1) year after such termination, exercise his or her Option to the extent, and only to the extent, that such Option or portion thereof was vested and exercisable, as of the date the Optionee's service as Trustee terminated, after which time the Option shall automatically terminate in full.</w:t>
      </w:r>
    </w:p>
    <w:p>
      <w:pPr>
        <w:spacing w:after="0" w:line="164" w:lineRule="exact"/>
        <w:rPr>
          <w:rFonts w:ascii="Courier New" w:cs="Courier New" w:eastAsia="Courier New" w:hAnsi="Courier New"/>
          <w:sz w:val="14"/>
          <w:szCs w:val="14"/>
          <w:color w:val="auto"/>
        </w:rPr>
      </w:pPr>
    </w:p>
    <w:p>
      <w:pPr>
        <w:ind w:right="3419" w:firstLine="1903"/>
        <w:spacing w:after="0" w:line="252" w:lineRule="auto"/>
        <w:tabs>
          <w:tab w:leader="none" w:pos="2239"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Optionee's service as a Trustee terminates for Cause, the Option granted to the Optionee hereunder shall immediately terminate in full and no rights thereunder may be exercised.</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801488.1</w:t>
      </w:r>
    </w:p>
    <w:p>
      <w:pPr>
        <w:sectPr>
          <w:pgSz w:w="11900" w:h="16838" w:orient="portrait"/>
          <w:cols w:equalWidth="0" w:num="1">
            <w:col w:w="10239"/>
          </w:cols>
          <w:pgMar w:left="220" w:top="947" w:right="1440" w:bottom="1440" w:gutter="0" w:footer="0" w:header="0"/>
        </w:sectPr>
      </w:pPr>
    </w:p>
    <w:bookmarkStart w:id="22" w:name="page23"/>
    <w:bookmarkEnd w:id="22"/>
    <w:p>
      <w:pPr>
        <w:ind w:left="2240" w:hanging="337"/>
        <w:spacing w:after="0"/>
        <w:tabs>
          <w:tab w:leader="none" w:pos="2240" w:val="left"/>
        </w:tabs>
        <w:numPr>
          <w:ilvl w:val="2"/>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Optionee dies while a Trustee or within three</w:t>
      </w:r>
    </w:p>
    <w:p>
      <w:pPr>
        <w:spacing w:after="0" w:line="7"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months after termination of service as a Trustee as described in clause (a) of this Section 5.4 or within twelve (12) months after termination of service as a Trustee as described in clause (b) of this Section 5.4, the Option granted to the Optionee may be exercised at any time within twelve (12) months after the Optionee's death by the person or persons to whom such rights under the Option shall pass by will, or by the laws of descent or distribution, after which time the Option shall terminate in full; provided, however, that an Option may be exercised to the extent, and only to the extent, that the Option or portion thereof was exercisable on the date of death or earlier termination of the Optionee's services as a Trustee.</w:t>
      </w:r>
    </w:p>
    <w:p>
      <w:pPr>
        <w:spacing w:after="0" w:line="163" w:lineRule="exact"/>
        <w:rPr>
          <w:rFonts w:ascii="Courier New" w:cs="Courier New" w:eastAsia="Courier New" w:hAnsi="Courier New"/>
          <w:sz w:val="14"/>
          <w:szCs w:val="14"/>
          <w:color w:val="auto"/>
        </w:rPr>
      </w:pPr>
    </w:p>
    <w:p>
      <w:pPr>
        <w:ind w:left="1560" w:hanging="604"/>
        <w:spacing w:after="0"/>
        <w:tabs>
          <w:tab w:leader="none" w:pos="1560"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Discretionary Option Grants for Eligible Individuals.</w:t>
      </w:r>
    </w:p>
    <w:p>
      <w:pPr>
        <w:spacing w:after="0" w:line="172"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6.1 Authority of Committee. Subject to the provisions of the</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Plan and to Sections 4.1 and 4.2 above, the Committee shall have full and final authority to select those Eligible Individuals who will receive Discretionary Options, the terms and conditions of which shall be set forth in an Agreement; provided, however, that no person shall receive any Incentive Share Options unless he or she is an employee of the Company, a Parent or a Subsidiary at the time the Incentive Share Option is granted. The aggregate Fair Market Value (determined as of the date of grant of an Incentive Share Option) of the Shares with respect to which Incentive Share Options granted under this Plan and all other option plans of the Company, any Parent and any Subsidiary become exercisable for the first time by an Optionee during any calendar year shall not exceed $100,000. Any such Options granted in excess of the $100,000 limitation shall be deemed to be Nonqualified Share Options.</w:t>
      </w:r>
    </w:p>
    <w:p>
      <w:pPr>
        <w:spacing w:after="0" w:line="16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6.2 Purchase Price. The purchase price or the manner in which the purchase price is to be determined for Shares under each Discretionary Option shall be determined by the Committee and set forth in the Agreement; provided, however, that the purchase price per Share under each Option shall not be less than 100% of the Fair Market Value of a Share on the date the Option is granted (110% in the case of an Incentive Share Option granted to a Ten-Percent Shareholder).</w:t>
      </w:r>
    </w:p>
    <w:p>
      <w:pPr>
        <w:spacing w:after="0" w:line="16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6.3 Maximum Duration. Discretionary Options granted hereunder shall be for such term as the Committee shall determine, provided that an Option shall not be exercisable after the expiration of ten (10) years from the date it is granted (five (5) years in the case of an Incentive Share Option granted to a Ten-Percent Shareholder). The Committee may, subsequent to the granting of any Discretionary Option, extend the term thereof but in no event shall the term as so extended exceed the maximum term provided for in the preceding sentence.</w:t>
      </w:r>
    </w:p>
    <w:p>
      <w:pPr>
        <w:spacing w:after="0" w:line="164"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6.4 Vesting. Subject to Section 7.5 hereof, each Discretionary Option shall vest and become exercisable in such installments (which need not be equal) and at such times as may be designated by the Committee and set forth in the Agreement.</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801488.1</w:t>
      </w:r>
    </w:p>
    <w:p>
      <w:pPr>
        <w:sectPr>
          <w:pgSz w:w="11900" w:h="16838" w:orient="portrait"/>
          <w:cols w:equalWidth="0" w:num="1">
            <w:col w:w="10239"/>
          </w:cols>
          <w:pgMar w:left="220" w:top="947" w:right="1440" w:bottom="1440" w:gutter="0" w:footer="0" w:header="0"/>
        </w:sectPr>
      </w:pPr>
    </w:p>
    <w:bookmarkStart w:id="23" w:name="page24"/>
    <w:bookmarkEnd w:id="23"/>
    <w:p>
      <w:pPr>
        <w:ind w:right="3419" w:firstLine="1550"/>
        <w:spacing w:after="0" w:line="251" w:lineRule="auto"/>
        <w:rPr>
          <w:sz w:val="20"/>
          <w:szCs w:val="20"/>
          <w:color w:val="auto"/>
        </w:rPr>
      </w:pPr>
      <w:r>
        <w:rPr>
          <w:rFonts w:ascii="Courier New" w:cs="Courier New" w:eastAsia="Courier New" w:hAnsi="Courier New"/>
          <w:sz w:val="14"/>
          <w:szCs w:val="14"/>
          <w:color w:val="auto"/>
        </w:rPr>
        <w:t>6.5 Modification or Substitution. The Committee may, in its discretion, modify outstanding Discretionary Options or accept the surrender of outstanding Discretionary Options (to the extent not exercised) and grant new Discretionary Options in substitution for them. Notwithstanding the foregoing, no modification of a Discretionary Option shall adversely alter or impair any rights or obligations under the Discretionary Option without the Optionee's consent.</w:t>
      </w:r>
    </w:p>
    <w:p>
      <w:pPr>
        <w:spacing w:after="0" w:line="330" w:lineRule="exact"/>
        <w:rPr>
          <w:sz w:val="20"/>
          <w:szCs w:val="20"/>
          <w:color w:val="auto"/>
        </w:rPr>
      </w:pPr>
    </w:p>
    <w:p>
      <w:pPr>
        <w:ind w:left="1560" w:hanging="604"/>
        <w:spacing w:after="0"/>
        <w:tabs>
          <w:tab w:leader="none" w:pos="15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and Conditions Applicable to All Options.</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7.1 Non-transferability. No Option granted hereunder shall be transferable by the Optionee to whom granted otherwise than by will or the laws of descent and distribution unless specifically authorized by the Committee with respect to Nonqualified Share Options, and unless transferred in a manner permitted by the Committee an Option may be exercised during the lifetime of such Optionee only by the Optionee or his or her guardian or legal representative. The terms of such Option shall be final, binding and conclusive upon the beneficiaries, executors, administrators, heirs and successors of the Optionee.</w:t>
      </w:r>
    </w:p>
    <w:p>
      <w:pPr>
        <w:spacing w:after="0" w:line="329"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7.2 Vesting; Exercisability. To the extent not exercised, vested installments of Options shall accumulate and be exercisable, in whole or in part, at any time after becoming exercisable, but not later than the date the Option expires. The Committee may accelerate the vesting and exercisability of any Option or portion thereof at any time.</w:t>
      </w:r>
    </w:p>
    <w:p>
      <w:pPr>
        <w:spacing w:after="0" w:line="165"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7.3 Method of Exercise. The exercise of an Option shall be made only by a written notice delivered in person or by mail to the Secretary of the Company at the Company's principal executive office, specifying the number of Shares to be purchased and accompanied by payment therefor and otherwise in accordance with the Agreement pursuant to which the Option was granted. The purchase price for any Shares purchased pursuant to the exercise of an Option shall be paid in full upon such exercise by any one or a combination of the following: (i) cash or (ii) transferring Shares to the Company upon such terms and conditions as determined by the Committee (such as, for example, a requirement that such Shares have been held for six months if necessary to avoid adverse accounting consequences). Notwithstanding the foregoing, the Committee shall have discretion to determine at the time of grant of each Option or at any later date (up to and including the date of exercise) the form of payment acceptable in respect of the exercise of such Option. The written notice pursuant to this Section 7.2 may also provide instructions from the Optionee to the Company that upon receipt of the purchase price in cash from the Optionee's broker or dealer, designated as such on the written notice, in payment for any Shares purchased pursuant to the exercise of an Option, the Company shall issue such Shares directly to the designated broker or dealer. Any Shares transferred to the Company as payment of the purchase price under an Option shall be valued at their Fair Market Value on the day preceding the date of exercise of such Option. If requested by the Committee, the Optionee shall deliver the Agreement evidencing the Option to the Secretary of the Company who shall endorse thereon a notation of such exercise and return such Agreement to the Optionee. No fractional Shares (or cash in lieu thereof) shall be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801488.1</w:t>
      </w:r>
    </w:p>
    <w:p>
      <w:pPr>
        <w:sectPr>
          <w:pgSz w:w="11900" w:h="16838" w:orient="portrait"/>
          <w:cols w:equalWidth="0" w:num="1">
            <w:col w:w="10239"/>
          </w:cols>
          <w:pgMar w:left="220" w:top="947" w:right="1440" w:bottom="1440" w:gutter="0" w:footer="0" w:header="0"/>
        </w:sectPr>
      </w:pPr>
    </w:p>
    <w:bookmarkStart w:id="24" w:name="page25"/>
    <w:bookmarkEnd w:id="24"/>
    <w:p>
      <w:pPr>
        <w:ind w:right="3339"/>
        <w:spacing w:after="0" w:line="255" w:lineRule="auto"/>
        <w:rPr>
          <w:sz w:val="20"/>
          <w:szCs w:val="20"/>
          <w:color w:val="auto"/>
        </w:rPr>
      </w:pPr>
      <w:r>
        <w:rPr>
          <w:rFonts w:ascii="Courier New" w:cs="Courier New" w:eastAsia="Courier New" w:hAnsi="Courier New"/>
          <w:sz w:val="14"/>
          <w:szCs w:val="14"/>
          <w:color w:val="auto"/>
        </w:rPr>
        <w:t>issued upon exercise of an Option and the number of Shares that may be purchased upon exercise shall be rounded to the nearest number of whole Shares.</w:t>
      </w:r>
    </w:p>
    <w:p>
      <w:pPr>
        <w:spacing w:after="0" w:line="160"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7.4 Rights of Optionees. No Optionee shall be deemed for any purpose to be the owner of any Shares subject to any Option unless and until (i) the Option shall have been exercised pursuant to the terms thereof, (ii) the Company shall have issued and delivered the Shares to the Optionee and (iii) the Optionee's name shall have been entered as a shareholder of record on the books of the Company. Thereupon, the Optionee shall have full voting, dividend and other ownership rights with respect to such Shares, subject to such terms and conditions as may be set forth in the applicable Agreement.</w:t>
      </w:r>
    </w:p>
    <w:p>
      <w:pPr>
        <w:spacing w:after="0" w:line="164"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7.5 Effect of Change in Control. Notwithstanding anything contained in the Plan or an Agreement to the contrary, in the event of a Change in Control, all Options outstanding on the date of such Change in Control shall become immediately and fully exercisable.</w:t>
      </w:r>
    </w:p>
    <w:p>
      <w:pPr>
        <w:spacing w:after="0" w:line="162"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7.6 Dividend Equivalent Rights. Dividend Equivalent Rights may be granted to Eligible Individuals in tandem with an Option. The terms and conditions applicable to each Dividends Equivalent Right shall be specified in the Agreement under which the Dividend Equivalent Rights may be payable currently or deferred until the lapsing of restrictions on such Dividend Equivalent Rights or until the vesting, exercise, payment, settlement or other lapse of restrictions on the Option to which the Dividend Equivalent Rights relate. In the event that the amount payable in respect of Dividend Equivalent Rights are to be deferred, the Committee shall determine whether such amounts are to be held in cash or reinvested in Shares or deemed (notionally) to be reinvested in Shares. If amounts payable in respect to Dividend Equivalent Rights are to be held in cash, there may be credited at the end of each year (or portion thereof) interest on the amount of the account at the beginning of the year at a rate per annum as the Committee, in its discretion, may determine. Dividend Equivalent Rights may be settled in cash or Shares or a combination thereof, in a single installment or multiple installments.</w:t>
      </w:r>
    </w:p>
    <w:p>
      <w:pPr>
        <w:spacing w:after="0" w:line="173" w:lineRule="exact"/>
        <w:rPr>
          <w:sz w:val="20"/>
          <w:szCs w:val="20"/>
          <w:color w:val="auto"/>
        </w:rPr>
      </w:pPr>
    </w:p>
    <w:p>
      <w:pPr>
        <w:ind w:right="3419" w:firstLine="956"/>
        <w:spacing w:after="0" w:line="251" w:lineRule="auto"/>
        <w:tabs>
          <w:tab w:leader="none" w:pos="155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Appreciation Rights. The Committee may, in its discretion, either alone or in connection with the grant of an Option, grant Share Appreciation Rights in accordance with the Plan, the terms and conditions of which shall be set forth in an Agreement. If granted in connection with an Option, a Share Appreciation Right shall cover the same Shares covered by the Option (or such lesser number of Shares as the Committee may determine) and shall, except as provided in this Section 8, be subject to the same terms and conditions as the related Option.</w:t>
      </w:r>
    </w:p>
    <w:p>
      <w:pPr>
        <w:spacing w:after="0" w:line="164"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8.1 Time of Grant. A Share Appreciation Right may be granted</w:t>
      </w:r>
    </w:p>
    <w:p>
      <w:pPr>
        <w:spacing w:after="0" w:line="7" w:lineRule="exact"/>
        <w:rPr>
          <w:sz w:val="20"/>
          <w:szCs w:val="20"/>
          <w:color w:val="auto"/>
        </w:rPr>
      </w:pPr>
    </w:p>
    <w:p>
      <w:pPr>
        <w:ind w:right="3599" w:firstLine="8"/>
        <w:spacing w:after="0" w:line="252" w:lineRule="auto"/>
        <w:tabs>
          <w:tab w:leader="none" w:pos="344"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if unrelated to an Option, or (ii) if related to an Option, either at the time of grant, or at any time thereafter during the term of the Option.</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801488.1</w:t>
      </w:r>
    </w:p>
    <w:p>
      <w:pPr>
        <w:sectPr>
          <w:pgSz w:w="11900" w:h="16838" w:orient="portrait"/>
          <w:cols w:equalWidth="0" w:num="1">
            <w:col w:w="10239"/>
          </w:cols>
          <w:pgMar w:left="220" w:top="947" w:right="1440" w:bottom="1440" w:gutter="0" w:footer="0" w:header="0"/>
        </w:sectPr>
      </w:pPr>
    </w:p>
    <w:bookmarkStart w:id="25" w:name="page26"/>
    <w:bookmarkEnd w:id="25"/>
    <w:p>
      <w:pPr>
        <w:ind w:left="1560"/>
        <w:spacing w:after="0"/>
        <w:rPr>
          <w:sz w:val="20"/>
          <w:szCs w:val="20"/>
          <w:color w:val="auto"/>
        </w:rPr>
      </w:pPr>
      <w:r>
        <w:rPr>
          <w:rFonts w:ascii="Courier New" w:cs="Courier New" w:eastAsia="Courier New" w:hAnsi="Courier New"/>
          <w:sz w:val="14"/>
          <w:szCs w:val="14"/>
          <w:color w:val="auto"/>
        </w:rPr>
        <w:t>8.2 Share Appreciation Right Related to an Option.</w:t>
      </w:r>
    </w:p>
    <w:p>
      <w:pPr>
        <w:spacing w:after="0" w:line="173" w:lineRule="exact"/>
        <w:rPr>
          <w:sz w:val="20"/>
          <w:szCs w:val="20"/>
          <w:color w:val="auto"/>
        </w:rPr>
      </w:pPr>
    </w:p>
    <w:p>
      <w:pPr>
        <w:ind w:right="3339" w:firstLine="1903"/>
        <w:spacing w:after="0" w:line="251" w:lineRule="auto"/>
        <w:tabs>
          <w:tab w:leader="none" w:pos="2239"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Subject to Section 8.7, a Share Appreciation Right granted in connection with an Option shall be exercisable at such time or times and only to the extent that the related Option is exercisable, and will not be transferable even if the Option to which it relates may be transferable. A Share Appreciation Right granted in connection with an Incentive Share Option shall be exercisable only if the Fair Market Value of a Share on the date of exercise exceeds the purchase price specified in the related Incentive Share Option Agreement.</w:t>
      </w:r>
    </w:p>
    <w:p>
      <w:pPr>
        <w:spacing w:after="0" w:line="163" w:lineRule="exact"/>
        <w:rPr>
          <w:rFonts w:ascii="Courier New" w:cs="Courier New" w:eastAsia="Courier New" w:hAnsi="Courier New"/>
          <w:sz w:val="14"/>
          <w:szCs w:val="14"/>
          <w:color w:val="auto"/>
        </w:rPr>
      </w:pPr>
    </w:p>
    <w:p>
      <w:pPr>
        <w:ind w:left="2240" w:hanging="337"/>
        <w:spacing w:after="0"/>
        <w:tabs>
          <w:tab w:leader="none" w:pos="22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Payable. Upon the exercise of a Share</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Appreciation Right related to an Option, the Grantee shall be entitled to receive an amount determined by multiplying (A) the excess of the Fair Market Value of a Share on the date preceding the date of exercise of such Share Appreciation Right over the per Share purchase price under the related Option, by (B) the number of Shares as to which such Share Appreciation Right is being exercised. Notwithstanding the foregoing, the Committee may limit in any manner the amount payable with respect to any Share Appreciation Right by including such a limit in the Agreement evidencing the Share Appreciation Right at the time it is granted.</w:t>
      </w:r>
    </w:p>
    <w:p>
      <w:pPr>
        <w:spacing w:after="0" w:line="329" w:lineRule="exact"/>
        <w:rPr>
          <w:rFonts w:ascii="Courier New" w:cs="Courier New" w:eastAsia="Courier New" w:hAnsi="Courier New"/>
          <w:sz w:val="14"/>
          <w:szCs w:val="14"/>
          <w:color w:val="auto"/>
        </w:rPr>
      </w:pPr>
    </w:p>
    <w:p>
      <w:pPr>
        <w:ind w:right="3339" w:firstLine="1903"/>
        <w:spacing w:after="0" w:line="251" w:lineRule="auto"/>
        <w:tabs>
          <w:tab w:leader="none" w:pos="2239"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Treatment of Related Options and Share Appreciation Rights Upon Exercise. Upon the exercise of a Share Appreciation Right granted in connection with an Option, the Option shall be canceled to the extent of the number of Shares as to which the Share Appreciation Right is exercised, and upon the exercise of an Option granted in connection with a Share Appreciation Right or the surrender of such Option pursuant to Section 7.5, the Share Appreciation Right shall be canceled to the extent of the number of Shares as to which the Option is exercised or surrendered.</w:t>
      </w:r>
    </w:p>
    <w:p>
      <w:pPr>
        <w:spacing w:after="0" w:line="164"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8.3 Share Appreciation Right Unrelated to an Option. The Committee may grant to Eligible Individuals Share Appreciation Rights unrelated to Options. Share Appreciation Rights unrelated to Options shall contain such terms and conditions as to exercisability (subject to Section 8.7), vesting and duration as the Committee shall determine, but in no event shall they have a term of greater than ten (10) years. Upon exercise of a Share Appreciation Right unrelated to an Option, the Grantee shall be entitled to receive an amount determined by multiplying (A) the excess of the Fair Market Value of a Share on the date preceding the date of exercise of such Share Appreciation Right over the Fair Market Value of a Share on the date the Share Appreciation Right was granted, by (B) the number of Shares as to which the Share Appreciation Right is being exercised. Notwithstanding the foregoing, the Committee may limit in any manner the amount payable with respect to any Share Appreciation Right by including such a limit in the Agreement evidencing the Share Appreciation Right at the time it is granted.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801488.1</w:t>
      </w:r>
    </w:p>
    <w:p>
      <w:pPr>
        <w:sectPr>
          <w:pgSz w:w="11900" w:h="16838" w:orient="portrait"/>
          <w:cols w:equalWidth="0" w:num="1">
            <w:col w:w="10239"/>
          </w:cols>
          <w:pgMar w:left="220" w:top="947" w:right="1440" w:bottom="1440" w:gutter="0" w:footer="0" w:header="0"/>
        </w:sectPr>
      </w:pPr>
    </w:p>
    <w:bookmarkStart w:id="26" w:name="page27"/>
    <w:bookmarkEnd w:id="26"/>
    <w:p>
      <w:pPr>
        <w:ind w:right="3419" w:firstLine="1550"/>
        <w:spacing w:after="0" w:line="251" w:lineRule="auto"/>
        <w:rPr>
          <w:sz w:val="20"/>
          <w:szCs w:val="20"/>
          <w:color w:val="auto"/>
        </w:rPr>
      </w:pPr>
      <w:r>
        <w:rPr>
          <w:rFonts w:ascii="Courier New" w:cs="Courier New" w:eastAsia="Courier New" w:hAnsi="Courier New"/>
          <w:sz w:val="14"/>
          <w:szCs w:val="14"/>
          <w:color w:val="auto"/>
        </w:rPr>
        <w:t>8.4 Method of Exercise. Share Appreciation Rights shall be exercised by a Grantee only by a written notice delivered in person or by mail to the Secretary of the Company at the Company's principal executive office, specifying the number of Shares with respect to which the Share Appreciation Right is being exercised. If requested by the Committee, the Grantee shall deliver the Agreement evidencing the Share Appreciation Right being exercised and the Agreement evidencing any related Option to the Secretary of the Company who shall endorse thereon a notation of such exercise and return such Agreement to the Grantee.</w:t>
      </w:r>
    </w:p>
    <w:p>
      <w:pPr>
        <w:spacing w:after="0" w:line="16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8.5 Form of Payment. Payment of the amount determined under Sections 8.2(b) or 8.3 may be made in the discretion of the Committee, solely in whole Shares in a number determined at their Fair Market Value on the date preceding the date of exercise of the Share Appreciation Right, or solely in cash, or in a combination of cash and Shares. If the Committee decides to make full payment in Shares and the amount payable results in a fractional Share, payment for the fractional Share will be made in cash.</w:t>
      </w:r>
    </w:p>
    <w:p>
      <w:pPr>
        <w:spacing w:after="0" w:line="164" w:lineRule="exact"/>
        <w:rPr>
          <w:sz w:val="20"/>
          <w:szCs w:val="20"/>
          <w:color w:val="auto"/>
        </w:rPr>
      </w:pPr>
    </w:p>
    <w:p>
      <w:pPr>
        <w:jc w:val="both"/>
        <w:ind w:right="3419" w:firstLine="1550"/>
        <w:spacing w:after="0" w:line="250" w:lineRule="auto"/>
        <w:rPr>
          <w:sz w:val="20"/>
          <w:szCs w:val="20"/>
          <w:color w:val="auto"/>
        </w:rPr>
      </w:pPr>
      <w:r>
        <w:rPr>
          <w:rFonts w:ascii="Courier New" w:cs="Courier New" w:eastAsia="Courier New" w:hAnsi="Courier New"/>
          <w:sz w:val="14"/>
          <w:szCs w:val="14"/>
          <w:color w:val="auto"/>
        </w:rPr>
        <w:t>8.6 Modification or Substitution. Subject to the terms of the Plan, the Committee may modify outstanding Awards of Share Appreciation Rights or accept the surrender of outstanding Awards of Share Appreciation Rights (to the extent not exercised) and grant new Awards in substitution for them.</w:t>
      </w:r>
    </w:p>
    <w:p>
      <w:pPr>
        <w:spacing w:after="0" w:line="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Notwithstanding the foregoing, no modification of an Award shall adversely alter or impair any rights or obligations under the Agreement without the Grantee's consent.</w:t>
      </w:r>
    </w:p>
    <w:p>
      <w:pPr>
        <w:spacing w:after="0" w:line="16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8.7 Effect of Change in Control. Notwithstanding anything contained in this Plan to the contrary, in the event of a Change in Control, all Share Appreciation Rights shall become immediately and fully exercisable. In the event a Grantee's employment or service with the Company is terminated by the Company following a Change in Control, each Share Appreciation Right held by the Grantee that was exercisable as of the date of termination of the Grantee's employment or service shall remain exercisable for a period ending not before the earlier of the first anniversary of the termination of the Grantee's employment or service or the expiration of the stated term of the Share Appreciation Right.</w:t>
      </w:r>
    </w:p>
    <w:p>
      <w:pPr>
        <w:spacing w:after="0" w:line="329" w:lineRule="exact"/>
        <w:rPr>
          <w:sz w:val="20"/>
          <w:szCs w:val="20"/>
          <w:color w:val="auto"/>
        </w:rPr>
      </w:pPr>
    </w:p>
    <w:p>
      <w:pPr>
        <w:ind w:left="1560" w:hanging="604"/>
        <w:spacing w:after="0"/>
        <w:tabs>
          <w:tab w:leader="none" w:pos="15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Shares.</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9.1 Grant. The Committee may grant to Eligible Individuals Awards of Restricted Shares, and may issue Restricted Shares in payment in respect of vested Performance Units (as hereinafter provided in Section 10.2), which shall be evidenced by an Agreement between the Company and the Grantee. Each Agreement shall contain such restrictions, terms and conditions as the Committee may, in its discretion, determine and (without limiting the generality of the foregoing) such Agreements may require that an appropriate legend be placed on Share certificates. Awards of Restricted Shares shall be subject to the terms and provisions set forth below in this Section 9.</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801488.1</w:t>
      </w:r>
    </w:p>
    <w:p>
      <w:pPr>
        <w:sectPr>
          <w:pgSz w:w="11900" w:h="16838" w:orient="portrait"/>
          <w:cols w:equalWidth="0" w:num="1">
            <w:col w:w="10239"/>
          </w:cols>
          <w:pgMar w:left="220" w:top="947" w:right="1440" w:bottom="1440" w:gutter="0" w:footer="0" w:header="0"/>
        </w:sectPr>
      </w:pPr>
    </w:p>
    <w:bookmarkStart w:id="27" w:name="page28"/>
    <w:bookmarkEnd w:id="27"/>
    <w:p>
      <w:pPr>
        <w:ind w:right="3339" w:firstLine="1550"/>
        <w:spacing w:after="0" w:line="250" w:lineRule="auto"/>
        <w:rPr>
          <w:sz w:val="20"/>
          <w:szCs w:val="20"/>
          <w:color w:val="auto"/>
        </w:rPr>
      </w:pPr>
      <w:r>
        <w:rPr>
          <w:rFonts w:ascii="Courier New" w:cs="Courier New" w:eastAsia="Courier New" w:hAnsi="Courier New"/>
          <w:sz w:val="14"/>
          <w:szCs w:val="14"/>
          <w:color w:val="auto"/>
        </w:rPr>
        <w:t>9.2 Rights of Grantee. Restricted Shares granted pursuant to an Award hereunder shall be issued in the name of the Grantee as soon as reasonably practicable after the Award is granted provided that the Grantee has executed an Agreement evidencing the Award, the appropriate blank share powers and, in the discretion of the Committee, an escrow agreement and any other documents which the Committee may require as a condition to the issuance of such Shares. If a Grantee shall fail to execute the Agreement evidencing a Restricted Share Award, the appropriate blank share powers and, in the discretion of the Committee, an escrow agreement and any other documents which the Committee may require within the time period prescribed by the Committee at the time the Award is granted, the Award shall be null and void. At the discretion of the Committee, Shares issued in connection with a Restricted Share Award shall be deposited together with the share powers with an escrow agent (which may be the Company) designated by the Committee. Unless the Committee determines otherwise and as set forth in the Agreement, upon delivery of the Shares to the escrow agent, the Grantee shall have all of the rights of a shareholder with respect to such Shares, including the right to vote the Shares and to receive all dividends or other distributions paid or made with respect to the Shares.</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9.3 Non-transferability. Until any restrictions upon the Restricted Shares awarded to a Grantee shall have lapsed in the manner set forth in Section 9.4, such Shares shall not be sold, transferred or otherwise disposed of and shall not be pledged or otherwise hypothecated, nor shall they be delivered to the Grantee.</w:t>
      </w:r>
    </w:p>
    <w:p>
      <w:pPr>
        <w:spacing w:after="0" w:line="16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9.4 Lapse of Restrictions.</w:t>
      </w:r>
    </w:p>
    <w:p>
      <w:pPr>
        <w:spacing w:after="0" w:line="173" w:lineRule="exact"/>
        <w:rPr>
          <w:sz w:val="20"/>
          <w:szCs w:val="20"/>
          <w:color w:val="auto"/>
        </w:rPr>
      </w:pPr>
    </w:p>
    <w:p>
      <w:pPr>
        <w:ind w:right="3339" w:firstLine="1903"/>
        <w:spacing w:after="0" w:line="252" w:lineRule="auto"/>
        <w:tabs>
          <w:tab w:leader="none" w:pos="2239"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Generally. Restrictions upon Restricted Shares awarded hereunder shall lapse at such time or times and on such terms and conditions as the Committee may determine, which restrictions shall be set forth in the Agreement evidencing the Award.</w:t>
      </w:r>
    </w:p>
    <w:p>
      <w:pPr>
        <w:spacing w:after="0" w:line="162" w:lineRule="exact"/>
        <w:rPr>
          <w:rFonts w:ascii="Courier New" w:cs="Courier New" w:eastAsia="Courier New" w:hAnsi="Courier New"/>
          <w:sz w:val="14"/>
          <w:szCs w:val="14"/>
          <w:color w:val="auto"/>
        </w:rPr>
      </w:pPr>
    </w:p>
    <w:p>
      <w:pPr>
        <w:ind w:right="3339" w:firstLine="1903"/>
        <w:spacing w:after="0" w:line="251" w:lineRule="auto"/>
        <w:tabs>
          <w:tab w:leader="none" w:pos="2239"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Change in Control. Notwithstanding anything contained in the Plan, unless the Agreement evidencing the Award provides to the contrary, in the event of a Change in Control, all restrictions upon any Restricted Shares shall lapse immediately and all such Shares shall become fully vested in the Grantee.</w:t>
      </w:r>
    </w:p>
    <w:p>
      <w:pPr>
        <w:spacing w:after="0" w:line="165"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9.5 Modification or Substitution. Subject to the terms of the Plan, the Committee may modify outstanding Awards of Restricted Shares or accept the surrender of outstanding Restricted Shares (to the extent the restrictions on such Shares have not yet lapsed) and grant new Awards in substitution for them. Notwithstanding the foregoing, no modification of an Award shall adversely alter or impair any rights or obligations under the Agreement without the Grantee's consent.</w:t>
      </w:r>
    </w:p>
    <w:p>
      <w:pPr>
        <w:spacing w:after="0" w:line="164"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9.6 Treatment of Dividends. At the time the Award of Restricted Shares is granted, the Committee may, in its discretion, determine that the payment to the Grantee of dividends, or a specified portion thereof, declared or paid on such Shares by the</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801488.1</w:t>
      </w:r>
    </w:p>
    <w:p>
      <w:pPr>
        <w:sectPr>
          <w:pgSz w:w="11900" w:h="16838" w:orient="portrait"/>
          <w:cols w:equalWidth="0" w:num="1">
            <w:col w:w="10239"/>
          </w:cols>
          <w:pgMar w:left="220" w:top="947" w:right="1440" w:bottom="1440" w:gutter="0" w:footer="0" w:header="0"/>
        </w:sectPr>
      </w:pPr>
    </w:p>
    <w:bookmarkStart w:id="28" w:name="page29"/>
    <w:bookmarkEnd w:id="28"/>
    <w:p>
      <w:pPr>
        <w:ind w:right="3339"/>
        <w:spacing w:after="0" w:line="251" w:lineRule="auto"/>
        <w:rPr>
          <w:sz w:val="20"/>
          <w:szCs w:val="20"/>
          <w:color w:val="auto"/>
        </w:rPr>
      </w:pPr>
      <w:r>
        <w:rPr>
          <w:rFonts w:ascii="Courier New" w:cs="Courier New" w:eastAsia="Courier New" w:hAnsi="Courier New"/>
          <w:sz w:val="14"/>
          <w:szCs w:val="14"/>
          <w:color w:val="auto"/>
        </w:rPr>
        <w:t>Company shall be (i) deferred until the lapsing of the restrictions imposed upon such Shares and (ii) held by the Company for the account of the Grantee until such time. In the event that dividends are to be deferred, the Committee shall determine whether such dividends are to be reinvested in Shares (which shall be held as additional Restricted Shares) or held in cash. If deferred dividends are to be held in cash, there may be credited at the end of each year (or portion thereof) interest on the amount of the account at the beginning of the year at a rate per annum as the Committee, in its discretion, may determine. Payment of deferred dividends in respect of Restricted Shares (whether held in cash or as additional Restricted Shares), together with interest accrued thereon, if any, shall be made upon the lapsing of restrictions imposed on the Shares in respect of which the deferred dividends were paid, and any dividends deferred (together with any interest accrued thereon) in respect of any Restricted Shares shall be forfeited upon the forfeiture of such Shares.</w:t>
      </w:r>
    </w:p>
    <w:p>
      <w:pPr>
        <w:spacing w:after="0" w:line="162"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9.7 Delivery of Shares. Upon the lapse of the restrictions on Restricted Shares, the Committee shall cause a share certificate to be delivered to the Grantee with respect to such Shares, free of all restrictions hereunder.</w:t>
      </w:r>
    </w:p>
    <w:p>
      <w:pPr>
        <w:spacing w:after="0" w:line="163" w:lineRule="exact"/>
        <w:rPr>
          <w:sz w:val="20"/>
          <w:szCs w:val="20"/>
          <w:color w:val="auto"/>
        </w:rPr>
      </w:pPr>
    </w:p>
    <w:p>
      <w:pPr>
        <w:ind w:left="1560" w:hanging="604"/>
        <w:spacing w:after="0"/>
        <w:tabs>
          <w:tab w:leader="none" w:pos="15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Awards.</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10.1 Performance Objectives. Performance objectives for Performance Awards may be expressed in terms of (i) earnings per Share, (ii) pre-tax profits, (iii) net earnings or net worth, (iv) return on equity or assets, (v) any combination of the foregoing, or (vi) any other standard or standards deemed appropriate by the Committee at the time the Award is granted. Performance objectives may be in respect of the performance of the Company and its Subsidiaries (which may be on a consolidated basis), a Subsidiary or a Division. Performance objectives may be absolute or relative and may be expressed in terms of a progression within a specified range. Prior to the end of a Performance Cycle, the Committee, in its discretion, may adjust the performance objectives to reflect a Change in the Capitalization, a change in the tax rate or book tax rate of the Company or any Subsidiary, or any other event which may materially affect the performance of the Company, a Subsidiary or a Division, including, but not limited to, market conditions or a significant acquisition or disposition of assets or other property by the Company, a Subsidiary or a Division.</w:t>
      </w:r>
    </w:p>
    <w:p>
      <w:pPr>
        <w:spacing w:after="0" w:line="328"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10.2 Performance Units. The Committee, in its discretion, may grant Awards of Performance Units to Eligible Individuals, the terms and conditions of which shall be set forth in an Agreement between the Company and the Grantee. Performance Units may be denominated in Shares or a specified dollar amount and, contingent upon the attainment of specified performance objectives within the Performance Cycle, represent the right to receive payment as provided in Section 10.2(b) of (i) in the case of Share-denominated Performance Units, the Fair Market Value of a Share on the date the Performance Unit was granted, the date the Performance Unit became vested or any other date specified by the Committee, (ii) in the case of dollar-denominated Performance Units, the specified dollar amount or (iii) a percentage (which may be more than 100%) of the amount described in clause (i) or (ii)</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801488.1</w:t>
      </w:r>
    </w:p>
    <w:p>
      <w:pPr>
        <w:sectPr>
          <w:pgSz w:w="11900" w:h="16838" w:orient="portrait"/>
          <w:cols w:equalWidth="0" w:num="1">
            <w:col w:w="10239"/>
          </w:cols>
          <w:pgMar w:left="220" w:top="947" w:right="1440" w:bottom="1440" w:gutter="0" w:footer="0" w:header="0"/>
        </w:sectPr>
      </w:pPr>
    </w:p>
    <w:bookmarkStart w:id="29" w:name="page30"/>
    <w:bookmarkEnd w:id="29"/>
    <w:p>
      <w:pPr>
        <w:ind w:right="3519"/>
        <w:spacing w:after="0" w:line="251" w:lineRule="auto"/>
        <w:rPr>
          <w:sz w:val="20"/>
          <w:szCs w:val="20"/>
          <w:color w:val="auto"/>
        </w:rPr>
      </w:pPr>
      <w:r>
        <w:rPr>
          <w:rFonts w:ascii="Courier New" w:cs="Courier New" w:eastAsia="Courier New" w:hAnsi="Courier New"/>
          <w:sz w:val="14"/>
          <w:szCs w:val="14"/>
          <w:color w:val="auto"/>
        </w:rPr>
        <w:t>depending on the level of performance objective attainment; provided, however, that the Committee may at the time a Performance Unit is granted, specify a maximum amount payable in respect of a vested Performance Unit. Each Agreement shall specify the number of the Performance Units to which it relates, the performance objectives which must be satisfied in order for the Performance Units to vest and the Performance Cycle within which such objectives must be satisfied.</w:t>
      </w:r>
    </w:p>
    <w:p>
      <w:pPr>
        <w:spacing w:after="0" w:line="164" w:lineRule="exact"/>
        <w:rPr>
          <w:sz w:val="20"/>
          <w:szCs w:val="20"/>
          <w:color w:val="auto"/>
        </w:rPr>
      </w:pPr>
    </w:p>
    <w:p>
      <w:pPr>
        <w:ind w:left="2240" w:hanging="337"/>
        <w:spacing w:after="0"/>
        <w:tabs>
          <w:tab w:leader="none" w:pos="22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and Forfeiture. A Grantee shall become vested</w:t>
      </w:r>
    </w:p>
    <w:p>
      <w:pPr>
        <w:spacing w:after="0" w:line="7" w:lineRule="exact"/>
        <w:rPr>
          <w:rFonts w:ascii="Courier New" w:cs="Courier New" w:eastAsia="Courier New" w:hAnsi="Courier New"/>
          <w:sz w:val="14"/>
          <w:szCs w:val="14"/>
          <w:color w:val="auto"/>
        </w:rPr>
      </w:pPr>
    </w:p>
    <w:p>
      <w:pPr>
        <w:ind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the Performance Units to the extent that the performance objectives set forth in the Agreement are satisfied for the Performance Cycle.</w:t>
      </w:r>
    </w:p>
    <w:p>
      <w:pPr>
        <w:spacing w:after="0" w:line="159" w:lineRule="exact"/>
        <w:rPr>
          <w:rFonts w:ascii="Courier New" w:cs="Courier New" w:eastAsia="Courier New" w:hAnsi="Courier New"/>
          <w:sz w:val="14"/>
          <w:szCs w:val="14"/>
          <w:color w:val="auto"/>
        </w:rPr>
      </w:pPr>
    </w:p>
    <w:p>
      <w:pPr>
        <w:ind w:right="3339" w:firstLine="1903"/>
        <w:spacing w:after="0" w:line="251" w:lineRule="auto"/>
        <w:tabs>
          <w:tab w:leader="none" w:pos="2239"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Awards. Payment to Grantees in respect of vested Performance Units shall be made within sixty (60) days after the last day of the Performance Cycle to which such Award relates unless the Agreement evidencing the Award provides for the deferral of payment, in which event the terms and conditions of the deferral shall be set forth in the Agreement. Subject to Section 10.4, such payments may be made entirely in Shares valued at their Fair Market Value as of the last day of the applicable Performance Cycle or such other date specified by the Committee, entirely in cash, or in such combination of Shares and cash as the Committee in its discretion, shall determine at any time prior to such payment; provided, however, that if the Committee in its discretion determines to make such payment entirely or partially in Restricted Shares, the Committee must determine the extent to which such payment will be in Restricted Shares and the terms of such Restricted Shares at the time the Award is granted.</w:t>
      </w:r>
    </w:p>
    <w:p>
      <w:pPr>
        <w:spacing w:after="0" w:line="328"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10.3 Performance Shares. The Committee, in its discretion, may grant Awards of Performance Shares to Eligible Individuals, the terms and conditions of which shall be set forth in an Agreement between the Company and the Grantee. Each Agreement may require that an appropriate legend be placed on Share certificates. Awards of Performance Shares shall be subject to the following terms and provisions:</w:t>
      </w:r>
    </w:p>
    <w:p>
      <w:pPr>
        <w:spacing w:after="0" w:line="164" w:lineRule="exact"/>
        <w:rPr>
          <w:sz w:val="20"/>
          <w:szCs w:val="20"/>
          <w:color w:val="auto"/>
        </w:rPr>
      </w:pPr>
    </w:p>
    <w:p>
      <w:pPr>
        <w:ind w:right="3339" w:firstLine="1903"/>
        <w:spacing w:after="0" w:line="250" w:lineRule="auto"/>
        <w:tabs>
          <w:tab w:leader="none" w:pos="2239"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of Grantee. The Committee shall provide at the time an Award of Performance Shares is made, the time or times at which the actual Shares represented by such Award shall be issued in the name of the Grantee; provided, however, that no Performance Shares shall be issued until the Grantee has executed an Agreement evidencing the Award, the appropriate blank share powers and, in the discretion of the Committee, an escrow agreement and any other documents which the Committee may require as a condition to the issuance of such Performance Shares. If a Grantee shall fail to execute the Agreement evidencing an Award of Performance Shares, the appropriate blank share powers and, in the discretion of the Committee, an escrow agreement and any other documents which the Committee may require within the time period prescribed by the Committee at the time the Award is granted, the Award shall be null and void. At the discretion of the Committee, Shares issued in connection with an Award of Performance Shares shall be deposited together with the share powers with an escrow agent (which may be the Company) designated by the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801488.1</w:t>
      </w:r>
    </w:p>
    <w:p>
      <w:pPr>
        <w:sectPr>
          <w:pgSz w:w="11900" w:h="16838" w:orient="portrait"/>
          <w:cols w:equalWidth="0" w:num="1">
            <w:col w:w="10239"/>
          </w:cols>
          <w:pgMar w:left="220" w:top="947" w:right="1440" w:bottom="1440" w:gutter="0" w:footer="0" w:header="0"/>
        </w:sectPr>
      </w:pPr>
    </w:p>
    <w:bookmarkStart w:id="30" w:name="page31"/>
    <w:bookmarkEnd w:id="30"/>
    <w:p>
      <w:pPr>
        <w:ind w:right="3339"/>
        <w:spacing w:after="0" w:line="251" w:lineRule="auto"/>
        <w:rPr>
          <w:sz w:val="20"/>
          <w:szCs w:val="20"/>
          <w:color w:val="auto"/>
        </w:rPr>
      </w:pPr>
      <w:r>
        <w:rPr>
          <w:rFonts w:ascii="Courier New" w:cs="Courier New" w:eastAsia="Courier New" w:hAnsi="Courier New"/>
          <w:sz w:val="14"/>
          <w:szCs w:val="14"/>
          <w:color w:val="auto"/>
        </w:rPr>
        <w:t>Committee. Except as restricted by the terms of the Agreement, upon delivery of the Shares to the escrow agent, the Grantee shall have, in the discretion of the Committee, all of the rights of a shareholder with respect to such Shares, including the right to vote the Shares and to receive all dividends or other distributions paid or made with respect to the Shares.</w:t>
      </w:r>
    </w:p>
    <w:p>
      <w:pPr>
        <w:spacing w:after="0" w:line="165" w:lineRule="exact"/>
        <w:rPr>
          <w:sz w:val="20"/>
          <w:szCs w:val="20"/>
          <w:color w:val="auto"/>
        </w:rPr>
      </w:pPr>
    </w:p>
    <w:p>
      <w:pPr>
        <w:ind w:right="3339" w:firstLine="1903"/>
        <w:spacing w:after="0" w:line="251" w:lineRule="auto"/>
        <w:tabs>
          <w:tab w:leader="none" w:pos="2239"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Non-transferability. Until any restrictions upon the Performance Shares awarded to a Grantee shall have lapsed in the manner set forth in Sections 10.3(c) or 10.4, such Performance Shares shall not be sold, transferred or otherwise disposed of and shall not be pledged or otherwise hypothecated, nor shall they be delivered to the Grantee. The Committee may also impose such other restrictions and conditions on the Performance Shares, if any, as it deems appropriate.</w:t>
      </w:r>
    </w:p>
    <w:p>
      <w:pPr>
        <w:spacing w:after="0" w:line="164" w:lineRule="exact"/>
        <w:rPr>
          <w:rFonts w:ascii="Courier New" w:cs="Courier New" w:eastAsia="Courier New" w:hAnsi="Courier New"/>
          <w:sz w:val="14"/>
          <w:szCs w:val="14"/>
          <w:color w:val="auto"/>
        </w:rPr>
      </w:pPr>
    </w:p>
    <w:p>
      <w:pPr>
        <w:ind w:right="3419" w:firstLine="1903"/>
        <w:spacing w:after="0" w:line="251" w:lineRule="auto"/>
        <w:tabs>
          <w:tab w:leader="none" w:pos="2239"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Lapse of Restrictions. Subject to Section 10.4, restrictions upon Performance Shares awarded hereunder shall lapse and such Performance Shares shall become vested at such time or times and on such terms, conditions and satisfaction of performance objectives as the Committee may, in its discretion, determine at the time an Award is granted.</w:t>
      </w:r>
    </w:p>
    <w:p>
      <w:pPr>
        <w:spacing w:after="0" w:line="164" w:lineRule="exact"/>
        <w:rPr>
          <w:rFonts w:ascii="Courier New" w:cs="Courier New" w:eastAsia="Courier New" w:hAnsi="Courier New"/>
          <w:sz w:val="14"/>
          <w:szCs w:val="14"/>
          <w:color w:val="auto"/>
        </w:rPr>
      </w:pPr>
    </w:p>
    <w:p>
      <w:pPr>
        <w:ind w:right="3339" w:firstLine="1903"/>
        <w:spacing w:after="0" w:line="250" w:lineRule="auto"/>
        <w:tabs>
          <w:tab w:leader="none" w:pos="2239"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Treatment of Dividends. At the time the Award of Performance Shares is granted, the Committee may, in its discretion, determine that the payment to the Grantee of dividends, or a specified portion thereof, declared or paid on actual Shares represented by such Award which have been issued by the Company to the Grantee shall be (i) deferred until the lapsing of the restrictions imposed upon such Performance Shares and (ii) held by the Company for the account of the Grantee until such time. In the event that dividends are to be deferred, the Committee shall determine whether such dividends are to be reinvested in shares of Share (which shall be held as additional Performance Shares) or held in cash. If deferred dividends are to be held in cash, there may be credited at the end of each year (or portion thereof) interest on the amount of the account at the beginning of the year at a rate per annum as the Committee, in its discretion, may determine. Payment of deferred dividends in respect of Performance Shares (whether held in cash or in additional Performance Shares), together with interest accrued thereon, if any, shall be made upon the lapsing of restrictions imposed on the Performance Shares in respect of which the deferred dividends were paid, and any dividends deferred (together with any interest accrued thereon) in respect of any Performance Shares shall be forfeited upon the forfeiture of such Performance Shares.</w:t>
      </w:r>
    </w:p>
    <w:p>
      <w:pPr>
        <w:spacing w:after="0" w:line="173" w:lineRule="exact"/>
        <w:rPr>
          <w:rFonts w:ascii="Courier New" w:cs="Courier New" w:eastAsia="Courier New" w:hAnsi="Courier New"/>
          <w:sz w:val="14"/>
          <w:szCs w:val="14"/>
          <w:color w:val="auto"/>
        </w:rPr>
      </w:pPr>
    </w:p>
    <w:p>
      <w:pPr>
        <w:ind w:left="2240" w:hanging="337"/>
        <w:spacing w:after="0"/>
        <w:tabs>
          <w:tab w:leader="none" w:pos="22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Shares. Upon the lapse of the restrictions</w:t>
      </w:r>
    </w:p>
    <w:p>
      <w:pPr>
        <w:spacing w:after="0" w:line="7" w:lineRule="exact"/>
        <w:rPr>
          <w:rFonts w:ascii="Courier New" w:cs="Courier New" w:eastAsia="Courier New" w:hAnsi="Courier New"/>
          <w:sz w:val="14"/>
          <w:szCs w:val="14"/>
          <w:color w:val="auto"/>
        </w:rPr>
      </w:pPr>
    </w:p>
    <w:p>
      <w:pPr>
        <w:ind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Performance Shares awarded hereunder, the Committee shall cause a share certificate to be delivered to the Grantee with respect to such Shares, free of all restrictions hereunder.</w:t>
      </w:r>
    </w:p>
    <w:p>
      <w:pPr>
        <w:spacing w:after="0" w:line="163"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10.4 Effect of Change in Control. Notwithstanding anything contained in the Plan or any Agreement to the contrary, in the event of a Change in Control:</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801488.1</w:t>
      </w:r>
    </w:p>
    <w:p>
      <w:pPr>
        <w:sectPr>
          <w:pgSz w:w="11900" w:h="16838" w:orient="portrait"/>
          <w:cols w:equalWidth="0" w:num="1">
            <w:col w:w="10239"/>
          </w:cols>
          <w:pgMar w:left="220" w:top="947" w:right="1440" w:bottom="1440" w:gutter="0" w:footer="0" w:header="0"/>
        </w:sectPr>
      </w:pPr>
    </w:p>
    <w:bookmarkStart w:id="31" w:name="page32"/>
    <w:bookmarkEnd w:id="31"/>
    <w:p>
      <w:pPr>
        <w:ind w:right="3339" w:firstLine="1903"/>
        <w:spacing w:after="0" w:line="251" w:lineRule="auto"/>
        <w:tabs>
          <w:tab w:leader="none" w:pos="2239"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the Performance Units, the Grantee shall (i) become vested in a percentage of Performance Units as determined by the Committee at the time of the Award of such Performance Units and as set forth in the Agreement and (ii) be entitled to receive in respect of all Performance Units which become vested as a result of a Change in Control, a cash payment within ten (10) days after such Change in Control in an amount as determined by the Committee at the time of the Award of such Performance Units and as set forth in the Agreement.</w:t>
      </w:r>
    </w:p>
    <w:p>
      <w:pPr>
        <w:spacing w:after="0" w:line="163" w:lineRule="exact"/>
        <w:rPr>
          <w:rFonts w:ascii="Courier New" w:cs="Courier New" w:eastAsia="Courier New" w:hAnsi="Courier New"/>
          <w:sz w:val="14"/>
          <w:szCs w:val="14"/>
          <w:color w:val="auto"/>
        </w:rPr>
      </w:pPr>
    </w:p>
    <w:p>
      <w:pPr>
        <w:ind w:left="2240" w:hanging="337"/>
        <w:spacing w:after="0"/>
        <w:tabs>
          <w:tab w:leader="none" w:pos="22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the Performance Shares, restrictions</w:t>
      </w:r>
    </w:p>
    <w:p>
      <w:pPr>
        <w:spacing w:after="0" w:line="7" w:lineRule="exact"/>
        <w:rPr>
          <w:rFonts w:ascii="Courier New" w:cs="Courier New" w:eastAsia="Courier New" w:hAnsi="Courier New"/>
          <w:sz w:val="14"/>
          <w:szCs w:val="14"/>
          <w:color w:val="auto"/>
        </w:rPr>
      </w:pPr>
    </w:p>
    <w:p>
      <w:pPr>
        <w:ind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shall lapse immediately on all or a portion of the Performance Shares as determined by the Committee at the time of the Award of such Performance Shares and as set forth in the Agreement.</w:t>
      </w:r>
    </w:p>
    <w:p>
      <w:pPr>
        <w:spacing w:after="0" w:line="162" w:lineRule="exact"/>
        <w:rPr>
          <w:rFonts w:ascii="Courier New" w:cs="Courier New" w:eastAsia="Courier New" w:hAnsi="Courier New"/>
          <w:sz w:val="14"/>
          <w:szCs w:val="14"/>
          <w:color w:val="auto"/>
        </w:rPr>
      </w:pPr>
    </w:p>
    <w:p>
      <w:pPr>
        <w:ind w:right="3599" w:firstLine="1903"/>
        <w:spacing w:after="0" w:line="251" w:lineRule="auto"/>
        <w:tabs>
          <w:tab w:leader="none" w:pos="2239"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Agreements evidencing Performance Shares and Performance Units shall provide for the treatment of such Awards (or portions thereof) which do not become vested as the result of a Change in Control, including, but not limited to, provisions for the adjustment of applicable performance objectives.</w:t>
      </w:r>
    </w:p>
    <w:p>
      <w:pPr>
        <w:spacing w:after="0" w:line="165"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10.5 Non-transferability. No Performance Awards shall be transferable by the Grantee otherwise than by will or the laws of descent and distribution.</w:t>
      </w:r>
    </w:p>
    <w:p>
      <w:pPr>
        <w:spacing w:after="0" w:line="16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10.6 Modification or Substitution. Subject to the terms of the Plan, the Committee may modify outstanding Performance Awards or accept the surrender of outstanding Performance Awards and grant new Performance Awards in substitution for them. Notwithstanding the foregoing, no modification of a Performance Award shall adversely alter or impair any rights or obligations under the Agreement without the Grantee's consent.</w:t>
      </w:r>
    </w:p>
    <w:p>
      <w:pPr>
        <w:spacing w:after="0" w:line="164" w:lineRule="exact"/>
        <w:rPr>
          <w:sz w:val="20"/>
          <w:szCs w:val="20"/>
          <w:color w:val="auto"/>
        </w:rPr>
      </w:pPr>
    </w:p>
    <w:p>
      <w:pPr>
        <w:ind w:left="1560" w:hanging="604"/>
        <w:spacing w:after="0"/>
        <w:tabs>
          <w:tab w:leader="none" w:pos="15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a Termination of Employment or Service.</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The Agreement evidencing the grant of each Option and each Award shall set forth the terms and conditions applicable to such Option or Award upon a termination or change in the status of the employment or service of the Optionee or Grantee by the Company, a Subsidiary or a Division (including a termination or change by reason of the sale of a Subsidiary or a Division or a change in status from employee or director to consultant), as the Committee may, in its discretion, determine at the time a Discretionary Option or Award is granted or thereafter, and with respect to Trustee Options in accordance with Section 5 of the Plan. Notwithstanding the foregoing and unless specifically set forth in an Agreement to the contrary, in the event an Optionee's or Grantee's employment or service with the Company is terminated for Cause, the Option or Award granted to the Optionee or Grantee hereunder shall immediately terminate in full and in the case of Options, no rights thereunder may be exercised, and in all other cases, no payment will be made with respect thereto.</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801488.1</w:t>
      </w:r>
    </w:p>
    <w:p>
      <w:pPr>
        <w:sectPr>
          <w:pgSz w:w="11900" w:h="16838" w:orient="portrait"/>
          <w:cols w:equalWidth="0" w:num="1">
            <w:col w:w="10239"/>
          </w:cols>
          <w:pgMar w:left="220" w:top="947" w:right="1440" w:bottom="1440" w:gutter="0" w:footer="0" w:header="0"/>
        </w:sectPr>
      </w:pPr>
    </w:p>
    <w:bookmarkStart w:id="32" w:name="page33"/>
    <w:bookmarkEnd w:id="32"/>
    <w:p>
      <w:pPr>
        <w:ind w:left="1560" w:hanging="604"/>
        <w:spacing w:after="0"/>
        <w:tabs>
          <w:tab w:leader="none" w:pos="15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Upon Changes in Capitalization.</w:t>
      </w:r>
    </w:p>
    <w:p>
      <w:pPr>
        <w:spacing w:after="0" w:line="172"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Change in Capitalization, the Committee shall conclusively determine the appropriate adjustments, if any, to the (i) maximum number and class of Shares or other share or securities with respect to which Options or Awards may be granted under the Plan, (ii) maximum number of class of Shares or other share or securities with respect to which Options may be granted to any Eligible Individual during the term of the Plan and (iii) the number and class of Shares or other share or securities which are subject to outstanding Options or Awards granted under the Plan, and the purchase price therefor, if applicable and (iv) the number and class of Shares or other securities in respect of which Trustee Options are to be granted under Section 5.</w:t>
      </w:r>
    </w:p>
    <w:p>
      <w:pPr>
        <w:spacing w:after="0" w:line="329" w:lineRule="exact"/>
        <w:rPr>
          <w:rFonts w:ascii="Courier New" w:cs="Courier New" w:eastAsia="Courier New" w:hAnsi="Courier New"/>
          <w:sz w:val="14"/>
          <w:szCs w:val="14"/>
          <w:color w:val="auto"/>
        </w:rPr>
      </w:pPr>
    </w:p>
    <w:p>
      <w:pPr>
        <w:ind w:right="3519" w:firstLine="1559"/>
        <w:spacing w:after="0" w:line="251" w:lineRule="auto"/>
        <w:tabs>
          <w:tab w:leader="none" w:pos="1895"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adjustment in the Shares or other share or securities subject to outstanding Incentive Share Options (including any adjustments in the purchase price) shall be made in such manner as not to constitute a modification as defined by Section 424(h)(3) of the Code and only to the extent otherwise permitted by Sections 422 and 424 of the Code.</w:t>
      </w:r>
    </w:p>
    <w:p>
      <w:pPr>
        <w:spacing w:after="0" w:line="164"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by reason of a Change in Capitalization, a Grantee of an Award shall be entitled to, or an Optionee shall be entitled to exercise an Option with respect to, new, additional or different shares of share or securities, such new, additional or different shares shall thereupon be subject to all of the conditions, restrictions and performance criteria which were applicable to the Shares subject to the Award or Option, as the case may be, prior to such Change in Capitalization.</w:t>
      </w:r>
    </w:p>
    <w:p>
      <w:pPr>
        <w:spacing w:after="0" w:line="164" w:lineRule="exact"/>
        <w:rPr>
          <w:rFonts w:ascii="Courier New" w:cs="Courier New" w:eastAsia="Courier New" w:hAnsi="Courier New"/>
          <w:sz w:val="14"/>
          <w:szCs w:val="14"/>
          <w:color w:val="auto"/>
        </w:rPr>
      </w:pPr>
    </w:p>
    <w:p>
      <w:pPr>
        <w:ind w:right="3339" w:firstLine="956"/>
        <w:spacing w:after="0" w:line="251" w:lineRule="auto"/>
        <w:tabs>
          <w:tab w:leader="none" w:pos="155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Certain Transactions. Subject to Sections 7.5, 8.7, 9.4(b) and 10.4, or as otherwise provided in an Agreement, in the event of (i) the liquidation or dissolution of the Company or (ii) a merger or consolidation of the Company (a "Transaction"), the Plan and the Options and Awards issued hereunder shall continue in effect in accordance with their respective terms except that following a Transaction each Optionee and Grantee shall be entitled to receive in respect of each Share subject to any outstanding Options or Awards, as the case may be, upon exercise of any Option or SAR or payment or transfer in respect of any Award, the same number and kind of share, securities, cash, property, or other consideration that each holder of a Share was entitled to receive in the Transaction in respect of a Share; provided, however, that such share, securities, cash, property, or other consideration shall remain subject to all of the conditions, restrictions and performance criteria which were applicable to the Options or Awards prior to such Transaction.</w:t>
      </w:r>
    </w:p>
    <w:p>
      <w:pPr>
        <w:spacing w:after="0" w:line="162" w:lineRule="exact"/>
        <w:rPr>
          <w:rFonts w:ascii="Courier New" w:cs="Courier New" w:eastAsia="Courier New" w:hAnsi="Courier New"/>
          <w:sz w:val="14"/>
          <w:szCs w:val="14"/>
          <w:color w:val="auto"/>
        </w:rPr>
      </w:pPr>
    </w:p>
    <w:p>
      <w:pPr>
        <w:ind w:right="3679" w:firstLine="956"/>
        <w:spacing w:after="0" w:line="255" w:lineRule="auto"/>
        <w:tabs>
          <w:tab w:leader="none" w:pos="155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Interpretation. Following the required registration of any equity security of the Company pursuant to Section 12 of the Exchange Act: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801488.1</w:t>
      </w:r>
    </w:p>
    <w:p>
      <w:pPr>
        <w:sectPr>
          <w:pgSz w:w="11900" w:h="16838" w:orient="portrait"/>
          <w:cols w:equalWidth="0" w:num="1">
            <w:col w:w="10239"/>
          </w:cols>
          <w:pgMar w:left="220" w:top="947" w:right="1440" w:bottom="1440" w:gutter="0" w:footer="0" w:header="0"/>
        </w:sectPr>
      </w:pPr>
    </w:p>
    <w:bookmarkStart w:id="33" w:name="page34"/>
    <w:bookmarkEnd w:id="33"/>
    <w:p>
      <w:pPr>
        <w:ind w:right="3339" w:firstLine="1559"/>
        <w:spacing w:after="0" w:line="251" w:lineRule="auto"/>
        <w:tabs>
          <w:tab w:leader="none" w:pos="1895" w:val="left"/>
        </w:tabs>
        <w:numPr>
          <w:ilvl w:val="2"/>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is intended to comply with Rule 16b-3 promulgated under the Exchange Act and the Committee shall interpret and administer the provisions of the Plan or any Agreement in a manner consistent therewith. Any provisions inconsistent with such Rule shall be inoperative and shall not affect the validity of the Plan.</w:t>
      </w:r>
    </w:p>
    <w:p>
      <w:pPr>
        <w:spacing w:after="0" w:line="164"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2"/>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expressly stated in the relevant Agreement, each Award (other than Restricted Shares) granted under the Plan is intended to be performance-based compensation within the meaning of Section 162(m)(4)(C) of the Code. Except in the case of death, disability, retirement or a Change in Control, the Committee shall not be entitled to exercise any discretion otherwise authorized hereunder with respect to such Awards if the ability to exercise such discretion or the exercise of such discretion itself would cause the compensation attributable to such Awards to fail to qualify as performance-based compensation.</w:t>
      </w:r>
    </w:p>
    <w:p>
      <w:pPr>
        <w:spacing w:after="0" w:line="163" w:lineRule="exact"/>
        <w:rPr>
          <w:rFonts w:ascii="Courier New" w:cs="Courier New" w:eastAsia="Courier New" w:hAnsi="Courier New"/>
          <w:sz w:val="14"/>
          <w:szCs w:val="14"/>
          <w:color w:val="auto"/>
        </w:rPr>
      </w:pPr>
    </w:p>
    <w:p>
      <w:pPr>
        <w:ind w:right="3339" w:firstLine="956"/>
        <w:spacing w:after="0" w:line="250" w:lineRule="auto"/>
        <w:tabs>
          <w:tab w:leader="none" w:pos="1550"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Pooling Transactions. Notwithstanding anything contained in the Plan or any Agreement to the contrary, in the event of a Change in Control which is also intended to constitute a Pooling Transaction, the Committee shall take such actions, if any, which are specifically recommended by an independent accounting firm retained by the Company to the extent reasonably necessary in order to assure that the Pooling Transaction will qualify as such, including but not limited to (i) deferring the vesting, exercise, payment or settlement with respect to any Option or Award, (ii) providing that the payment or settlement in respect of any Option or Award be made in the form of cash, Shares or securities of a successor or acquired of the Company, or a combination of the foregoing and</w:t>
      </w:r>
    </w:p>
    <w:p>
      <w:pPr>
        <w:spacing w:after="0" w:line="4" w:lineRule="exact"/>
        <w:rPr>
          <w:rFonts w:ascii="Courier New" w:cs="Courier New" w:eastAsia="Courier New" w:hAnsi="Courier New"/>
          <w:sz w:val="14"/>
          <w:szCs w:val="14"/>
          <w:color w:val="auto"/>
        </w:rPr>
      </w:pPr>
    </w:p>
    <w:p>
      <w:pPr>
        <w:ind w:right="3519" w:firstLine="8"/>
        <w:spacing w:after="0" w:line="252" w:lineRule="auto"/>
        <w:tabs>
          <w:tab w:leader="none" w:pos="517"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providing for the extension of the term of any Option or Award to the extent necessary to accommodate the foregoing, but not beyond the maximum term permitted for any Option or Award.</w:t>
      </w:r>
    </w:p>
    <w:p>
      <w:pPr>
        <w:spacing w:after="0" w:line="162" w:lineRule="exact"/>
        <w:rPr>
          <w:rFonts w:ascii="Courier New" w:cs="Courier New" w:eastAsia="Courier New" w:hAnsi="Courier New"/>
          <w:sz w:val="14"/>
          <w:szCs w:val="14"/>
          <w:color w:val="auto"/>
        </w:rPr>
      </w:pPr>
    </w:p>
    <w:p>
      <w:pPr>
        <w:ind w:left="1560" w:hanging="604"/>
        <w:spacing w:after="0"/>
        <w:tabs>
          <w:tab w:leader="none" w:pos="1560"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and Amendment of the Plan.</w:t>
      </w:r>
    </w:p>
    <w:p>
      <w:pPr>
        <w:spacing w:after="0" w:line="172"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shall terminate on the day preceding the tenth</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anniversary of the date of its adoption by the Board and no Option or Award may be granted thereafter. The Board may sooner terminate the Plan and the Board may at any time and from time to time amend, modify or suspend the Plan; provided, however, that:</w:t>
      </w:r>
    </w:p>
    <w:p>
      <w:pPr>
        <w:spacing w:after="0" w:line="162" w:lineRule="exact"/>
        <w:rPr>
          <w:sz w:val="20"/>
          <w:szCs w:val="20"/>
          <w:color w:val="auto"/>
        </w:rPr>
      </w:pPr>
    </w:p>
    <w:p>
      <w:pPr>
        <w:ind w:right="3339" w:firstLine="1559"/>
        <w:spacing w:after="0" w:line="251" w:lineRule="auto"/>
        <w:tabs>
          <w:tab w:leader="none" w:pos="1895"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such amendment, modification, suspension or termination shall impair or adversely alter any Options, SARs or Awards theretofore granted under the Plan, except with the consent of the Optionee or Grantee, nor shall any amendment, modification, suspension or termination deprive any Optionee or Grantee of any Shares which he or she may have acquired through or as a result of the Plan; and</w:t>
      </w:r>
    </w:p>
    <w:p>
      <w:pPr>
        <w:spacing w:after="0" w:line="164"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necessary under Section 422 of the Code, Section 16(b) of the Exchange Act and the rules and regulations promulgated thereunder or applicable law or securities exchange rule, no amendment shall be effective unless approved by the shareholders of the Company in accordance with applicable law and regulations.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801488.1</w:t>
      </w:r>
    </w:p>
    <w:p>
      <w:pPr>
        <w:sectPr>
          <w:pgSz w:w="11900" w:h="16838" w:orient="portrait"/>
          <w:cols w:equalWidth="0" w:num="1">
            <w:col w:w="10239"/>
          </w:cols>
          <w:pgMar w:left="220" w:top="947" w:right="1440" w:bottom="1440" w:gutter="0" w:footer="0" w:header="0"/>
        </w:sectPr>
      </w:pPr>
    </w:p>
    <w:bookmarkStart w:id="34" w:name="page35"/>
    <w:bookmarkEnd w:id="34"/>
    <w:p>
      <w:pPr>
        <w:ind w:left="1560" w:hanging="604"/>
        <w:spacing w:after="0"/>
        <w:tabs>
          <w:tab w:leader="none" w:pos="156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Non-Exclusivity of the Plan.</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The adoption of the Plan by the Board shall not be construed as amending, modifying or rescinding any previously approved incentive arrangement or as creating any limitations on the power of the Board to adopt such other incentive arrangements as it may deem desirable, including, without limitation, the granting of share options otherwise than under the Plan, and such arrangements may be either applicable generally or only in specific cases.</w:t>
      </w:r>
    </w:p>
    <w:p>
      <w:pPr>
        <w:spacing w:after="0" w:line="164" w:lineRule="exact"/>
        <w:rPr>
          <w:sz w:val="20"/>
          <w:szCs w:val="20"/>
          <w:color w:val="auto"/>
        </w:rPr>
      </w:pPr>
    </w:p>
    <w:p>
      <w:pPr>
        <w:ind w:left="1560" w:hanging="604"/>
        <w:spacing w:after="0"/>
        <w:tabs>
          <w:tab w:leader="none" w:pos="15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of Liability.</w:t>
      </w:r>
    </w:p>
    <w:p>
      <w:pPr>
        <w:spacing w:after="0" w:line="173"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As illustrative of the limitations of liability of the Company, but not intended to be exhaustive thereof, nothing in the Plan shall be construed to:</w:t>
      </w:r>
    </w:p>
    <w:p>
      <w:pPr>
        <w:spacing w:after="0" w:line="163" w:lineRule="exact"/>
        <w:rPr>
          <w:sz w:val="20"/>
          <w:szCs w:val="20"/>
          <w:color w:val="auto"/>
        </w:rPr>
      </w:pPr>
    </w:p>
    <w:p>
      <w:pPr>
        <w:ind w:left="2240" w:hanging="337"/>
        <w:spacing w:after="0"/>
        <w:tabs>
          <w:tab w:leader="none" w:pos="2240"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 any person any right to be granted an Option or</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Award other than at the sole discretion of the Committee;</w:t>
      </w:r>
    </w:p>
    <w:p>
      <w:pPr>
        <w:spacing w:after="0" w:line="172" w:lineRule="exact"/>
        <w:rPr>
          <w:rFonts w:ascii="Courier New" w:cs="Courier New" w:eastAsia="Courier New" w:hAnsi="Courier New"/>
          <w:sz w:val="14"/>
          <w:szCs w:val="14"/>
          <w:color w:val="auto"/>
        </w:rPr>
      </w:pPr>
    </w:p>
    <w:p>
      <w:pPr>
        <w:ind w:left="520" w:right="3339" w:firstLine="1383"/>
        <w:spacing w:after="0" w:line="255" w:lineRule="auto"/>
        <w:tabs>
          <w:tab w:leader="none" w:pos="2329"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 any person any rights whatsoever with respect to Shares except as specifically provided in the Plan;</w:t>
      </w:r>
    </w:p>
    <w:p>
      <w:pPr>
        <w:spacing w:after="0" w:line="159" w:lineRule="exact"/>
        <w:rPr>
          <w:rFonts w:ascii="Courier New" w:cs="Courier New" w:eastAsia="Courier New" w:hAnsi="Courier New"/>
          <w:sz w:val="14"/>
          <w:szCs w:val="14"/>
          <w:color w:val="auto"/>
        </w:rPr>
      </w:pPr>
    </w:p>
    <w:p>
      <w:pPr>
        <w:ind w:left="2420" w:hanging="517"/>
        <w:spacing w:after="0"/>
        <w:tabs>
          <w:tab w:leader="none" w:pos="2420"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 in any way the right of the Company to</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terminate the employment of any person at any time; or</w:t>
      </w:r>
    </w:p>
    <w:p>
      <w:pPr>
        <w:spacing w:after="0" w:line="172" w:lineRule="exact"/>
        <w:rPr>
          <w:rFonts w:ascii="Courier New" w:cs="Courier New" w:eastAsia="Courier New" w:hAnsi="Courier New"/>
          <w:sz w:val="14"/>
          <w:szCs w:val="14"/>
          <w:color w:val="auto"/>
        </w:rPr>
      </w:pPr>
    </w:p>
    <w:p>
      <w:pPr>
        <w:ind w:left="520" w:right="3779" w:firstLine="1383"/>
        <w:spacing w:after="0" w:line="252" w:lineRule="auto"/>
        <w:tabs>
          <w:tab w:leader="none" w:pos="2329"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evidence of any agreement or understanding, expressed or implied, that the Company will employ any person at any particular rate of compensation or for any particular period of time.</w:t>
      </w:r>
    </w:p>
    <w:p>
      <w:pPr>
        <w:spacing w:after="0" w:line="162" w:lineRule="exact"/>
        <w:rPr>
          <w:rFonts w:ascii="Courier New" w:cs="Courier New" w:eastAsia="Courier New" w:hAnsi="Courier New"/>
          <w:sz w:val="14"/>
          <w:szCs w:val="14"/>
          <w:color w:val="auto"/>
        </w:rPr>
      </w:pPr>
    </w:p>
    <w:p>
      <w:pPr>
        <w:ind w:left="1560" w:hanging="604"/>
        <w:spacing w:after="0"/>
        <w:tabs>
          <w:tab w:leader="none" w:pos="15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Regulations and Other Approvals; Governing Law.</w:t>
      </w:r>
    </w:p>
    <w:p>
      <w:pPr>
        <w:spacing w:after="0" w:line="173" w:lineRule="exact"/>
        <w:rPr>
          <w:sz w:val="20"/>
          <w:szCs w:val="20"/>
          <w:color w:val="auto"/>
        </w:rPr>
      </w:pPr>
    </w:p>
    <w:p>
      <w:pPr>
        <w:ind w:right="3599" w:firstLine="1550"/>
        <w:spacing w:after="0" w:line="252" w:lineRule="auto"/>
        <w:rPr>
          <w:sz w:val="20"/>
          <w:szCs w:val="20"/>
          <w:color w:val="auto"/>
        </w:rPr>
      </w:pPr>
      <w:r>
        <w:rPr>
          <w:rFonts w:ascii="Courier New" w:cs="Courier New" w:eastAsia="Courier New" w:hAnsi="Courier New"/>
          <w:sz w:val="14"/>
          <w:szCs w:val="14"/>
          <w:color w:val="auto"/>
        </w:rPr>
        <w:t>19.1 Except as to matters of federal law, this Plan and the rights of all persons claiming hereunder shall be construed and determined in accordance with the laws of the State of Maryland without giving effect to conflicts of law principles thereof.</w:t>
      </w:r>
    </w:p>
    <w:p>
      <w:pPr>
        <w:spacing w:after="0" w:line="162"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19.2 The obligation of the Company to sell or deliver Shares with respect to Options and Awards granted under the Plan shall be subject to all applicable laws, rules and regulations, including all applicable federal and state securities laws, and the obtaining of all such approvals by governmental agencies as may be deemed necessary or appropriate by the Committee.</w:t>
      </w:r>
    </w:p>
    <w:p>
      <w:pPr>
        <w:spacing w:after="0" w:line="165"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19.3 The Board may make such changes as may be necessary or appropriate to comply with the rules and regulations of any government authority, or to obtain for Eligible Individuals granted Incentive Share Options the tax benefits under the applicable provisions of the Code and regulations promulgated thereunder.</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801488.1</w:t>
      </w:r>
    </w:p>
    <w:p>
      <w:pPr>
        <w:sectPr>
          <w:pgSz w:w="11900" w:h="16838" w:orient="portrait"/>
          <w:cols w:equalWidth="0" w:num="1">
            <w:col w:w="10239"/>
          </w:cols>
          <w:pgMar w:left="220" w:top="947" w:right="1440" w:bottom="1440" w:gutter="0" w:footer="0" w:header="0"/>
        </w:sectPr>
      </w:pPr>
    </w:p>
    <w:bookmarkStart w:id="35" w:name="page36"/>
    <w:bookmarkEnd w:id="35"/>
    <w:p>
      <w:pPr>
        <w:ind w:right="3339" w:firstLine="1550"/>
        <w:spacing w:after="0" w:line="251" w:lineRule="auto"/>
        <w:rPr>
          <w:sz w:val="20"/>
          <w:szCs w:val="20"/>
          <w:color w:val="auto"/>
        </w:rPr>
      </w:pPr>
      <w:r>
        <w:rPr>
          <w:rFonts w:ascii="Courier New" w:cs="Courier New" w:eastAsia="Courier New" w:hAnsi="Courier New"/>
          <w:sz w:val="14"/>
          <w:szCs w:val="14"/>
          <w:color w:val="auto"/>
        </w:rPr>
        <w:t>19.4 Each Option and Award is subject to the requirement that, if at any time the Committee determines, in its discretion, that the listing, registration or qualification of Shares issuable pursuant to the Plan is required by any securities exchange or under any state or federal law, or the consent or approval of any governmental regulatory body is necessary or desirable as a condition of, or in connection with, the grant of an Option or Award or the issuance of Shares, no Options or Awards shall be granted or payment made or Shares issued, in whole or in part, unless listing, registration, qualification, consent or approval has been effected or obtained free of any conditions as acceptable to the Committee.</w:t>
      </w:r>
    </w:p>
    <w:p>
      <w:pPr>
        <w:spacing w:after="0" w:line="163"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19.5 Notwithstanding anything contained in the Plan or any Agreement to the contrary, in the event that the disposition of Shares acquired pursuant to the Plan is not covered by a then current registration statement under the Securities Act of 1933, as amended, (the "Securities Act") and is not otherwise exempt from such registration, such Shares shall be restricted against transfer to the extent required by the Securities Act and Rule 144 or other regulations thereunder. The Committee may require any individual receiving Shares pursuant to an Option or Award granted under the Plan, as a condition precedent to receipt of such Shares or Awards, to represent and warrant to the Company in writing that the Shares acquired by such individual are acquired without a view to any distribution thereof and will not be sold or transferred other than pursuant to an effective registration thereof under said Act or pursuant to an exemption applicable under the Securities Act or the rules and regulations promulgated thereunder. The certificates evidencing any of such Shares or Awards shall be appropriately amended to reflect their status as restricted securities as aforesaid.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20.</w:t>
            </w:r>
          </w:p>
        </w:tc>
        <w:tc>
          <w:tcPr>
            <w:tcW w:w="2720" w:type="dxa"/>
            <w:vAlign w:val="bottom"/>
          </w:tcPr>
          <w:p>
            <w:pPr>
              <w:ind w:left="180"/>
              <w:spacing w:after="0"/>
              <w:rPr>
                <w:sz w:val="20"/>
                <w:szCs w:val="20"/>
                <w:color w:val="auto"/>
              </w:rPr>
            </w:pPr>
            <w:r>
              <w:rPr>
                <w:rFonts w:ascii="Courier New" w:cs="Courier New" w:eastAsia="Courier New" w:hAnsi="Courier New"/>
                <w:sz w:val="14"/>
                <w:szCs w:val="14"/>
                <w:color w:val="auto"/>
              </w:rPr>
              <w:t>Miscellaneous.</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1"/>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20" w:type="dxa"/>
            <w:vAlign w:val="bottom"/>
          </w:tcPr>
          <w:p>
            <w:pPr>
              <w:ind w:left="180"/>
              <w:spacing w:after="0"/>
              <w:rPr>
                <w:sz w:val="20"/>
                <w:szCs w:val="20"/>
                <w:color w:val="auto"/>
              </w:rPr>
            </w:pPr>
            <w:r>
              <w:rPr>
                <w:rFonts w:ascii="Courier New" w:cs="Courier New" w:eastAsia="Courier New" w:hAnsi="Courier New"/>
                <w:sz w:val="14"/>
                <w:szCs w:val="14"/>
                <w:color w:val="auto"/>
              </w:rPr>
              <w:t>20.1 Multiple Agreements. The</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terms of</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each Option or Award</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may differ</w:t>
            </w:r>
          </w:p>
        </w:tc>
        <w:tc>
          <w:tcPr>
            <w:tcW w:w="3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from other Options or Awards granted</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under the Plan at</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the same time,</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or at some</w:t>
            </w:r>
          </w:p>
        </w:tc>
        <w:tc>
          <w:tcPr>
            <w:tcW w:w="39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other time. The Committee may also grant more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than one</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Option or</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Award to a</w:t>
            </w:r>
          </w:p>
        </w:tc>
        <w:tc>
          <w:tcPr>
            <w:tcW w:w="3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given Eligible Individual during the</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term of the Plan,</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either in</w:t>
            </w:r>
          </w:p>
        </w:tc>
      </w:tr>
      <w:tr>
        <w:trPr>
          <w:trHeight w:val="166"/>
        </w:trPr>
        <w:tc>
          <w:tcPr>
            <w:tcW w:w="4880" w:type="dxa"/>
            <w:vAlign w:val="bottom"/>
            <w:gridSpan w:val="4"/>
          </w:tcPr>
          <w:p>
            <w:pPr>
              <w:spacing w:after="0"/>
              <w:rPr>
                <w:sz w:val="20"/>
                <w:szCs w:val="20"/>
                <w:color w:val="auto"/>
              </w:rPr>
            </w:pPr>
            <w:r>
              <w:rPr>
                <w:rFonts w:ascii="Courier New" w:cs="Courier New" w:eastAsia="Courier New" w:hAnsi="Courier New"/>
                <w:sz w:val="14"/>
                <w:szCs w:val="14"/>
                <w:color w:val="auto"/>
              </w:rPr>
              <w:t>addition to, or in substitution for, one or more Options</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or Awards previously</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granted to</w:t>
            </w:r>
          </w:p>
        </w:tc>
        <w:tc>
          <w:tcPr>
            <w:tcW w:w="3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that Eligible Individual.</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r>
    </w:tbl>
    <w:p>
      <w:pPr>
        <w:spacing w:after="0" w:line="170"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20.2 Withholding of Taxes. (a) The Company may make such provisions and take such steps as it may deem necessary or appropriate for the withholding of any taxes which the Company is required by any law or regulation of any governmental authority, whether federal, state or local, domestic or foreign, to withhold in connection with any Option or the exercise thereof, any Share Appreciation Right or the exercise thereof, or the grant of any other Award, including, but not limited to, the withholding of cash or Shares which would be paid or delivered pursuant to such exercise or Award or another exercise of Award under this Plan until the Grantee reimburses the Company for the amount the Company is required to withhold with respect to such taxes, or canceling any portion of such Award or another Award under this Plan in an amount sufficient to reimburse itself for the amount it is required to so withhold. The Committee may permit a Grantee (or any beneficiary or other person authorized to act) to elect to pay a portion or all of any amounts required or permitted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801488.1</w:t>
      </w:r>
    </w:p>
    <w:p>
      <w:pPr>
        <w:sectPr>
          <w:pgSz w:w="11900" w:h="16838" w:orient="portrait"/>
          <w:cols w:equalWidth="0" w:num="1">
            <w:col w:w="10239"/>
          </w:cols>
          <w:pgMar w:left="220" w:top="947" w:right="1440" w:bottom="1440" w:gutter="0" w:footer="0" w:header="0"/>
        </w:sectPr>
      </w:pPr>
    </w:p>
    <w:bookmarkStart w:id="36" w:name="page37"/>
    <w:bookmarkEnd w:id="36"/>
    <w:p>
      <w:pPr>
        <w:ind w:right="3339"/>
        <w:spacing w:after="0" w:line="252" w:lineRule="auto"/>
        <w:rPr>
          <w:sz w:val="20"/>
          <w:szCs w:val="20"/>
          <w:color w:val="auto"/>
        </w:rPr>
      </w:pPr>
      <w:r>
        <w:rPr>
          <w:rFonts w:ascii="Courier New" w:cs="Courier New" w:eastAsia="Courier New" w:hAnsi="Courier New"/>
          <w:sz w:val="14"/>
          <w:szCs w:val="14"/>
          <w:color w:val="auto"/>
        </w:rPr>
        <w:t>to be withheld to satisfy federal, state, local or foreign tax obligations by directing the Company to withhold a number of whole Shares which would otherwise be distributed and which have a Fair Market Value sufficient to cover the amount of such required or permitted withholding taxes.</w:t>
      </w:r>
    </w:p>
    <w:p>
      <w:pPr>
        <w:spacing w:after="0" w:line="162" w:lineRule="exact"/>
        <w:rPr>
          <w:sz w:val="20"/>
          <w:szCs w:val="20"/>
          <w:color w:val="auto"/>
        </w:rPr>
      </w:pPr>
    </w:p>
    <w:p>
      <w:pPr>
        <w:ind w:right="3339" w:firstLine="1903"/>
        <w:spacing w:after="0" w:line="251" w:lineRule="auto"/>
        <w:tabs>
          <w:tab w:leader="none" w:pos="2239"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Optionee makes a disposition, within the meaning of Section 424(c) of the Code and regulations promulgated thereunder, of any Share or Shares issued to such Optionee pursuant to the exercise of an Incentive Share Option within the two-year period commencing on the day after the date of the grant or within the one-year period commencing on the day after the date of transfer of such Share or Shares to the Optionee pursuant to such exercise, the Optionee shall, within ten (10) days of such disposition, notify the Company thereof, by delivery of written notice to the Company at its principal executive office.</w:t>
      </w:r>
    </w:p>
    <w:p>
      <w:pPr>
        <w:spacing w:after="0" w:line="163" w:lineRule="exact"/>
        <w:rPr>
          <w:rFonts w:ascii="Courier New" w:cs="Courier New" w:eastAsia="Courier New" w:hAnsi="Courier New"/>
          <w:sz w:val="14"/>
          <w:szCs w:val="14"/>
          <w:color w:val="auto"/>
        </w:rPr>
      </w:pPr>
    </w:p>
    <w:p>
      <w:pPr>
        <w:ind w:right="3339" w:firstLine="1903"/>
        <w:spacing w:after="0" w:line="251" w:lineRule="auto"/>
        <w:tabs>
          <w:tab w:leader="none" w:pos="2239"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the authority, at the time of grant of an Option or Award under the Plan or at any time thereafter, to award tax bonuses to designated Optionees or Grantees, to be paid upon their exercise of Discretionary Options or payment in respect of Awards granted hereunder. The amount of any such payments shall be determined by the Committee. The Committee shall have full authority in its absolute discretion to determine the amount of any such tax bonus and the terms and conditions affecting the vesting and payment thereof.</w:t>
      </w:r>
    </w:p>
    <w:p>
      <w:pPr>
        <w:spacing w:after="0" w:line="163" w:lineRule="exact"/>
        <w:rPr>
          <w:rFonts w:ascii="Courier New" w:cs="Courier New" w:eastAsia="Courier New" w:hAnsi="Courier New"/>
          <w:sz w:val="14"/>
          <w:szCs w:val="14"/>
          <w:color w:val="auto"/>
        </w:rPr>
      </w:pPr>
    </w:p>
    <w:p>
      <w:pPr>
        <w:ind w:right="3419" w:firstLine="956"/>
        <w:spacing w:after="0" w:line="251" w:lineRule="auto"/>
        <w:tabs>
          <w:tab w:leader="none" w:pos="155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The effective date of the Plan shall be the date of its adoption by the Board, subject only to the approval by the affirmative vote of the holders of a majority of the securities of the Company present, or represented, and entitled to vote at a meeting of shareholders duly held in accordance with the applicable laws of the State of Maryland within twelve (12) months of such adoption.</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801488.1</w:t>
      </w:r>
    </w:p>
    <w:p>
      <w:pPr>
        <w:sectPr>
          <w:pgSz w:w="11900" w:h="16838" w:orient="portrait"/>
          <w:cols w:equalWidth="0" w:num="1">
            <w:col w:w="10239"/>
          </w:cols>
          <w:pgMar w:left="220" w:top="947" w:right="1440" w:bottom="1440" w:gutter="0" w:footer="0" w:header="0"/>
        </w:sectPr>
      </w:pPr>
    </w:p>
    <w:bookmarkStart w:id="37" w:name="page38"/>
    <w:bookmarkEnd w:id="37"/>
    <w:p>
      <w:pPr>
        <w:spacing w:after="0" w:line="7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Exhibit 5</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OPINION REGARDING LEGALITY</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BERLINER, CORCORAN &amp; ROWE, L.L.P.</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ATTORNEYS-AT-LAW</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1101 SEVENTEENTH STREET, N.W.</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SUITE 1100</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WASHINGTON, D.C. 20036-4798</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TELEPHONE (202) 293-5555 FAX (202) 293-9035</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E-mail BCR@BCR-DC.COM</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September 28, 1999</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Acadia Realty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 Soundview Marketplace</w:t>
      </w:r>
    </w:p>
    <w:p>
      <w:pPr>
        <w:spacing w:after="0" w:line="7" w:lineRule="exact"/>
        <w:rPr>
          <w:sz w:val="20"/>
          <w:szCs w:val="20"/>
          <w:color w:val="auto"/>
        </w:rPr>
      </w:pPr>
    </w:p>
    <w:p>
      <w:pPr>
        <w:spacing w:after="0"/>
        <w:tabs>
          <w:tab w:leader="none" w:pos="2320" w:val="left"/>
        </w:tabs>
        <w:rPr>
          <w:sz w:val="20"/>
          <w:szCs w:val="20"/>
          <w:color w:val="auto"/>
        </w:rPr>
      </w:pPr>
      <w:r>
        <w:rPr>
          <w:rFonts w:ascii="Courier New" w:cs="Courier New" w:eastAsia="Courier New" w:hAnsi="Courier New"/>
          <w:sz w:val="14"/>
          <w:szCs w:val="14"/>
          <w:color w:val="auto"/>
        </w:rPr>
        <w:t>Port Washington, New York</w:t>
        <w:tab/>
        <w:t>11050</w:t>
      </w:r>
    </w:p>
    <w:p>
      <w:pPr>
        <w:spacing w:after="0" w:line="173" w:lineRule="exact"/>
        <w:rPr>
          <w:sz w:val="20"/>
          <w:szCs w:val="20"/>
          <w:color w:val="auto"/>
        </w:rPr>
      </w:pPr>
    </w:p>
    <w:p>
      <w:pPr>
        <w:ind w:left="1300" w:right="3419" w:hanging="439"/>
        <w:spacing w:after="0" w:line="255" w:lineRule="auto"/>
        <w:tabs>
          <w:tab w:leader="none" w:pos="1280" w:val="left"/>
        </w:tabs>
        <w:rPr>
          <w:sz w:val="20"/>
          <w:szCs w:val="20"/>
          <w:color w:val="auto"/>
        </w:rPr>
      </w:pPr>
      <w:r>
        <w:rPr>
          <w:rFonts w:ascii="Courier New" w:cs="Courier New" w:eastAsia="Courier New" w:hAnsi="Courier New"/>
          <w:sz w:val="14"/>
          <w:szCs w:val="14"/>
          <w:color w:val="auto"/>
        </w:rPr>
        <w:t>Re:</w:t>
        <w:tab/>
        <w:t>Acadia Realty Trust Registration of 1999 Share Incentive Plan on Form S-8</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have acted as special counsel for Acadia Realty Trust, a Maryland real estate investment trust (the "Trust"), in connection with the preparation and filing of a registration statement on Form S-8 (the "Registration Statement") for the Trust's 1999 Share Incentive Plan ("Plan"). Pursuant to the Registration Statement, the Trust may initially issue up to an aggregate of 2,928,269 shares (the "Shares") of its Common Shares of Beneficial Interest, par value $.001 per share ("Common Shares"). This opinion is being furnished to you as a supporting document for such Registration Statement.</w:t>
      </w:r>
    </w:p>
    <w:p>
      <w:pPr>
        <w:spacing w:after="0" w:line="164"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In this connection we have examined and considered the original or copies, certified or otherwise identified to our satisfaction, of the following:</w:t>
      </w:r>
    </w:p>
    <w:p>
      <w:pPr>
        <w:spacing w:after="0" w:line="160" w:lineRule="exact"/>
        <w:rPr>
          <w:sz w:val="20"/>
          <w:szCs w:val="20"/>
          <w:color w:val="auto"/>
        </w:rPr>
      </w:pPr>
    </w:p>
    <w:p>
      <w:pPr>
        <w:ind w:right="3519" w:firstLine="784"/>
        <w:spacing w:after="0" w:line="255" w:lineRule="auto"/>
        <w:tabs>
          <w:tab w:leader="none" w:pos="11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Delaration of Trust, including all amendments thereto, of the Trust, as in effect on the date hereof;</w:t>
      </w:r>
    </w:p>
    <w:p>
      <w:pPr>
        <w:spacing w:after="0" w:line="159" w:lineRule="exact"/>
        <w:rPr>
          <w:rFonts w:ascii="Courier New" w:cs="Courier New" w:eastAsia="Courier New" w:hAnsi="Courier New"/>
          <w:sz w:val="14"/>
          <w:szCs w:val="14"/>
          <w:color w:val="auto"/>
        </w:rPr>
      </w:pPr>
    </w:p>
    <w:p>
      <w:pPr>
        <w:ind w:right="3419" w:firstLine="784"/>
        <w:spacing w:after="0" w:line="255" w:lineRule="auto"/>
        <w:tabs>
          <w:tab w:leader="none" w:pos="1206"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By-Laws of the Trust, including all amendments thereto, as in effect on the date hereof;</w:t>
      </w:r>
    </w:p>
    <w:p>
      <w:pPr>
        <w:spacing w:after="0" w:line="159" w:lineRule="exact"/>
        <w:rPr>
          <w:rFonts w:ascii="Courier New" w:cs="Courier New" w:eastAsia="Courier New" w:hAnsi="Courier New"/>
          <w:sz w:val="14"/>
          <w:szCs w:val="14"/>
          <w:color w:val="auto"/>
        </w:rPr>
      </w:pPr>
    </w:p>
    <w:p>
      <w:pPr>
        <w:ind w:right="3339" w:firstLine="784"/>
        <w:spacing w:after="0" w:line="252" w:lineRule="auto"/>
        <w:tabs>
          <w:tab w:leader="none" w:pos="1292"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Notice of the 1999 Annual Meeting ("Notice") and Proxy Statement mailed to holders of shares of the Trust noticing an annual meeting of holders of shares of the Trust ("Annual Meeting") and describing the actions to be voted on at such meeting, including approval of the Plan;</w:t>
      </w:r>
    </w:p>
    <w:p>
      <w:pPr>
        <w:spacing w:after="0" w:line="162" w:lineRule="exact"/>
        <w:rPr>
          <w:rFonts w:ascii="Courier New" w:cs="Courier New" w:eastAsia="Courier New" w:hAnsi="Courier New"/>
          <w:sz w:val="14"/>
          <w:szCs w:val="14"/>
          <w:color w:val="auto"/>
        </w:rPr>
      </w:pPr>
    </w:p>
    <w:p>
      <w:pPr>
        <w:ind w:right="3679" w:firstLine="784"/>
        <w:spacing w:after="0" w:line="252" w:lineRule="auto"/>
        <w:tabs>
          <w:tab w:leader="none" w:pos="1206"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Resolutions of the Trustees of the Trust, adopted pursuant to Unanimous Written Consent of the Trustees on February 4, 1999 and August 23, 1999, approving the Plan;</w:t>
      </w:r>
    </w:p>
    <w:p>
      <w:pPr>
        <w:spacing w:after="0" w:line="162" w:lineRule="exact"/>
        <w:rPr>
          <w:rFonts w:ascii="Courier New" w:cs="Courier New" w:eastAsia="Courier New" w:hAnsi="Courier New"/>
          <w:sz w:val="14"/>
          <w:szCs w:val="14"/>
          <w:color w:val="auto"/>
        </w:rPr>
      </w:pPr>
    </w:p>
    <w:p>
      <w:pPr>
        <w:ind w:right="3419" w:firstLine="784"/>
        <w:spacing w:after="0" w:line="252" w:lineRule="auto"/>
        <w:tabs>
          <w:tab w:leader="none" w:pos="1120"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filed with the Securities and Exchange Commission with respect to the Shares issuable upon exercise of options granted under the Plan; and</w:t>
      </w:r>
    </w:p>
    <w:p>
      <w:pPr>
        <w:spacing w:after="0" w:line="162" w:lineRule="exact"/>
        <w:rPr>
          <w:rFonts w:ascii="Courier New" w:cs="Courier New" w:eastAsia="Courier New" w:hAnsi="Courier New"/>
          <w:sz w:val="14"/>
          <w:szCs w:val="14"/>
          <w:color w:val="auto"/>
        </w:rPr>
      </w:pPr>
    </w:p>
    <w:p>
      <w:pPr>
        <w:ind w:left="1120" w:hanging="423"/>
        <w:spacing w:after="0"/>
        <w:tabs>
          <w:tab w:leader="none" w:pos="11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of the Secretary of the Trust dated September 28, 1999.</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addition, we have obtained from public officials, officers and other representatives of the Trust, and others such certificates, documents and assurances as we considered necessary or appropriate for purposes of rendering this opinion. In our examination of the documents listed in (i)-(iv) above and the other certificates and documents referred to herein, we have assumed the legal capacity of all natural persons, the genuineness of all signatures on documents not executed in our presence and facsimile or photostatic copies of which we reviewed, the authenticity of all documents submitted to us as originals, the conformity to the original documents of all documents submitted to us as certified or photostatic copies and the authenticity of the originals of such documents. Without limiting the generality of the foregoing we have relied upon the representations of the Trust as to the accuracy and completeness of (i) the Declaration of Trust and the By-laws of the Trust; (ii) the Plan;</w:t>
      </w:r>
    </w:p>
    <w:p>
      <w:pPr>
        <w:spacing w:after="0" w:line="6" w:lineRule="exact"/>
        <w:rPr>
          <w:sz w:val="20"/>
          <w:szCs w:val="20"/>
          <w:color w:val="auto"/>
        </w:rPr>
      </w:pPr>
    </w:p>
    <w:p>
      <w:pPr>
        <w:ind w:left="520" w:hanging="512"/>
        <w:spacing w:after="0"/>
        <w:tabs>
          <w:tab w:leader="none" w:pos="5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and (iv) the representations of the Trust that</w:t>
      </w:r>
    </w:p>
    <w:p>
      <w:pPr>
        <w:spacing w:after="0" w:line="7" w:lineRule="exact"/>
        <w:rPr>
          <w:rFonts w:ascii="Courier New" w:cs="Courier New" w:eastAsia="Courier New" w:hAnsi="Courier New"/>
          <w:sz w:val="14"/>
          <w:szCs w:val="14"/>
          <w:color w:val="auto"/>
        </w:rPr>
      </w:pPr>
    </w:p>
    <w:p>
      <w:pPr>
        <w:ind w:right="3339" w:firstLine="8"/>
        <w:spacing w:after="0" w:line="252" w:lineRule="auto"/>
        <w:tabs>
          <w:tab w:leader="none" w:pos="344"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resolutions of the Trustees, dated February 4, 1999 and August 23, 1999, approving, among other things, the Plan, filing the Registration Statement, and reserving the Shares, and (b) the By-laws of the Trust have not been rescinded, modified or revoked.</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Based upon the assumptions, qualifications and limitations set forth herein, and relying upon the statements of fact contained in the documents that we have examined, we are of the opinion, as of the date hereof, that when options have been exercised as contemplated by the Plan, consideration has been paid for the Shares underlying the options as contemplated by the Plan, and the Registration Statement shall have become effective, the Shares will constitute legally issued, fully paid and nonassessable, and valid and binding obligations of the Trust.</w:t>
      </w:r>
    </w:p>
    <w:p>
      <w:pPr>
        <w:spacing w:after="0" w:line="330"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In addition to the assumptions set forth above, the opinions set forth herein are also subject to the following qualifications and limitations:</w:t>
      </w:r>
    </w:p>
    <w:p>
      <w:pPr>
        <w:spacing w:after="0" w:line="160" w:lineRule="exact"/>
        <w:rPr>
          <w:sz w:val="20"/>
          <w:szCs w:val="20"/>
          <w:color w:val="auto"/>
        </w:rPr>
      </w:pPr>
    </w:p>
    <w:p>
      <w:pPr>
        <w:ind w:right="3339" w:firstLine="784"/>
        <w:spacing w:after="0" w:line="252" w:lineRule="auto"/>
        <w:tabs>
          <w:tab w:leader="none" w:pos="11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opinions expressed in this letter are based upon the assumption that the Trust will keep the Registration Statement effective and that any Shares issued upon the exercise of options will be issued only at a time when the Registration Statement is effective.</w:t>
      </w:r>
    </w:p>
    <w:p>
      <w:pPr>
        <w:spacing w:after="0" w:line="162" w:lineRule="exact"/>
        <w:rPr>
          <w:rFonts w:ascii="Courier New" w:cs="Courier New" w:eastAsia="Courier New" w:hAnsi="Courier New"/>
          <w:sz w:val="14"/>
          <w:szCs w:val="14"/>
          <w:color w:val="auto"/>
        </w:rPr>
      </w:pPr>
    </w:p>
    <w:p>
      <w:pPr>
        <w:ind w:right="3519" w:firstLine="784"/>
        <w:spacing w:after="0" w:line="252" w:lineRule="auto"/>
        <w:tabs>
          <w:tab w:leader="none" w:pos="11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opinions expressed in this letter are specifically limited to the matters set forth in this letter and no other opinions should be inferred beyond the matters expressly stated herein.</w:t>
      </w:r>
    </w:p>
    <w:p>
      <w:pPr>
        <w:sectPr>
          <w:pgSz w:w="11900" w:h="16909" w:orient="portrait"/>
          <w:cols w:equalWidth="0" w:num="1">
            <w:col w:w="10239"/>
          </w:cols>
          <w:pgMar w:left="220" w:top="473" w:right="1440" w:bottom="0" w:gutter="0" w:footer="0" w:header="0"/>
        </w:sectPr>
      </w:pPr>
    </w:p>
    <w:bookmarkStart w:id="38" w:name="page39"/>
    <w:bookmarkEnd w:id="38"/>
    <w:p>
      <w:pPr>
        <w:jc w:val="both"/>
        <w:ind w:right="3419" w:firstLine="784"/>
        <w:spacing w:after="0" w:line="252" w:lineRule="auto"/>
        <w:tabs>
          <w:tab w:leader="none" w:pos="11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opinions expressed in this letter are based on the laws of the jurisdictions referred to in the next paragraph as they may be in effect on the date hereof and we assume no obligation to supplement this opinion if any applicable laws change after the date hereof.</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opinions herein expressed are limited in all respects solely to matters governed by the internal laws of the State of Maryland, and the federal laws of the United States of America, insofar as each may be applicable. We express no opinion herein with respect to matters of local, county or municipal law, or with respect to the laws, regulations, or ordinances of local agencies within any state. Subject to the foregoing, any reference herein to "law" means applicable constitutions, statutes, regulations and judicial decisions. To the extent that this opinion relates to the laws of the State of Maryland, it is based upon the opinion of members of this firm who are members of the bar of that State.</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This opinion letter is rendered solely to you in connection with the above referenced matter and may not be relied upon by you for any other purpose or delivered to, or quoted or relied upon by, any other person without our prior written consent. This opinion letter is rendered as of the date hereof, and we assume no obligation to advise you of any facts, circumstances, events or developments that may be brought to our attention in the future, which facts, circumstances, events or developments may alter, affect or modify the opinions or beliefs expressed herein.</w:t>
      </w:r>
    </w:p>
    <w:p>
      <w:pPr>
        <w:spacing w:after="0" w:line="164"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We hereby consent to the filing of this opinion as an exhibit to the Registration Statement.</w:t>
      </w:r>
    </w:p>
    <w:p>
      <w:pPr>
        <w:spacing w:after="0" w:line="16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Very truly yours,</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 Berliner, Corcoran &amp; Rowe, L.L.P.</w:t>
      </w:r>
    </w:p>
    <w:p>
      <w:pPr>
        <w:sectPr>
          <w:pgSz w:w="11900" w:h="16838" w:orient="portrait"/>
          <w:cols w:equalWidth="0" w:num="1">
            <w:col w:w="10239"/>
          </w:cols>
          <w:pgMar w:left="220" w:top="307" w:right="1440" w:bottom="1440" w:gutter="0" w:footer="0" w:header="0"/>
        </w:sectPr>
      </w:pPr>
    </w:p>
    <w:bookmarkStart w:id="39" w:name="page40"/>
    <w:bookmarkEnd w:id="39"/>
    <w:p>
      <w:pPr>
        <w:jc w:val="center"/>
        <w:ind w:right="3339"/>
        <w:spacing w:after="0"/>
        <w:rPr>
          <w:sz w:val="20"/>
          <w:szCs w:val="20"/>
          <w:color w:val="auto"/>
        </w:rPr>
      </w:pPr>
      <w:r>
        <w:rPr>
          <w:rFonts w:ascii="Courier New" w:cs="Courier New" w:eastAsia="Courier New" w:hAnsi="Courier New"/>
          <w:sz w:val="14"/>
          <w:szCs w:val="14"/>
          <w:color w:val="auto"/>
        </w:rPr>
        <w:t>Exhibit 23</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CONSENTS OF EXPERTS AND COUNSEL</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consent to the incorporation by reference in the Registration Statement (Form S-8) pertaining to the 1999 Share Incentive Plan of Acadia Realty Trust of our report dated March 15, 1999, with respect to the consolidated financial statements and schedules of Acadia Realty Trust included in its Annual Report on Form 10-K for the year ended December 31, 1998 filed with the Securities and Exchange Commission.</w:t>
      </w:r>
    </w:p>
    <w:p>
      <w:pPr>
        <w:spacing w:after="0" w:line="164" w:lineRule="exact"/>
        <w:rPr>
          <w:sz w:val="20"/>
          <w:szCs w:val="20"/>
          <w:color w:val="auto"/>
        </w:rPr>
      </w:pPr>
    </w:p>
    <w:p>
      <w:pPr>
        <w:ind w:left="4660"/>
        <w:spacing w:after="0"/>
        <w:tabs>
          <w:tab w:leader="none" w:pos="5080" w:val="left"/>
        </w:tabs>
        <w:rPr>
          <w:sz w:val="20"/>
          <w:szCs w:val="20"/>
          <w:color w:val="auto"/>
        </w:rPr>
      </w:pPr>
      <w:r>
        <w:rPr>
          <w:rFonts w:ascii="Courier New" w:cs="Courier New" w:eastAsia="Courier New" w:hAnsi="Courier New"/>
          <w:sz w:val="14"/>
          <w:szCs w:val="14"/>
          <w:color w:val="auto"/>
        </w:rPr>
        <w:t>/s/</w:t>
        <w:tab/>
        <w:t>ERNST &amp; YOUNG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27, 1999</w:t>
      </w:r>
    </w:p>
    <w:sectPr>
      <w:pgSz w:w="11900" w:h="16838" w:orient="portrait"/>
      <w:cols w:equalWidth="0" w:num="1">
        <w:col w:w="10239"/>
      </w:cols>
      <w:pgMar w:left="220" w:top="4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lvl w:ilvl="1">
      <w:lvlJc w:val="left"/>
      <w:lvlText w:val="(%2)"/>
      <w:numFmt w:val="decimal"/>
      <w:start w:val="516"/>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1)"/>
      <w:numFmt w:val="lowerLetter"/>
      <w:start w:val="1"/>
    </w:lvl>
  </w:abstractNum>
  <w:abstractNum w:abstractNumId="5">
    <w:nsid w:val="1E7FF521"/>
    <w:multiLevelType w:val="hybridMultilevel"/>
    <w:lvl w:ilvl="0">
      <w:lvlJc w:val="left"/>
      <w:lvlText w:val="(%1)"/>
      <w:numFmt w:val="lowerRoman"/>
      <w:start w:val="2"/>
    </w:lvl>
  </w:abstractNum>
  <w:abstractNum w:abstractNumId="6">
    <w:nsid w:val="7C3DBD3D"/>
    <w:multiLevelType w:val="hybridMultilevel"/>
    <w:lvl w:ilvl="0">
      <w:lvlJc w:val="left"/>
      <w:lvlText w:val="(%1)"/>
      <w:numFmt w:val="lowerLetter"/>
      <w:start w:val="3"/>
    </w:lvl>
  </w:abstractNum>
  <w:abstractNum w:abstractNumId="7">
    <w:nsid w:val="737B8DDC"/>
    <w:multiLevelType w:val="hybridMultilevel"/>
    <w:lvl w:ilvl="0">
      <w:lvlJc w:val="left"/>
      <w:lvlText w:val="5"/>
      <w:numFmt w:val="bullet"/>
      <w:start w:val="1"/>
    </w:lvl>
  </w:abstractNum>
  <w:abstractNum w:abstractNumId="8">
    <w:nsid w:val="6CEAF08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
    <w:nsid w:val="22221A70"/>
    <w:multiLevelType w:val="hybridMultilevel"/>
    <w:lvl w:ilvl="0">
      <w:lvlJc w:val="left"/>
      <w:lvlText w:val="(%1)"/>
      <w:numFmt w:val="decimal"/>
      <w:start w:val="2"/>
    </w:lvl>
  </w:abstractNum>
  <w:abstractNum w:abstractNumId="10">
    <w:nsid w:val="4516DDE9"/>
    <w:multiLevelType w:val="hybridMultilevel"/>
    <w:lvl w:ilvl="0">
      <w:lvlJc w:val="left"/>
      <w:lvlText w:val="(%1)"/>
      <w:numFmt w:val="lowerLetter"/>
      <w:start w:val="2"/>
    </w:lvl>
  </w:abstractNum>
  <w:abstractNum w:abstractNumId="11">
    <w:nsid w:val="3006C83E"/>
    <w:multiLevelType w:val="hybridMultilevel"/>
    <w:lvl w:ilvl="0">
      <w:lvlJc w:val="left"/>
      <w:lvlText w:val="5"/>
      <w:numFmt w:val="bullet"/>
      <w:start w:val="1"/>
    </w:lvl>
  </w:abstractNum>
  <w:abstractNum w:abstractNumId="12">
    <w:nsid w:val="614FD4A1"/>
    <w:multiLevelType w:val="hybridMultilevel"/>
    <w:lvl w:ilvl="0">
      <w:lvlJc w:val="left"/>
      <w:lvlText w:val="%1."/>
      <w:numFmt w:val="decimal"/>
      <w:start w:val="1"/>
    </w:lvl>
  </w:abstractNum>
  <w:abstractNum w:abstractNumId="13">
    <w:nsid w:val="419AC241"/>
    <w:multiLevelType w:val="hybridMultilevel"/>
    <w:lvl w:ilvl="0">
      <w:lvlJc w:val="left"/>
      <w:lvlText w:val="%1."/>
      <w:numFmt w:val="decimal"/>
      <w:start w:val="2"/>
    </w:lvl>
  </w:abstractNum>
  <w:abstractNum w:abstractNumId="14">
    <w:nsid w:val="5577F8E1"/>
    <w:multiLevelType w:val="hybridMultilevel"/>
    <w:lvl w:ilvl="0">
      <w:lvlJc w:val="left"/>
      <w:lvlText w:val="(%1)"/>
      <w:numFmt w:val="lowerLetter"/>
      <w:start w:val="1"/>
    </w:lvl>
    <w:lvl w:ilvl="1">
      <w:lvlJc w:val="left"/>
      <w:lvlText w:val="(%2)"/>
      <w:numFmt w:val="lowerLetter"/>
      <w:start w:val="9"/>
    </w:lvl>
  </w:abstractNum>
  <w:abstractNum w:abstractNumId="15">
    <w:nsid w:val="440BADFC"/>
    <w:multiLevelType w:val="hybridMultilevel"/>
    <w:lvl w:ilvl="0">
      <w:lvlJc w:val="left"/>
      <w:lvlText w:val="%1"/>
      <w:numFmt w:val="lowerRoman"/>
      <w:start w:val="1"/>
    </w:lvl>
    <w:lvl w:ilvl="1">
      <w:lvlJc w:val="left"/>
      <w:lvlText w:val="(%2)"/>
      <w:numFmt w:val="upperLetter"/>
      <w:start w:val="1"/>
    </w:lvl>
  </w:abstractNum>
  <w:abstractNum w:abstractNumId="16">
    <w:nsid w:val="5072367"/>
    <w:multiLevelType w:val="hybridMultilevel"/>
    <w:lvl w:ilvl="0">
      <w:lvlJc w:val="left"/>
      <w:lvlText w:val="(%1)"/>
      <w:numFmt w:val="lowerRoman"/>
      <w:start w:val="2"/>
    </w:lvl>
    <w:lvl w:ilvl="1">
      <w:lvlJc w:val="left"/>
      <w:lvlText w:val="%2"/>
      <w:numFmt w:val="upperLetter"/>
      <w:start w:val="1"/>
    </w:lvl>
  </w:abstractNum>
  <w:abstractNum w:abstractNumId="17">
    <w:nsid w:val="3804823E"/>
    <w:multiLevelType w:val="hybridMultilevel"/>
    <w:lvl w:ilvl="0">
      <w:lvlJc w:val="left"/>
      <w:lvlText w:val="%1."/>
      <w:numFmt w:val="decimal"/>
      <w:start w:val="3"/>
    </w:lvl>
  </w:abstractNum>
  <w:abstractNum w:abstractNumId="18">
    <w:nsid w:val="77465F01"/>
    <w:multiLevelType w:val="hybridMultilevel"/>
    <w:lvl w:ilvl="0">
      <w:lvlJc w:val="left"/>
      <w:lvlText w:val="(%1)"/>
      <w:numFmt w:val="lowerLetter"/>
      <w:start w:val="1"/>
    </w:lvl>
  </w:abstractNum>
  <w:abstractNum w:abstractNumId="19">
    <w:nsid w:val="7724C67E"/>
    <w:multiLevelType w:val="hybridMultilevel"/>
    <w:lvl w:ilvl="0">
      <w:lvlJc w:val="left"/>
      <w:lvlText w:val="(%1)"/>
      <w:numFmt w:val="lowerLetter"/>
      <w:start w:val="1"/>
    </w:lvl>
  </w:abstractNum>
  <w:abstractNum w:abstractNumId="20">
    <w:nsid w:val="5C482A97"/>
    <w:multiLevelType w:val="hybridMultilevel"/>
    <w:lvl w:ilvl="0">
      <w:lvlJc w:val="left"/>
      <w:lvlText w:val="%1"/>
      <w:numFmt w:val="decimal"/>
      <w:start w:val="1"/>
    </w:lvl>
    <w:lvl w:ilvl="1">
      <w:lvlJc w:val="left"/>
      <w:lvlText w:val="(%2)"/>
      <w:numFmt w:val="lowerLetter"/>
      <w:start w:val="5"/>
    </w:lvl>
  </w:abstractNum>
  <w:abstractNum w:abstractNumId="21">
    <w:nsid w:val="2463B9EA"/>
    <w:multiLevelType w:val="hybridMultilevel"/>
    <w:lvl w:ilvl="0">
      <w:lvlJc w:val="left"/>
      <w:lvlText w:val="%1."/>
      <w:numFmt w:val="decimal"/>
      <w:start w:val="4"/>
    </w:lvl>
    <w:lvl w:ilvl="1">
      <w:lvlJc w:val="left"/>
      <w:lvlText w:val="%2"/>
      <w:numFmt w:val="lowerLetter"/>
      <w:start w:val="1"/>
    </w:lvl>
  </w:abstractNum>
  <w:abstractNum w:abstractNumId="22">
    <w:nsid w:val="5E884ADC"/>
    <w:multiLevelType w:val="hybridMultilevel"/>
    <w:lvl w:ilvl="0">
      <w:lvlJc w:val="left"/>
      <w:lvlText w:val="%1."/>
      <w:numFmt w:val="decimal"/>
      <w:start w:val="5"/>
    </w:lvl>
  </w:abstractNum>
  <w:abstractNum w:abstractNumId="23">
    <w:nsid w:val="51EAD36B"/>
    <w:multiLevelType w:val="hybridMultilevel"/>
    <w:lvl w:ilvl="0">
      <w:lvlJc w:val="left"/>
      <w:lvlText w:val="(%1)"/>
      <w:numFmt w:val="lowerLetter"/>
      <w:start w:val="1"/>
    </w:lvl>
  </w:abstractNum>
  <w:abstractNum w:abstractNumId="24">
    <w:nsid w:val="2D517796"/>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25">
    <w:nsid w:val="580BD78F"/>
    <w:multiLevelType w:val="hybridMultilevel"/>
    <w:lvl w:ilvl="0">
      <w:lvlJc w:val="left"/>
      <w:lvlText w:val="(%1)"/>
      <w:numFmt w:val="decimal"/>
      <w:start w:val="3"/>
    </w:lvl>
    <w:lvl w:ilvl="1">
      <w:lvlJc w:val="left"/>
      <w:lvlText w:val="%2."/>
      <w:numFmt w:val="decimal"/>
      <w:start w:val="6"/>
    </w:lvl>
    <w:lvl w:ilvl="2">
      <w:lvlJc w:val="left"/>
      <w:lvlText w:val="%3"/>
      <w:numFmt w:val="lowerLetter"/>
      <w:start w:val="1"/>
    </w:lvl>
  </w:abstractNum>
  <w:abstractNum w:abstractNumId="26">
    <w:nsid w:val="153EA438"/>
    <w:multiLevelType w:val="hybridMultilevel"/>
    <w:lvl w:ilvl="0">
      <w:lvlJc w:val="left"/>
      <w:lvlText w:val="%1."/>
      <w:numFmt w:val="decimal"/>
      <w:start w:val="7"/>
    </w:lvl>
  </w:abstractNum>
  <w:abstractNum w:abstractNumId="27">
    <w:nsid w:val="3855585C"/>
    <w:multiLevelType w:val="hybridMultilevel"/>
    <w:lvl w:ilvl="0">
      <w:lvlJc w:val="left"/>
      <w:lvlText w:val="%1."/>
      <w:numFmt w:val="decimal"/>
      <w:start w:val="8"/>
    </w:lvl>
  </w:abstractNum>
  <w:abstractNum w:abstractNumId="28">
    <w:nsid w:val="70A64E2A"/>
    <w:multiLevelType w:val="hybridMultilevel"/>
    <w:lvl w:ilvl="0">
      <w:lvlJc w:val="left"/>
      <w:lvlText w:val="(%1)"/>
      <w:numFmt w:val="lowerRoman"/>
      <w:start w:val="1"/>
    </w:lvl>
  </w:abstractNum>
  <w:abstractNum w:abstractNumId="29">
    <w:nsid w:val="6A2342EC"/>
    <w:multiLevelType w:val="hybridMultilevel"/>
    <w:lvl w:ilvl="0">
      <w:lvlJc w:val="left"/>
      <w:lvlText w:val="(%1)"/>
      <w:numFmt w:val="lowerLetter"/>
      <w:start w:val="1"/>
    </w:lvl>
  </w:abstractNum>
  <w:abstractNum w:abstractNumId="30">
    <w:nsid w:val="2A487CB0"/>
    <w:multiLevelType w:val="hybridMultilevel"/>
    <w:lvl w:ilvl="0">
      <w:lvlJc w:val="left"/>
      <w:lvlText w:val="%1."/>
      <w:numFmt w:val="decimal"/>
      <w:start w:val="9"/>
    </w:lvl>
  </w:abstractNum>
  <w:abstractNum w:abstractNumId="31">
    <w:nsid w:val="1D4ED43B"/>
    <w:multiLevelType w:val="hybridMultilevel"/>
    <w:lvl w:ilvl="0">
      <w:lvlJc w:val="left"/>
      <w:lvlText w:val="(%1)"/>
      <w:numFmt w:val="lowerLetter"/>
      <w:start w:val="1"/>
    </w:lvl>
  </w:abstractNum>
  <w:abstractNum w:abstractNumId="32">
    <w:nsid w:val="725A06FB"/>
    <w:multiLevelType w:val="hybridMultilevel"/>
    <w:lvl w:ilvl="0">
      <w:lvlJc w:val="left"/>
      <w:lvlText w:val="%1."/>
      <w:numFmt w:val="decimal"/>
      <w:start w:val="10"/>
    </w:lvl>
  </w:abstractNum>
  <w:abstractNum w:abstractNumId="33">
    <w:nsid w:val="2CD89A32"/>
    <w:multiLevelType w:val="hybridMultilevel"/>
    <w:lvl w:ilvl="0">
      <w:lvlJc w:val="left"/>
      <w:lvlText w:val="(%1)"/>
      <w:numFmt w:val="lowerLetter"/>
      <w:start w:val="1"/>
    </w:lvl>
  </w:abstractNum>
  <w:abstractNum w:abstractNumId="34">
    <w:nsid w:val="57E4CCAF"/>
    <w:multiLevelType w:val="hybridMultilevel"/>
    <w:lvl w:ilvl="0">
      <w:lvlJc w:val="left"/>
      <w:lvlText w:val="(%1)"/>
      <w:numFmt w:val="lowerLetter"/>
      <w:start w:val="1"/>
    </w:lvl>
  </w:abstractNum>
  <w:abstractNum w:abstractNumId="35">
    <w:nsid w:val="7A6D8D3C"/>
    <w:multiLevelType w:val="hybridMultilevel"/>
    <w:lvl w:ilvl="0">
      <w:lvlJc w:val="left"/>
      <w:lvlText w:val="(%1)"/>
      <w:numFmt w:val="lowerLetter"/>
      <w:start w:val="2"/>
    </w:lvl>
  </w:abstractNum>
  <w:abstractNum w:abstractNumId="36">
    <w:nsid w:val="4B588F54"/>
    <w:multiLevelType w:val="hybridMultilevel"/>
    <w:lvl w:ilvl="0">
      <w:lvlJc w:val="left"/>
      <w:lvlText w:val="(%1)"/>
      <w:numFmt w:val="lowerLetter"/>
      <w:start w:val="1"/>
    </w:lvl>
  </w:abstractNum>
  <w:abstractNum w:abstractNumId="37">
    <w:nsid w:val="542289EC"/>
    <w:multiLevelType w:val="hybridMultilevel"/>
    <w:lvl w:ilvl="0">
      <w:lvlJc w:val="left"/>
      <w:lvlText w:val="%1."/>
      <w:numFmt w:val="decimal"/>
      <w:start w:val="11"/>
    </w:lvl>
  </w:abstractNum>
  <w:abstractNum w:abstractNumId="38">
    <w:nsid w:val="6DE91B18"/>
    <w:multiLevelType w:val="hybridMultilevel"/>
    <w:lvl w:ilvl="0">
      <w:lvlJc w:val="left"/>
      <w:lvlText w:val="%1."/>
      <w:numFmt w:val="decimal"/>
      <w:start w:val="12"/>
    </w:lvl>
    <w:lvl w:ilvl="1">
      <w:lvlJc w:val="left"/>
      <w:lvlText w:val="(%2)"/>
      <w:numFmt w:val="lowerLetter"/>
      <w:start w:val="1"/>
    </w:lvl>
  </w:abstractNum>
  <w:abstractNum w:abstractNumId="39">
    <w:nsid w:val="38437FD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0">
    <w:nsid w:val="7644A45C"/>
    <w:multiLevelType w:val="hybridMultilevel"/>
    <w:lvl w:ilvl="0">
      <w:lvlJc w:val="left"/>
      <w:lvlText w:val="%1"/>
      <w:numFmt w:val="lowerLetter"/>
      <w:start w:val="1"/>
    </w:lvl>
    <w:lvl w:ilvl="1">
      <w:lvlJc w:val="left"/>
      <w:lvlText w:val="%2."/>
      <w:numFmt w:val="decimal"/>
      <w:start w:val="15"/>
    </w:lvl>
    <w:lvl w:ilvl="2">
      <w:lvlJc w:val="left"/>
      <w:lvlText w:val="%3"/>
      <w:numFmt w:val="lowerLetter"/>
      <w:start w:val="1"/>
    </w:lvl>
  </w:abstractNum>
  <w:abstractNum w:abstractNumId="41">
    <w:nsid w:val="32FFF902"/>
    <w:multiLevelType w:val="hybridMultilevel"/>
    <w:lvl w:ilvl="0">
      <w:lvlJc w:val="left"/>
      <w:lvlText w:val="(%1)"/>
      <w:numFmt w:val="lowerLetter"/>
      <w:start w:val="61"/>
    </w:lvl>
    <w:lvl w:ilvl="1">
      <w:lvlJc w:val="left"/>
      <w:lvlText w:val="%2."/>
      <w:numFmt w:val="decimal"/>
      <w:start w:val="16"/>
    </w:lvl>
    <w:lvl w:ilvl="2">
      <w:lvlJc w:val="left"/>
      <w:lvlText w:val="%3"/>
      <w:numFmt w:val="lowerLetter"/>
      <w:start w:val="1"/>
    </w:lvl>
  </w:abstractNum>
  <w:abstractNum w:abstractNumId="42">
    <w:nsid w:val="684A481A"/>
    <w:multiLevelType w:val="hybridMultilevel"/>
    <w:lvl w:ilvl="0">
      <w:lvlJc w:val="left"/>
      <w:lvlText w:val="(%1)"/>
      <w:numFmt w:val="lowerLetter"/>
      <w:start w:val="1"/>
    </w:lvl>
  </w:abstractNum>
  <w:abstractNum w:abstractNumId="43">
    <w:nsid w:val="579478FE"/>
    <w:multiLevelType w:val="hybridMultilevel"/>
    <w:lvl w:ilvl="0">
      <w:lvlJc w:val="left"/>
      <w:lvlText w:val="%1."/>
      <w:numFmt w:val="decimal"/>
      <w:start w:val="17"/>
    </w:lvl>
  </w:abstractNum>
  <w:abstractNum w:abstractNumId="44">
    <w:nsid w:val="749ABB43"/>
    <w:multiLevelType w:val="hybridMultilevel"/>
    <w:lvl w:ilvl="0">
      <w:lvlJc w:val="left"/>
      <w:lvlText w:val="%1."/>
      <w:numFmt w:val="decimal"/>
      <w:start w:val="18"/>
    </w:lvl>
  </w:abstractNum>
  <w:abstractNum w:abstractNumId="45">
    <w:nsid w:val="3DC240FB"/>
    <w:multiLevelType w:val="hybridMultilevel"/>
    <w:lvl w:ilvl="0">
      <w:lvlJc w:val="left"/>
      <w:lvlText w:val="%1"/>
      <w:numFmt w:val="decimal"/>
      <w:start w:val="1"/>
    </w:lvl>
    <w:lvl w:ilvl="1">
      <w:lvlJc w:val="left"/>
      <w:lvlText w:val="(%2)"/>
      <w:numFmt w:val="lowerRoman"/>
      <w:start w:val="1"/>
    </w:lvl>
  </w:abstractNum>
  <w:abstractNum w:abstractNumId="46">
    <w:nsid w:val="1BA026FA"/>
    <w:multiLevelType w:val="hybridMultilevel"/>
    <w:lvl w:ilvl="0">
      <w:lvlJc w:val="left"/>
      <w:lvlText w:val="%1."/>
      <w:numFmt w:val="decimal"/>
      <w:start w:val="19"/>
    </w:lvl>
    <w:lvl w:ilvl="1">
      <w:lvlJc w:val="left"/>
      <w:lvlText w:val="%2"/>
      <w:numFmt w:val="lowerRoman"/>
      <w:start w:val="1"/>
    </w:lvl>
  </w:abstractNum>
  <w:abstractNum w:abstractNumId="47">
    <w:nsid w:val="79A1DEAA"/>
    <w:multiLevelType w:val="hybridMultilevel"/>
    <w:lvl w:ilvl="0">
      <w:lvlJc w:val="left"/>
      <w:lvlText w:val="%1"/>
      <w:numFmt w:val="decimal"/>
      <w:start w:val="1"/>
    </w:lvl>
    <w:lvl w:ilvl="1">
      <w:lvlJc w:val="left"/>
      <w:lvlText w:val="(%2)"/>
      <w:numFmt w:val="lowerLetter"/>
      <w:start w:val="2"/>
    </w:lvl>
  </w:abstractNum>
  <w:abstractNum w:abstractNumId="48">
    <w:nsid w:val="75C6C33A"/>
    <w:multiLevelType w:val="hybridMultilevel"/>
    <w:lvl w:ilvl="0">
      <w:lvlJc w:val="left"/>
      <w:lvlText w:val="%1."/>
      <w:numFmt w:val="decimal"/>
      <w:start w:val="21"/>
    </w:lvl>
    <w:lvl w:ilvl="1">
      <w:lvlJc w:val="left"/>
      <w:lvlText w:val="%2"/>
      <w:numFmt w:val="lowerLetter"/>
      <w:start w:val="1"/>
    </w:lvl>
  </w:abstractNum>
  <w:abstractNum w:abstractNumId="49">
    <w:nsid w:val="12E685FB"/>
    <w:multiLevelType w:val="hybridMultilevel"/>
    <w:lvl w:ilvl="0">
      <w:lvlJc w:val="left"/>
      <w:lvlText w:val="(%1)"/>
      <w:numFmt w:val="lowerRoman"/>
      <w:start w:val="1"/>
    </w:lvl>
    <w:lvl w:ilvl="1">
      <w:lvlJc w:val="left"/>
      <w:lvlText w:val="(%2)"/>
      <w:numFmt w:val="lowerRoman"/>
      <w:start w:val="2"/>
    </w:lvl>
  </w:abstractNum>
  <w:abstractNum w:abstractNumId="50">
    <w:nsid w:val="70C6A529"/>
    <w:multiLevelType w:val="hybridMultilevel"/>
    <w:lvl w:ilvl="0">
      <w:lvlJc w:val="left"/>
      <w:lvlText w:val="(%1)"/>
      <w:numFmt w:val="lowerRoman"/>
      <w:start w:val="6"/>
    </w:lvl>
    <w:lvl w:ilvl="1">
      <w:lvlJc w:val="left"/>
      <w:lvlText w:val="%2"/>
      <w:numFmt w:val="lowerRoman"/>
      <w:start w:val="1"/>
    </w:lvl>
  </w:abstractNum>
  <w:abstractNum w:abstractNumId="51">
    <w:nsid w:val="520EEDD1"/>
    <w:multiLevelType w:val="hybridMultilevel"/>
    <w:lvl w:ilvl="0">
      <w:lvlJc w:val="left"/>
      <w:lvlText w:val="(%1)"/>
      <w:numFmt w:val="lowerLetter"/>
      <w:start w:val="61"/>
    </w:lvl>
  </w:abstractNum>
  <w:abstractNum w:abstractNumId="52">
    <w:nsid w:val="374A3FE6"/>
    <w:multiLevelType w:val="hybridMultilevel"/>
    <w:lvl w:ilvl="0">
      <w:lvlJc w:val="left"/>
      <w:lvlText w:val="(%1)"/>
      <w:numFmt w:val="lowerLetter"/>
      <w:start w:val="1"/>
    </w:lvl>
  </w:abstractNum>
  <w:abstractNum w:abstractNumId="53">
    <w:nsid w:val="4F4EF005"/>
    <w:multiLevelType w:val="hybridMultilevel"/>
    <w:lvl w:ilvl="0">
      <w:lvlJc w:val="left"/>
      <w:lvlText w:val="(%1)"/>
      <w:numFmt w:val="lowerLetter"/>
      <w:start w:val="1"/>
    </w:lvl>
  </w:abstractNum>
  <w:abstractNum w:abstractNumId="54">
    <w:nsid w:val="23F9C13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2020-02-22T14:40:43Z</dcterms:created>
  <dcterms:modified xsi:type="dcterms:W3CDTF">2020-02-22T14:40:43Z</dcterms:modified>
</cp:coreProperties>
</file>