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kr-20260513.htm"/>
      <w:bookmarkStart w:id="1" w:name="ksakr20260513"/>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240" w:after="283"/>
        <w:jc w:val="center"/>
        <w:rPr>
          <w:rFonts w:ascii="Times New Roman" w:hAnsi="Times New Roman"/>
          <w:color w:val="000000"/>
          <w:sz w:val="26"/>
        </w:rPr>
      </w:pPr>
      <w:r>
        <w:rPr>
          <w:rFonts w:ascii="Times New Roman" w:hAnsi="Times New Roman"/>
          <w:color w:val="000000"/>
          <w:sz w:val="26"/>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Date of Report (Date of Earliest Event Reported): May 13,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ACADIA REALTY TRUST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211"/>
        <w:gridCol w:w="146"/>
        <w:gridCol w:w="2071"/>
        <w:gridCol w:w="146"/>
        <w:gridCol w:w="271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1-12002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23-2715194</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411 Theodore Fremd Avenue</w:t>
      </w:r>
    </w:p>
    <w:p>
      <w:pPr>
        <w:pStyle w:val="TextBody"/>
        <w:bidi w:val="0"/>
        <w:jc w:val="center"/>
        <w:rPr>
          <w:rFonts w:ascii="Times New Roman" w:hAnsi="Times New Roman"/>
          <w:color w:val="000000"/>
          <w:sz w:val="20"/>
        </w:rPr>
      </w:pPr>
      <w:r>
        <w:rPr>
          <w:rFonts w:ascii="Times New Roman" w:hAnsi="Times New Roman"/>
          <w:color w:val="000000"/>
          <w:sz w:val="20"/>
        </w:rPr>
        <w:t>Suite 300</w:t>
      </w:r>
    </w:p>
    <w:p>
      <w:pPr>
        <w:pStyle w:val="TextBody"/>
        <w:bidi w:val="0"/>
        <w:jc w:val="center"/>
        <w:rPr>
          <w:rFonts w:ascii="Times New Roman" w:hAnsi="Times New Roman"/>
          <w:color w:val="000000"/>
          <w:sz w:val="20"/>
        </w:rPr>
      </w:pPr>
      <w:r>
        <w:rPr>
          <w:rFonts w:ascii="Times New Roman" w:hAnsi="Times New Roman"/>
          <w:color w:val="000000"/>
          <w:sz w:val="20"/>
        </w:rPr>
        <w:t>Rye, New York 10580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(914) 288-8100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10203" w:type="dxa"/>
        <w:jc w:val="left"/>
        <w:tblInd w:w="0" w:type="dxa"/>
        <w:tblLayout w:type="fixed"/>
        <w:tblCellMar>
          <w:top w:w="28" w:type="dxa"/>
          <w:left w:w="28" w:type="dxa"/>
          <w:bottom w:w="28" w:type="dxa"/>
          <w:right w:w="28" w:type="dxa"/>
        </w:tblCellMar>
      </w:tblPr>
      <w:tblGrid>
        <w:gridCol w:w="5341"/>
        <w:gridCol w:w="1471"/>
        <w:gridCol w:w="3391"/>
      </w:tblGrid>
      <w:tr>
        <w:trPr/>
        <w:tc>
          <w:tcPr>
            <w:tcW w:w="534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3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shares of beneficial interest, par value $0.001 per share</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AKR</w:t>
            </w:r>
          </w:p>
        </w:tc>
        <w:tc>
          <w:tcPr>
            <w:tcW w:w="339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April 28, 2026, Acadia Realty Trust (the “Company”) filed a Current Report on Form 8-K (the “Initial 8-K”) furnishing supplemental reporting information regarding the financial results, operations and portfolio of the Company as of and for the quarter ended March 31, 2026 (the “Supplemental Report”). Subsequent to that filing, the Company identified certain errors on page 22 of the Supplemental Report in the following rows:</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Pre-stabilized assets”: REIT pre-stabilized assets should have been stated as “337,937” instead of “1,032,481” and FUND IV pre-stabilized assets should have been stated as “17,481” instead of “12,875”</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Development and redevelopment projects”: REIT development and redevelopment projects should have been stated as “528,500” instead of “524,400”</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Total Costs to Date”: REIT total costs to date should have been stated as “866,437” instead of “1,556,881” and FUND IV total costs to date should have been stated as “45,281” instead of “40,675”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changes did not affect any other tables or text, or the press release furnished as Exhibit 99.1 to the Initial 8-K. A copy of the revised Supplemental Report is attached to this Current Report on Form 8-K as Exhibit 99.1 and incorporated herein by reference. The information included in this Item 2.02, including the information included in Exhibit 99.1, is intended to be “furnished” pursuant to Item 2.02, and is not deemed to be “filed” for purposes of Section 18 of the Securities Exchange Act of 1934, as amended (the “Exchange Act”), or incorporated by reference into any filing under the Securities Act of 1933, as amended (“Securities Act”) or the Exchange Act, or otherwise subject to the liabilities of Sections 11 and 12 (a)(2) of the Securities Act.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annual meeting of shareholders of the Company (the “2026 Annual Meeting”) was held on May 13, 2026. Shareholders representing 125,266,689 common shares of beneficial interest (“Common Shares”), or 95.57%, of the Common Shares outstanding as of the March 16, 2026 record date, either participated in or were represented at the 2026 Annual Meeting by proxy.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proposals listed below were submitted to a vote of the shareholders of the Company at the 2026 Annual Meeting. Each proposal is described in the Company’s definitive proxy statement for the 2026 Annual Meeting, filed with the Securities and Exchange Commission on March 31,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set forth the final voting results of the proposals.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11"/>
        <w:gridCol w:w="146"/>
        <w:gridCol w:w="158"/>
        <w:gridCol w:w="1099"/>
        <w:gridCol w:w="146"/>
        <w:gridCol w:w="146"/>
        <w:gridCol w:w="177"/>
        <w:gridCol w:w="1003"/>
        <w:gridCol w:w="146"/>
        <w:gridCol w:w="146"/>
        <w:gridCol w:w="180"/>
        <w:gridCol w:w="856"/>
        <w:gridCol w:w="146"/>
        <w:gridCol w:w="146"/>
        <w:gridCol w:w="261"/>
        <w:gridCol w:w="1243"/>
        <w:gridCol w:w="195"/>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Cast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Proposal No. 1 - Election of Trustees: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1a - Election of Trustee: Kenneth F. Bernstein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123,772,737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1b - Election of Trustee: Mark A. Denien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124,209,218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1c - Election of Trustee: Kenneth A. McIntyre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122,972,735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1d - Election of Trustee: William T. Spitz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121,008,927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1e - Election of Trustee: Lynn C. Thurber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123,256,400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1f - Election of Trustee: Lee S. Wielansky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122,023,011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2,198,918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1g - Election of Trustee: Hope B. Woodhouse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122,288,806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Proposal 1h - Election of Trustee: C. David Zoba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117,384,830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6,837,100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39"/>
        <w:gridCol w:w="146"/>
        <w:gridCol w:w="149"/>
        <w:gridCol w:w="1033"/>
        <w:gridCol w:w="146"/>
        <w:gridCol w:w="146"/>
        <w:gridCol w:w="163"/>
        <w:gridCol w:w="773"/>
        <w:gridCol w:w="146"/>
        <w:gridCol w:w="146"/>
        <w:gridCol w:w="202"/>
        <w:gridCol w:w="834"/>
        <w:gridCol w:w="146"/>
        <w:gridCol w:w="146"/>
        <w:gridCol w:w="467"/>
        <w:gridCol w:w="629"/>
        <w:gridCol w:w="194"/>
      </w:tblGrid>
      <w:tr>
        <w:trPr/>
        <w:tc>
          <w:tcPr>
            <w:tcW w:w="4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Cast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Proposal No. 2 - Ratification of the Appointment of Deloitte &amp; Touche, LLP as the Independent Registered Public Accounting Firm for the Fiscal Year Ending 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125,023,596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27"/>
        <w:gridCol w:w="146"/>
        <w:gridCol w:w="152"/>
        <w:gridCol w:w="1055"/>
        <w:gridCol w:w="146"/>
        <w:gridCol w:w="146"/>
        <w:gridCol w:w="162"/>
        <w:gridCol w:w="920"/>
        <w:gridCol w:w="146"/>
        <w:gridCol w:w="146"/>
        <w:gridCol w:w="202"/>
        <w:gridCol w:w="834"/>
        <w:gridCol w:w="146"/>
        <w:gridCol w:w="146"/>
        <w:gridCol w:w="214"/>
        <w:gridCol w:w="1021"/>
        <w:gridCol w:w="196"/>
      </w:tblGrid>
      <w:tr>
        <w:trPr/>
        <w:tc>
          <w:tcPr>
            <w:tcW w:w="4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Cast For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Abstentions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4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Proposal No. 3: Advisory (Non-Binding) Approval of Named Executive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117,956,235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6,293,624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bookmarkStart w:id="2" w:name="fis_unidentified_table_2"/>
      <w:bookmarkEnd w:id="2"/>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9364"/>
      </w:tblGrid>
      <w:tr>
        <w:trPr/>
        <w:tc>
          <w:tcPr>
            <w:tcW w:w="841" w:type="dxa"/>
            <w:tcBorders/>
            <w:vAlign w:val="center"/>
          </w:tcPr>
          <w:p>
            <w:pPr>
              <w:pStyle w:val="TableContents"/>
              <w:bidi w:val="0"/>
              <w:spacing w:before="0" w:after="283"/>
              <w:jc w:val="left"/>
              <w:rPr>
                <w:sz w:val="4"/>
                <w:szCs w:val="4"/>
              </w:rPr>
            </w:pPr>
            <w:r>
              <w:rPr>
                <w:sz w:val="4"/>
                <w:szCs w:val="4"/>
              </w:rPr>
            </w:r>
          </w:p>
        </w:tc>
        <w:tc>
          <w:tcPr>
            <w:tcW w:w="936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41"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b/>
                <w:color w:val="000000"/>
                <w:sz w:val="20"/>
                <w:u w:val="single"/>
              </w:rPr>
            </w:pPr>
            <w:r>
              <w:rPr>
                <w:rFonts w:ascii="Times New Roman" w:hAnsi="Times New Roman"/>
                <w:b/>
                <w:color w:val="000000"/>
                <w:sz w:val="20"/>
                <w:u w:val="single"/>
              </w:rPr>
              <w:t>Exhibit</w:t>
            </w:r>
          </w:p>
          <w:p>
            <w:pPr>
              <w:pStyle w:val="TableContents"/>
              <w:bidi w:val="0"/>
              <w:spacing w:before="0" w:after="283"/>
              <w:ind w:left="0" w:right="0" w:firstLine="30"/>
              <w:jc w:val="left"/>
              <w:rPr>
                <w:rFonts w:ascii="Times New Roman" w:hAnsi="Times New Roman"/>
                <w:b/>
                <w:color w:val="000000"/>
                <w:sz w:val="20"/>
                <w:u w:val="single"/>
              </w:rPr>
            </w:pPr>
            <w:r>
              <w:rPr>
                <w:rFonts w:ascii="Times New Roman" w:hAnsi="Times New Roman"/>
                <w:b/>
                <w:color w:val="000000"/>
                <w:sz w:val="20"/>
                <w:u w:val="single"/>
              </w:rPr>
              <w:t>Number</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u w:val="single"/>
              </w:rPr>
            </w:pPr>
            <w:r>
              <w:rPr>
                <w:color w:val="000000"/>
                <w:u w:val="single"/>
              </w:rPr>
              <w:t> </w:t>
            </w:r>
            <w:r>
              <w:rPr>
                <w:rFonts w:ascii="Times New Roman" w:hAnsi="Times New Roman"/>
                <w:b/>
                <w:color w:val="000000"/>
                <w:sz w:val="20"/>
                <w:u w:val="single"/>
              </w:rPr>
              <w:t>Description</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akr-ex99_1.htm">
              <w:r>
                <w:rPr>
                  <w:rStyle w:val="InternetLink"/>
                  <w:rFonts w:ascii="Times New Roman" w:hAnsi="Times New Roman"/>
                  <w:color w:val="0000FF"/>
                  <w:sz w:val="20"/>
                  <w:u w:val="single"/>
                </w:rPr>
                <w:t>99.1</w:t>
              </w:r>
            </w:hyperlink>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Supplemental Reporting Information as of and for the quarter ended March 31, 2026</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 xml:space="preserve">104 </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a2018_06x30earningssupplem_htm_sba08c454"/>
      <w:bookmarkEnd w:id="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Exchange Act, the registrant has duly caused this report to be signed on its behalf by the undersigned hereunto duly authorized.</w:t>
      </w:r>
    </w:p>
    <w:p>
      <w:pPr>
        <w:pStyle w:val="TextBody"/>
        <w:bidi w:val="0"/>
        <w:jc w:val="left"/>
        <w:rPr/>
      </w:pPr>
      <w:r>
        <w:rPr/>
        <w:t> </w:t>
      </w:r>
    </w:p>
    <w:tbl>
      <w:tblPr>
        <w:tblW w:w="6625" w:type="dxa"/>
        <w:jc w:val="left"/>
        <w:tblInd w:w="0" w:type="dxa"/>
        <w:tblLayout w:type="fixed"/>
        <w:tblCellMar>
          <w:top w:w="28" w:type="dxa"/>
          <w:left w:w="28" w:type="dxa"/>
          <w:bottom w:w="28" w:type="dxa"/>
          <w:right w:w="28" w:type="dxa"/>
        </w:tblCellMar>
      </w:tblPr>
      <w:tblGrid>
        <w:gridCol w:w="1261"/>
        <w:gridCol w:w="146"/>
        <w:gridCol w:w="631"/>
        <w:gridCol w:w="146"/>
        <w:gridCol w:w="444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ACADIA REALTY TRUST</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Gottfried</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Gottfried</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akr-ex99_1.htm"/>
      <w:bookmarkStart w:id="5" w:name="ksakrex99_1"/>
      <w:bookmarkEnd w:id="4"/>
      <w:bookmarkEnd w:id="5"/>
      <w:r>
        <w:rPr/>
        <w:t> </w:t>
      </w:r>
      <w:r>
        <w:br w:type="page"/>
      </w:r>
    </w:p>
    <w:p>
      <w:pPr>
        <w:pStyle w:val="TextBody"/>
        <w:bidi w:val="0"/>
        <w:jc w:val="left"/>
        <w:rPr/>
      </w:pPr>
      <w:r>
        <w:rPr/>
        <w:t> </w:t>
      </w:r>
    </w:p>
    <w:p>
      <w:pPr>
        <w:pStyle w:val="TextBody"/>
        <w:bidi w:val="0"/>
        <w:jc w:val="right"/>
        <w:rPr>
          <w:rFonts w:ascii="Times New Roman" w:hAnsi="Times New Roman"/>
          <w:sz w:val="20"/>
        </w:rPr>
      </w:pPr>
      <w:r>
        <w:rPr>
          <w:rFonts w:ascii="PP Fragment;PP Fragment Sans;sans-serif" w:hAnsi="PP Fragment;PP Fragment Sans;sans-serif"/>
          <w:b/>
          <w:color w:val="000000"/>
          <w:sz w:val="22"/>
        </w:rPr>
        <w:t>Exhibit 99.1</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100"/>
        <w:jc w:val="center"/>
        <w:rPr/>
      </w:pPr>
      <w:r>
        <w:rPr/>
        <w:drawing>
          <wp:inline distT="0" distB="0" distL="0" distR="0">
            <wp:extent cx="6457950" cy="834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57950" cy="83439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484" w:type="dxa"/>
        <w:jc w:val="left"/>
        <w:tblInd w:w="0" w:type="dxa"/>
        <w:tblLayout w:type="fixed"/>
        <w:tblCellMar>
          <w:top w:w="28" w:type="dxa"/>
          <w:left w:w="28" w:type="dxa"/>
          <w:bottom w:w="28" w:type="dxa"/>
          <w:right w:w="28" w:type="dxa"/>
        </w:tblCellMar>
      </w:tblPr>
      <w:tblGrid>
        <w:gridCol w:w="3001"/>
        <w:gridCol w:w="146"/>
        <w:gridCol w:w="14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sans-serif" w:hAnsi="PP Fragment;PP Fragment Sans;sans-serif"/>
                <w:b/>
                <w:color w:val="F73929"/>
                <w:sz w:val="28"/>
              </w:rPr>
            </w:pPr>
            <w:bookmarkStart w:id="6" w:name="toc_page"/>
            <w:bookmarkStart w:id="7" w:name="table_of_contents"/>
            <w:bookmarkEnd w:id="6"/>
            <w:bookmarkEnd w:id="7"/>
            <w:r>
              <w:rPr>
                <w:rFonts w:ascii="PP Fragment;PP Fragment Sans;sans-serif" w:hAnsi="PP Fragment;PP Fragment Sans;sans-serif"/>
                <w:b/>
                <w:color w:val="F73929"/>
                <w:sz w:val="28"/>
              </w:rPr>
              <w:t>Table of Contents</w:t>
            </w:r>
          </w:p>
        </w:tc>
        <w:tc>
          <w:tcPr>
            <w:tcW w:w="146"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F73929"/>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6"/>
        <w:gridCol w:w="679"/>
      </w:tblGrid>
      <w:tr>
        <w:trPr/>
        <w:tc>
          <w:tcPr>
            <w:tcW w:w="952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ind w:left="0" w:right="0" w:firstLine="27"/>
              <w:jc w:val="left"/>
              <w:rPr>
                <w:sz w:val="4"/>
                <w:szCs w:val="4"/>
              </w:rPr>
            </w:pPr>
            <w:r>
              <w:rPr>
                <w:sz w:val="4"/>
                <w:szCs w:val="4"/>
              </w:rPr>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I – First Quarter 2026 Earnings Press Release</w:t>
            </w:r>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right"/>
              <w:rPr/>
            </w:pPr>
            <w:r>
              <w:rPr/>
              <w:t> </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II – Financial &amp; Operating Highlights</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pany_information">
              <w:r>
                <w:rPr>
                  <w:rStyle w:val="InternetLink"/>
                  <w:rFonts w:ascii="PP Fragment;PP Fragment Sans Light;sans-serif" w:hAnsi="PP Fragment;PP Fragment Sans Light;sans-serif"/>
                  <w:b w:val="false"/>
                  <w:color w:val="000000"/>
                  <w:sz w:val="20"/>
                  <w:u w:val="single"/>
                </w:rPr>
                <w:t>Company Information</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highlights">
              <w:r>
                <w:rPr>
                  <w:rStyle w:val="InternetLink"/>
                  <w:rFonts w:ascii="PP Fragment;PP Fragment Sans Light;sans-serif" w:hAnsi="PP Fragment;PP Fragment Sans Light;sans-serif"/>
                  <w:b w:val="false"/>
                  <w:color w:val="000000"/>
                  <w:sz w:val="20"/>
                  <w:u w:val="single"/>
                </w:rPr>
                <w:t>Highlights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market_capitalization">
              <w:r>
                <w:rPr>
                  <w:rStyle w:val="InternetLink"/>
                  <w:rFonts w:ascii="PP Fragment;PP Fragment Sans Light;sans-serif" w:hAnsi="PP Fragment;PP Fragment Sans Light;sans-serif"/>
                  <w:b w:val="false"/>
                  <w:color w:val="000000"/>
                  <w:sz w:val="20"/>
                  <w:u w:val="single"/>
                </w:rPr>
                <w:t>Market Capitalization</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5</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orward_offerings">
              <w:r>
                <w:rPr>
                  <w:rStyle w:val="InternetLink"/>
                  <w:rFonts w:ascii="PP Fragment;PP Fragment Sans Light;sans-serif" w:hAnsi="PP Fragment;PP Fragment Sans Light;sans-serif"/>
                  <w:b w:val="false"/>
                  <w:color w:val="000000"/>
                  <w:sz w:val="20"/>
                  <w:u w:val="single"/>
                </w:rPr>
                <w:t>Equity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6</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unds_from_operations">
              <w:r>
                <w:rPr>
                  <w:rStyle w:val="InternetLink"/>
                  <w:rFonts w:ascii="PP Fragment;PP Fragment Sans Light;sans-serif" w:hAnsi="PP Fragment;PP Fragment Sans Light;sans-serif"/>
                  <w:b w:val="false"/>
                  <w:color w:val="000000"/>
                  <w:sz w:val="20"/>
                  <w:u w:val="single"/>
                </w:rPr>
                <w:t>Funds from Operations (“FFO”), Funds From Operations As Adjusted, Adjusted Funds from Operations (“AFFO”)</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7</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bitda">
              <w:r>
                <w:rPr>
                  <w:rStyle w:val="InternetLink"/>
                  <w:rFonts w:ascii="PP Fragment;PP Fragment Sans Light;sans-serif" w:hAnsi="PP Fragment;PP Fragment Sans Light;sans-serif"/>
                  <w:b w:val="false"/>
                  <w:color w:val="000000"/>
                  <w:sz w:val="20"/>
                  <w:u w:val="single"/>
                </w:rPr>
                <w:t>EBITDA</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ame_property_net_op_income">
              <w:r>
                <w:rPr>
                  <w:rStyle w:val="InternetLink"/>
                  <w:rFonts w:ascii="PP Fragment;PP Fragment Sans Light;sans-serif" w:hAnsi="PP Fragment;PP Fragment Sans Light;sans-serif"/>
                  <w:b w:val="false"/>
                  <w:color w:val="000000"/>
                  <w:sz w:val="20"/>
                  <w:u w:val="single"/>
                </w:rPr>
                <w:t>Same Property Net Operating Income</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9</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new_and_renewal_rent_spreads">
              <w:r>
                <w:rPr>
                  <w:rStyle w:val="InternetLink"/>
                  <w:rFonts w:ascii="PP Fragment;PP Fragment Sans Light;sans-serif" w:hAnsi="PP Fragment;PP Fragment Sans Light;sans-serif"/>
                  <w:b w:val="false"/>
                  <w:color w:val="000000"/>
                  <w:sz w:val="20"/>
                  <w:u w:val="single"/>
                </w:rPr>
                <w:t>New and Renewal Rent Spreads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10</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transactional_activity">
              <w:r>
                <w:rPr>
                  <w:rStyle w:val="InternetLink"/>
                  <w:rFonts w:ascii="PP Fragment;PP Fragment Sans Light;sans-serif" w:hAnsi="PP Fragment;PP Fragment Sans Light;sans-serif"/>
                  <w:b w:val="false"/>
                  <w:color w:val="000000"/>
                  <w:sz w:val="20"/>
                  <w:u w:val="single"/>
                </w:rPr>
                <w:t>Transactional Activity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11</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guidance">
              <w:r>
                <w:rPr>
                  <w:rStyle w:val="InternetLink"/>
                  <w:rFonts w:ascii="PP Fragment;PP Fragment Sans Light;sans-serif" w:hAnsi="PP Fragment;PP Fragment Sans Light;sans-serif"/>
                  <w:b w:val="false"/>
                  <w:color w:val="000000"/>
                  <w:sz w:val="20"/>
                  <w:u w:val="single"/>
                </w:rPr>
                <w:t>2026 Guidance</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13</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III – Financial Statements and Data</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income_statement">
              <w:r>
                <w:rPr>
                  <w:rStyle w:val="InternetLink"/>
                  <w:rFonts w:ascii="PP Fragment;PP Fragment Sans Light;sans-serif" w:hAnsi="PP Fragment;PP Fragment Sans Light;sans-serif"/>
                  <w:b w:val="false"/>
                  <w:color w:val="000000"/>
                  <w:sz w:val="20"/>
                  <w:u w:val="single"/>
                </w:rPr>
                <w:t>Consolidated Statements of Operations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14</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ops_pro_rata">
              <w:r>
                <w:rPr>
                  <w:rStyle w:val="InternetLink"/>
                  <w:rFonts w:ascii="PP Fragment;PP Fragment Sans Light;sans-serif" w:hAnsi="PP Fragment;PP Fragment Sans Light;sans-serif"/>
                  <w:b w:val="false"/>
                  <w:color w:val="000000"/>
                  <w:sz w:val="20"/>
                  <w:u w:val="single"/>
                </w:rPr>
                <w:t>Statements of Operations - Pro-rata Adjustments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16</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balance_sheet">
              <w:r>
                <w:rPr>
                  <w:rStyle w:val="InternetLink"/>
                  <w:rFonts w:ascii="PP Fragment;PP Fragment Sans Light;sans-serif" w:hAnsi="PP Fragment;PP Fragment Sans Light;sans-serif"/>
                  <w:b w:val="false"/>
                  <w:color w:val="000000"/>
                  <w:sz w:val="20"/>
                  <w:u w:val="single"/>
                </w:rPr>
                <w:t>Consolidated Balance Sheet</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17</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alance_sheet_pro_rata">
              <w:r>
                <w:rPr>
                  <w:rStyle w:val="InternetLink"/>
                  <w:rFonts w:ascii="PP Fragment;PP Fragment Sans Light;sans-serif" w:hAnsi="PP Fragment;PP Fragment Sans Light;sans-serif"/>
                  <w:b w:val="false"/>
                  <w:color w:val="000000"/>
                  <w:sz w:val="20"/>
                  <w:u w:val="single"/>
                </w:rPr>
                <w:t>Balance Sheet - Pro-rata Adjustments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ee_income">
              <w:r>
                <w:rPr>
                  <w:rStyle w:val="InternetLink"/>
                  <w:rFonts w:ascii="PP Fragment;PP Fragment Sans Light;sans-serif" w:hAnsi="PP Fragment;PP Fragment Sans Light;sans-serif"/>
                  <w:b w:val="false"/>
                  <w:color w:val="000000"/>
                  <w:sz w:val="20"/>
                  <w:u w:val="single"/>
                </w:rPr>
                <w:t>Fee Income Detail</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20</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tructured_financing_portfolio">
              <w:r>
                <w:rPr>
                  <w:rStyle w:val="InternetLink"/>
                  <w:rFonts w:ascii="PP Fragment;PP Fragment Sans Light;sans-serif" w:hAnsi="PP Fragment;PP Fragment Sans Light;sans-serif"/>
                  <w:b w:val="false"/>
                  <w:color w:val="000000"/>
                  <w:sz w:val="20"/>
                  <w:u w:val="single"/>
                </w:rPr>
                <w:t>Structured Financing</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net_asset_valuation_information">
              <w:r>
                <w:rPr>
                  <w:rStyle w:val="InternetLink"/>
                  <w:rFonts w:ascii="PP Fragment;PP Fragment Sans Light;sans-serif" w:hAnsi="PP Fragment;PP Fragment Sans Light;sans-serif"/>
                  <w:b w:val="false"/>
                  <w:color w:val="000000"/>
                  <w:sz w:val="20"/>
                  <w:u w:val="single"/>
                </w:rPr>
                <w:t>Net Asset Valuation Information</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22</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development_and_redevelopment_activity">
              <w:r>
                <w:rPr>
                  <w:rStyle w:val="InternetLink"/>
                  <w:rFonts w:ascii="PP Fragment;PP Fragment Sans Light;sans-serif" w:hAnsi="PP Fragment;PP Fragment Sans Light;sans-serif"/>
                  <w:b w:val="false"/>
                  <w:color w:val="000000"/>
                  <w:sz w:val="20"/>
                  <w:u w:val="single"/>
                </w:rPr>
                <w:t>Development and Redevelopment Activity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23</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sans-serif" w:hAnsi="PP Fragment;PP Fragment Sans;sans-serif"/>
                <w:b/>
                <w:color w:val="4472C4"/>
                <w:sz w:val="20"/>
              </w:rPr>
              <w:t>Section IV – Capital Structure and Debt Analysis</w:t>
            </w:r>
            <w:r>
              <w:rPr>
                <w:rFonts w:ascii="Times New Roman" w:hAnsi="Times New Roman"/>
                <w:color w:val="4472C4"/>
                <w:sz w:val="20"/>
              </w:rPr>
              <w:t xml:space="preserve"> </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r>
              <w:rPr>
                <w:rFonts w:ascii="PP Fragment;PP Fragment Sans Light;sans-serif" w:hAnsi="PP Fragment;PP Fragment Sans Light;sans-serif"/>
                <w:b w:val="false"/>
                <w:color w:val="000000"/>
                <w:sz w:val="20"/>
                <w:u w:val="single"/>
              </w:rPr>
              <w:t xml:space="preserve">Debt </w:t>
            </w:r>
            <w:hyperlink w:anchor="portfolio_debt_summary">
              <w:r>
                <w:rPr>
                  <w:rStyle w:val="InternetLink"/>
                  <w:rFonts w:ascii="PP Fragment;PP Fragment Sans Light;sans-serif" w:hAnsi="PP Fragment;PP Fragment Sans Light;sans-serif"/>
                  <w:b w:val="false"/>
                  <w:color w:val="000080"/>
                  <w:sz w:val="20"/>
                  <w:u w:val="single"/>
                </w:rPr>
                <w:t>Summary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25</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r>
              <w:rPr>
                <w:rFonts w:ascii="PP Fragment;PP Fragment Sans Light;sans-serif" w:hAnsi="PP Fragment;PP Fragment Sans Light;sans-serif"/>
                <w:b w:val="false"/>
                <w:color w:val="000000"/>
                <w:sz w:val="20"/>
                <w:u w:val="single"/>
              </w:rPr>
              <w:t xml:space="preserve">Debt </w:t>
            </w:r>
            <w:hyperlink w:anchor="portfolio_debt_detail">
              <w:r>
                <w:rPr>
                  <w:rStyle w:val="InternetLink"/>
                  <w:rFonts w:ascii="PP Fragment;PP Fragment Sans Light;sans-serif" w:hAnsi="PP Fragment;PP Fragment Sans Light;sans-serif"/>
                  <w:b w:val="false"/>
                  <w:color w:val="000080"/>
                  <w:sz w:val="20"/>
                  <w:u w:val="single"/>
                </w:rPr>
                <w:t>Detail</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26</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r>
              <w:rPr>
                <w:rFonts w:ascii="PP Fragment;PP Fragment Sans Light;sans-serif" w:hAnsi="PP Fragment;PP Fragment Sans Light;sans-serif"/>
                <w:b w:val="false"/>
                <w:color w:val="000000"/>
                <w:sz w:val="20"/>
                <w:u w:val="single"/>
              </w:rPr>
              <w:t xml:space="preserve">Debt </w:t>
            </w:r>
            <w:hyperlink w:anchor="future_debt_maturities">
              <w:r>
                <w:rPr>
                  <w:rStyle w:val="InternetLink"/>
                  <w:rFonts w:ascii="PP Fragment;PP Fragment Sans Light;sans-serif" w:hAnsi="PP Fragment;PP Fragment Sans Light;sans-serif"/>
                  <w:b w:val="false"/>
                  <w:color w:val="000080"/>
                  <w:sz w:val="20"/>
                  <w:u w:val="single"/>
                </w:rPr>
                <w:t>Maturities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terest_rate_summary">
              <w:r>
                <w:rPr>
                  <w:rStyle w:val="InternetLink"/>
                  <w:rFonts w:ascii="PP Fragment;PP Fragment Sans Light;sans-serif" w:hAnsi="PP Fragment;PP Fragment Sans Light;sans-serif"/>
                  <w:b w:val="false"/>
                  <w:color w:val="000000"/>
                  <w:sz w:val="20"/>
                  <w:u w:val="single"/>
                </w:rPr>
                <w:t>Interest Rate Summary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30</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sans-serif" w:hAnsi="PP Fragment;PP Fragment Sans;sans-serif"/>
                <w:b/>
                <w:color w:val="4472C4"/>
                <w:sz w:val="20"/>
              </w:rPr>
              <w:t>Section V – REIT Portfolio and Leasing Information</w:t>
            </w:r>
            <w:r>
              <w:rPr>
                <w:rFonts w:ascii="Times New Roman" w:hAnsi="Times New Roman"/>
                <w:color w:val="4472C4"/>
                <w:sz w:val="20"/>
              </w:rPr>
              <w:t xml:space="preserve"> </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properties">
              <w:r>
                <w:rPr>
                  <w:rStyle w:val="InternetLink"/>
                  <w:rFonts w:ascii="PP Fragment;PP Fragment Sans Light;sans-serif" w:hAnsi="PP Fragment;PP Fragment Sans Light;sans-serif"/>
                  <w:b w:val="false"/>
                  <w:color w:val="000000"/>
                  <w:sz w:val="20"/>
                  <w:u w:val="single"/>
                </w:rPr>
                <w:t>REIT Properties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31</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portfolio_top_tenants">
              <w:r>
                <w:rPr>
                  <w:rStyle w:val="InternetLink"/>
                  <w:rFonts w:ascii="PP Fragment;PP Fragment Sans Light;sans-serif" w:hAnsi="PP Fragment;PP Fragment Sans Light;sans-serif"/>
                  <w:b w:val="false"/>
                  <w:color w:val="000000"/>
                  <w:sz w:val="20"/>
                  <w:u w:val="single"/>
                </w:rPr>
                <w:t>REIT Top Tenants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35</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portfolio_lease_expirations">
              <w:r>
                <w:rPr>
                  <w:rStyle w:val="InternetLink"/>
                  <w:rFonts w:ascii="PP Fragment;PP Fragment Sans Light;sans-serif" w:hAnsi="PP Fragment;PP Fragment Sans Light;sans-serif"/>
                  <w:b w:val="false"/>
                  <w:color w:val="000000"/>
                  <w:sz w:val="20"/>
                  <w:u w:val="single"/>
                </w:rPr>
                <w:t>REIT Lease Expirations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36</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VI – Investment Management Platform</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und_overview">
              <w:r>
                <w:rPr>
                  <w:rStyle w:val="InternetLink"/>
                  <w:rFonts w:ascii="PP Fragment;PP Fragment Sans Light;sans-serif" w:hAnsi="PP Fragment;PP Fragment Sans Light;sans-serif"/>
                  <w:b w:val="false"/>
                  <w:color w:val="000000"/>
                  <w:sz w:val="20"/>
                  <w:u w:val="single"/>
                </w:rPr>
                <w:t>Fund Overview</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37</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vestment_management_properties">
              <w:r>
                <w:rPr>
                  <w:rStyle w:val="InternetLink"/>
                  <w:rFonts w:ascii="PP Fragment;PP Fragment Sans Light;sans-serif" w:hAnsi="PP Fragment;PP Fragment Sans Light;sans-serif"/>
                  <w:b w:val="false"/>
                  <w:color w:val="000000"/>
                  <w:sz w:val="20"/>
                  <w:u w:val="single"/>
                </w:rPr>
                <w:t>Investment Management Properties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vestment_mgt_lease_exp">
              <w:r>
                <w:rPr>
                  <w:rStyle w:val="InternetLink"/>
                  <w:rFonts w:ascii="PP Fragment;PP Fragment Sans Light;sans-serif" w:hAnsi="PP Fragment;PP Fragment Sans Light;sans-serif"/>
                  <w:b w:val="false"/>
                  <w:color w:val="000000"/>
                  <w:sz w:val="20"/>
                  <w:u w:val="single"/>
                </w:rPr>
                <w:t>Investment Management Lease Expirations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42</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VII – Other Information</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mp_notes">
              <w:r>
                <w:rPr>
                  <w:rStyle w:val="InternetLink"/>
                  <w:rFonts w:ascii="PP Fragment;PP Fragment Sans Light;sans-serif" w:hAnsi="PP Fragment;PP Fragment Sans Light;sans-serif"/>
                  <w:b w:val="false"/>
                  <w:color w:val="000000"/>
                  <w:sz w:val="20"/>
                  <w:u w:val="single"/>
                </w:rPr>
                <w:t>Important Notes</w:t>
              </w:r>
            </w:hyperlink>
          </w:p>
        </w:tc>
        <w:tc>
          <w:tcPr>
            <w:tcW w:w="679"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44</w:t>
            </w:r>
          </w:p>
        </w:tc>
      </w:tr>
    </w:tbl>
    <w:p>
      <w:pPr>
        <w:pStyle w:val="TextBody"/>
        <w:bidi w:val="0"/>
        <w:jc w:val="center"/>
        <w:rPr/>
      </w:pPr>
      <w:r>
        <w:rPr/>
        <w:t> </w:t>
      </w:r>
    </w:p>
    <w:p>
      <w:pPr>
        <w:pStyle w:val="TextBody"/>
        <w:bidi w:val="0"/>
        <w:jc w:val="center"/>
        <w:rPr>
          <w:rFonts w:ascii="Times New Roman" w:hAnsi="Times New Roman"/>
          <w:sz w:val="20"/>
        </w:rPr>
      </w:pPr>
      <w:r>
        <w:rPr>
          <w:rFonts w:ascii="PP Fragment;PP Fragment Sans Light;sans-serif" w:hAnsi="PP Fragment;PP Fragment Sans Light;sans-serif"/>
          <w:b w:val="false"/>
          <w:color w:val="828282"/>
          <w:sz w:val="20"/>
        </w:rPr>
        <w:t>Visit</w:t>
      </w:r>
      <w:r>
        <w:rPr>
          <w:rFonts w:ascii="Times New Roman" w:hAnsi="Times New Roman"/>
          <w:color w:val="000000"/>
          <w:sz w:val="20"/>
        </w:rPr>
        <w:t xml:space="preserve"> </w:t>
      </w:r>
      <w:r>
        <w:rPr>
          <w:rFonts w:ascii="PP Fragment;PP Fragment Sans Light;sans-serif" w:hAnsi="PP Fragment;PP Fragment Sans Light;sans-serif"/>
          <w:b w:val="false"/>
          <w:sz w:val="20"/>
        </w:rPr>
        <w:t>www.acadiarealty.com</w:t>
      </w:r>
      <w:r>
        <w:rPr>
          <w:rFonts w:ascii="Times New Roman" w:hAnsi="Times New Roman"/>
          <w:color w:val="000000"/>
          <w:sz w:val="20"/>
        </w:rPr>
        <w:t xml:space="preserve"> </w:t>
      </w:r>
      <w:r>
        <w:rPr>
          <w:rFonts w:ascii="PP Fragment;PP Fragment Sans Light;sans-serif" w:hAnsi="PP Fragment;PP Fragment Sans Light;sans-serif"/>
          <w:b w:val="false"/>
          <w:color w:val="828282"/>
          <w:sz w:val="20"/>
        </w:rPr>
        <w:t>for additional investor and portfolio information.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841" w:type="dxa"/>
        <w:jc w:val="left"/>
        <w:tblInd w:w="0" w:type="dxa"/>
        <w:tblLayout w:type="fixed"/>
        <w:tblCellMar>
          <w:top w:w="28" w:type="dxa"/>
          <w:left w:w="28" w:type="dxa"/>
          <w:bottom w:w="28" w:type="dxa"/>
          <w:right w:w="28" w:type="dxa"/>
        </w:tblCellMar>
      </w:tblPr>
      <w:tblGrid>
        <w:gridCol w:w="188"/>
        <w:gridCol w:w="173"/>
        <w:gridCol w:w="3523"/>
        <w:gridCol w:w="173"/>
        <w:gridCol w:w="3673"/>
        <w:gridCol w:w="173"/>
        <w:gridCol w:w="2938"/>
      </w:tblGrid>
      <w:tr>
        <w:trPr/>
        <w:tc>
          <w:tcPr>
            <w:tcW w:w="1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bottom w:val="single" w:sz="12" w:space="0" w:color="F73929"/>
            </w:tcBorders>
            <w:tcMar>
              <w:top w:w="0" w:type="dxa"/>
              <w:left w:w="0" w:type="dxa"/>
              <w:right w:w="0" w:type="dxa"/>
            </w:tcMar>
            <w:vAlign w:val="center"/>
          </w:tcPr>
          <w:p>
            <w:pPr>
              <w:pStyle w:val="TableContents"/>
              <w:bidi w:val="0"/>
              <w:spacing w:before="0" w:after="283"/>
              <w:ind w:left="0" w:right="0" w:firstLine="27"/>
              <w:jc w:val="left"/>
              <w:rPr>
                <w:rFonts w:ascii="PP Fragment;PP Fragment Sans;sans-serif" w:hAnsi="PP Fragment;PP Fragment Sans;sans-serif"/>
                <w:b/>
                <w:color w:val="F73929"/>
                <w:sz w:val="28"/>
              </w:rPr>
            </w:pPr>
            <w:bookmarkStart w:id="8" w:name="company_information"/>
            <w:bookmarkEnd w:id="8"/>
            <w:r>
              <w:rPr>
                <w:rFonts w:ascii="PP Fragment;PP Fragment Sans;sans-serif" w:hAnsi="PP Fragment;PP Fragment Sans;sans-serif"/>
                <w:b/>
                <w:color w:val="F73929"/>
                <w:sz w:val="28"/>
              </w:rPr>
              <w:t>Company Information</w:t>
            </w:r>
          </w:p>
        </w:tc>
        <w:tc>
          <w:tcPr>
            <w:tcW w:w="173" w:type="dxa"/>
            <w:tcBorders>
              <w:bottom w:val="single" w:sz="12" w:space="0" w:color="F73929"/>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6784" w:type="dxa"/>
            <w:gridSpan w:val="3"/>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0841"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PP Fragment;PP Fragment Sans Light;sans-serif" w:hAnsi="PP Fragment;PP Fragment Sans Light;sans-serif"/>
                <w:b w:val="false"/>
                <w:color w:val="000000"/>
                <w:sz w:val="20"/>
              </w:rPr>
              <w:t xml:space="preserve">Acadia Realty Trust is an equity real estate investment trust focused on delivering long-term, profitable growth. Acadia owns and operates a high-quality core real estate portfolio of street and open-air retail properties in the nation's most dynamic retail corridors (“REIT Portfolio”), along with an investment management platform that targets opportunistic and value-add investments through its institutional co-investment vehicles (“Investment Management”). For further information, please visit </w:t>
            </w:r>
            <w:r>
              <w:rPr>
                <w:rFonts w:ascii="PP Fragment;PP Fragment Sans Light;sans-serif" w:hAnsi="PP Fragment;PP Fragment Sans Light;sans-serif"/>
                <w:b w:val="false"/>
                <w:sz w:val="20"/>
              </w:rPr>
              <w:t>www.acadiarealty.com</w:t>
            </w:r>
            <w:r>
              <w:rPr>
                <w:rFonts w:ascii="PP Fragment;PP Fragment Sans Light;sans-serif" w:hAnsi="PP Fragment;PP Fragment Sans Light;sans-serif"/>
                <w:b w:val="false"/>
                <w:color w:val="000000"/>
                <w:sz w:val="20"/>
              </w:rPr>
              <w:t>.</w:t>
            </w:r>
          </w:p>
        </w:tc>
      </w:tr>
      <w:tr>
        <w:trPr/>
        <w:tc>
          <w:tcPr>
            <w:tcW w:w="188"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120" w:after="283"/>
              <w:ind w:left="0" w:right="0" w:firstLine="27"/>
              <w:jc w:val="left"/>
              <w:rPr>
                <w:rFonts w:ascii="PP Fragment;PP Fragment Sans;sans-serif" w:hAnsi="PP Fragment;PP Fragment Sans;sans-serif"/>
                <w:b/>
                <w:color w:val="000000"/>
                <w:sz w:val="20"/>
              </w:rPr>
            </w:pPr>
            <w:r>
              <w:rPr>
                <w:rFonts w:ascii="PP Fragment;PP Fragment Sans;sans-serif" w:hAnsi="PP Fragment;PP Fragment Sans;sans-serif"/>
                <w:b/>
                <w:color w:val="000000"/>
                <w:sz w:val="20"/>
              </w:rPr>
              <w:t>Contact Information</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Corporate Headquarters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Investor Relations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New York Stock Exchange</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411 Theodore Fremd Avenue</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(914) 288-8100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Symbol AKR</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Suite 300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investorrelations@acadiarealty.com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Rye, NY 10580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120" w:after="283"/>
              <w:ind w:left="0" w:right="0" w:firstLine="27"/>
              <w:jc w:val="left"/>
              <w:rPr>
                <w:rFonts w:ascii="PP Fragment;PP Fragment Sans;sans-serif" w:hAnsi="PP Fragment;PP Fragment Sans;sans-serif"/>
                <w:b/>
                <w:color w:val="000000"/>
                <w:sz w:val="20"/>
              </w:rPr>
            </w:pPr>
            <w:r>
              <w:rPr>
                <w:rFonts w:ascii="PP Fragment;PP Fragment Sans;sans-serif" w:hAnsi="PP Fragment;PP Fragment Sans;sans-serif"/>
                <w:b/>
                <w:color w:val="000000"/>
                <w:sz w:val="20"/>
              </w:rPr>
              <w:t>Analyst Coverage</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Bank of America / Merrill Lynch</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Green Street Advisors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KeyBanc Capital Markets, Inc.</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Samir Khanal</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(646) 855-1497</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Paulina Rojas Schmidt</w:t>
              <w:br/>
              <w:t>(949) 640-8780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Todd Thomas</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(917) 368-2286</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samir.khanal@bofa.com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projasschmidt@greenstreet.com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tthomas@key.com</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Citigroup - Global Markets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J.P. Morgan Securities, Inc.</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Ladenburg Thalmann</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Craig Mailman</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816-4471</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Michael W. Mueller, CFA</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622-6689</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Floris van Dijkum</w:t>
            </w:r>
          </w:p>
          <w:p>
            <w:pPr>
              <w:pStyle w:val="TableContents"/>
              <w:bidi w:val="0"/>
              <w:spacing w:before="0" w:after="283"/>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409-2075</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craig.mailman@citi.com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michael.w.mueller@jpmorgan.com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fvandijkum@ladenburg.com</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Compass Point Research &amp; Trading</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Jefferies</w:t>
            </w:r>
          </w:p>
        </w:tc>
        <w:tc>
          <w:tcPr>
            <w:tcW w:w="173" w:type="dxa"/>
            <w:tcBorders/>
            <w:tcMar>
              <w:top w:w="0" w:type="dxa"/>
              <w:left w:w="0" w:type="dxa"/>
              <w:bottom w:w="0" w:type="dxa"/>
              <w:right w:w="0" w:type="dxa"/>
            </w:tcMar>
            <w:vAlign w:val="center"/>
          </w:tcPr>
          <w:p>
            <w:pPr>
              <w:pStyle w:val="TableContents"/>
              <w:bidi w:val="0"/>
              <w:spacing w:before="0" w:after="283"/>
              <w:jc w:val="left"/>
              <w:rPr/>
            </w:pPr>
            <w:r>
              <w:rPr/>
              <w:t> </w:t>
            </w:r>
          </w:p>
        </w:tc>
        <w:tc>
          <w:tcPr>
            <w:tcW w:w="2938" w:type="dxa"/>
            <w:tcBorders/>
            <w:tcMar>
              <w:top w:w="0" w:type="dxa"/>
              <w:left w:w="0" w:type="dxa"/>
              <w:bottom w:w="0" w:type="dxa"/>
              <w:right w:w="0" w:type="dxa"/>
            </w:tcMar>
            <w:vAlign w:val="center"/>
          </w:tcPr>
          <w:p>
            <w:pPr>
              <w:pStyle w:val="TableContents"/>
              <w:bidi w:val="0"/>
              <w:spacing w:before="0" w:after="283"/>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Truist</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Kenneth Billingsley</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(202) 534-1393</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Linda Tsai</w:t>
            </w:r>
          </w:p>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778-8011</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Anthony Hau</w:t>
            </w:r>
          </w:p>
          <w:p>
            <w:pPr>
              <w:pStyle w:val="TableContents"/>
              <w:bidi w:val="0"/>
              <w:spacing w:before="0" w:after="283"/>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303-4176</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kbillingsley@compasspointllc.com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F73929"/>
                <w:sz w:val="20"/>
                <w:u w:val="single"/>
              </w:rPr>
            </w:pPr>
            <w:r>
              <w:rPr>
                <w:rFonts w:ascii="PP Fragment;PP Fragment Sans Light;sans-serif" w:hAnsi="PP Fragment;PP Fragment Sans Light;sans-serif"/>
                <w:b w:val="false"/>
                <w:color w:val="F73929"/>
                <w:sz w:val="20"/>
                <w:u w:val="single"/>
              </w:rPr>
              <w:t>ltsai@jefferies.com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anthony.hau@truist.com</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bl>
    <w:p>
      <w:pPr>
        <w:pStyle w:val="TextBody"/>
        <w:bidi w:val="0"/>
        <w:spacing w:before="0" w:after="160"/>
        <w:jc w:val="left"/>
        <w:rPr/>
      </w:pPr>
      <w:r>
        <w:rPr/>
        <w:t> </w:t>
      </w:r>
    </w:p>
    <w:tbl>
      <w:tblPr>
        <w:tblW w:w="7167" w:type="dxa"/>
        <w:jc w:val="left"/>
        <w:tblInd w:w="0" w:type="dxa"/>
        <w:tblLayout w:type="fixed"/>
        <w:tblCellMar>
          <w:top w:w="28" w:type="dxa"/>
          <w:left w:w="28" w:type="dxa"/>
          <w:bottom w:w="28" w:type="dxa"/>
          <w:right w:w="28" w:type="dxa"/>
        </w:tblCellMar>
      </w:tblPr>
      <w:tblGrid>
        <w:gridCol w:w="3641"/>
        <w:gridCol w:w="3526"/>
      </w:tblGrid>
      <w:tr>
        <w:trPr/>
        <w:tc>
          <w:tcPr>
            <w:tcW w:w="364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47900" cy="361950"/>
                          </a:xfrm>
                          <a:prstGeom prst="rect">
                            <a:avLst/>
                          </a:prstGeom>
                        </pic:spPr>
                      </pic:pic>
                    </a:graphicData>
                  </a:graphic>
                </wp:inline>
              </w:drawing>
            </w:r>
          </w:p>
        </w:tc>
        <w:tc>
          <w:tcPr>
            <w:tcW w:w="352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5412" w:type="dxa"/>
        <w:jc w:val="left"/>
        <w:tblInd w:w="0" w:type="dxa"/>
        <w:tblLayout w:type="fixed"/>
        <w:tblCellMar>
          <w:top w:w="28" w:type="dxa"/>
          <w:left w:w="28" w:type="dxa"/>
          <w:bottom w:w="28" w:type="dxa"/>
          <w:right w:w="28" w:type="dxa"/>
        </w:tblCellMar>
      </w:tblPr>
      <w:tblGrid>
        <w:gridCol w:w="5221"/>
        <w:gridCol w:w="191"/>
      </w:tblGrid>
      <w:tr>
        <w:trPr/>
        <w:tc>
          <w:tcPr>
            <w:tcW w:w="5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21"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F73929"/>
                <w:sz w:val="28"/>
              </w:rPr>
            </w:pPr>
            <w:r>
              <w:rPr>
                <w:rFonts w:ascii="PP Fragment;PP Fragment Sans Light;sans-serif" w:hAnsi="PP Fragment;PP Fragment Sans Light;sans-serif"/>
                <w:b w:val="false"/>
                <w:color w:val="F73929"/>
                <w:sz w:val="28"/>
              </w:rPr>
              <w:t>Highlights</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 except per share amounts and ratios)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bookmarkStart w:id="9" w:name="highlights"/>
      <w:bookmarkEnd w:id="9"/>
      <w:r>
        <w:rPr/>
        <w:t> </w:t>
      </w:r>
    </w:p>
    <w:tbl>
      <w:tblPr>
        <w:tblW w:w="10205" w:type="dxa"/>
        <w:jc w:val="left"/>
        <w:tblInd w:w="0" w:type="dxa"/>
        <w:tblLayout w:type="fixed"/>
        <w:tblCellMar>
          <w:top w:w="28" w:type="dxa"/>
          <w:left w:w="28" w:type="dxa"/>
          <w:bottom w:w="28" w:type="dxa"/>
          <w:right w:w="28" w:type="dxa"/>
        </w:tblCellMar>
      </w:tblPr>
      <w:tblGrid>
        <w:gridCol w:w="3573"/>
        <w:gridCol w:w="146"/>
        <w:gridCol w:w="1281"/>
        <w:gridCol w:w="147"/>
        <w:gridCol w:w="1281"/>
        <w:gridCol w:w="146"/>
        <w:gridCol w:w="1066"/>
        <w:gridCol w:w="146"/>
        <w:gridCol w:w="1033"/>
        <w:gridCol w:w="146"/>
        <w:gridCol w:w="1240"/>
      </w:tblGrid>
      <w:tr>
        <w:trPr/>
        <w:tc>
          <w:tcPr>
            <w:tcW w:w="3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1"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Summary Financial Results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14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NOI at pro-rata share (pg 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$41,815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 Management NOI at pro-rata share (pg 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$13,243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NOI at pro-rata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$55,058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Adjusted EBITDA (pg 8)</w:t>
            </w:r>
            <w:r>
              <w:rPr>
                <w:rFonts w:ascii="Times New Roman" w:hAnsi="Times New Roman"/>
                <w:color w:val="000000"/>
                <w:sz w:val="16"/>
              </w:rPr>
              <w:t> </w:t>
            </w:r>
            <w:r>
              <w:rPr>
                <w:rFonts w:ascii="DM Sans;sans-serif" w:hAnsi="DM Sans;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$58,611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FFO As Adjusted per diluted Common Share and Common OP Unit (pg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$0.30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NAREIT FFO per diluted Common Share and OP Unit (pg 7) </w:t>
            </w:r>
            <w:r>
              <w:rPr>
                <w:rFonts w:ascii="DM Sans;sans-serif" w:hAnsi="DM Sans;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Dividends declared per Common Share and Common OP Unit (pg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Three months ended,</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Summary Operating and Financial Ratios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14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2025</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Portfolio Same-property NOI % (pg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Debt to Adjusted EBITDA (including IM debt) (pg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5.5x</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5.7x</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Fixed charge coverage ratio (annualized) (pg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3.5x</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4.0x</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As of</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Outstanding Common Stock</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14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2025</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Diluted Weighted Average Common shares and units outstanding (pg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139,733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139,031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138,950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138,909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129,363</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Unsettled forward equity (pg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12,294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2,445</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Three months ended,</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FFFFFF"/>
                <w:sz w:val="16"/>
              </w:rPr>
              <w:t xml:space="preserve">Transactional Activity </w:t>
            </w:r>
            <w:r>
              <w:rPr>
                <w:rFonts w:ascii="DM Sans;sans-serif" w:hAnsi="DM Sans;sans-serif"/>
                <w:b/>
                <w:color w:val="FFFFFF"/>
                <w:sz w:val="11"/>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14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2025</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acquisitions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$78,697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$433,796</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IM acquisitions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$424,140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$68,207</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Aggregate purchase price of acquisitions (REIT and IM)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$502,837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$445,150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$63,605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$502,003</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Recapitalizations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$504,115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Aggregate sale price of dispositions (REIT and IM)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$496,963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$99,540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486"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As of</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Summary portfolio statistics (pro-rata)</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14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2025</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 leased - REIT Street and 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90.8%</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 leased - REIT Suburban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97.2%</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 leased - REIT Total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95.5%</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 REIT Street and 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86.0%</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 REIT Suburban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93.7%</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 REIT Total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91.7%</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ABR PSF - REIT Total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$40.01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$36.88</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Current</w:t>
            </w:r>
          </w:p>
        </w:tc>
        <w:tc>
          <w:tcPr>
            <w:tcW w:w="147"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28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2026 Guidance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(as of 4/28/2026)</w:t>
            </w:r>
          </w:p>
        </w:tc>
        <w:tc>
          <w:tcPr>
            <w:tcW w:w="14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(as of 2/10/2026)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Projected 2026 FFO As Adjusted per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$1.22 - $1.26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$1.21 - $1.25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Annual Projected 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 - 9%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 - 9%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120" w:after="283"/>
        <w:jc w:val="left"/>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120" w:after="283"/>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Includes approximately $8.4 million of income recognized in connection with a terminated lease in the first quarter of 2025.</w:t>
      </w:r>
    </w:p>
    <w:p>
      <w:pPr>
        <w:pStyle w:val="TextBody"/>
        <w:bidi w:val="0"/>
        <w:spacing w:before="120" w:after="283"/>
        <w:jc w:val="left"/>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120" w:after="283"/>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Amounts reflect gross transaction value and are presented before giving effect to the Company’s pro rata ownership interest.</w:t>
      </w:r>
    </w:p>
    <w:tbl>
      <w:tblPr>
        <w:tblW w:w="7167" w:type="dxa"/>
        <w:jc w:val="left"/>
        <w:tblInd w:w="0" w:type="dxa"/>
        <w:tblLayout w:type="fixed"/>
        <w:tblCellMar>
          <w:top w:w="28" w:type="dxa"/>
          <w:left w:w="28" w:type="dxa"/>
          <w:bottom w:w="28" w:type="dxa"/>
          <w:right w:w="28" w:type="dxa"/>
        </w:tblCellMar>
      </w:tblPr>
      <w:tblGrid>
        <w:gridCol w:w="3641"/>
        <w:gridCol w:w="3526"/>
      </w:tblGrid>
      <w:tr>
        <w:trPr/>
        <w:tc>
          <w:tcPr>
            <w:tcW w:w="364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47900" cy="361950"/>
                          </a:xfrm>
                          <a:prstGeom prst="rect">
                            <a:avLst/>
                          </a:prstGeom>
                        </pic:spPr>
                      </pic:pic>
                    </a:graphicData>
                  </a:graphic>
                </wp:inline>
              </w:drawing>
            </w:r>
          </w:p>
        </w:tc>
        <w:tc>
          <w:tcPr>
            <w:tcW w:w="352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77" w:type="dxa"/>
        <w:jc w:val="left"/>
        <w:tblInd w:w="0" w:type="dxa"/>
        <w:tblLayout w:type="fixed"/>
        <w:tblCellMar>
          <w:top w:w="28" w:type="dxa"/>
          <w:left w:w="28" w:type="dxa"/>
          <w:bottom w:w="28" w:type="dxa"/>
          <w:right w:w="28" w:type="dxa"/>
        </w:tblCellMar>
      </w:tblPr>
      <w:tblGrid>
        <w:gridCol w:w="9886"/>
        <w:gridCol w:w="191"/>
      </w:tblGrid>
      <w:tr>
        <w:trPr/>
        <w:tc>
          <w:tcPr>
            <w:tcW w:w="9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886"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F73929"/>
                <w:sz w:val="28"/>
              </w:rPr>
            </w:pPr>
            <w:bookmarkStart w:id="10" w:name="market_capitalization"/>
            <w:bookmarkEnd w:id="10"/>
            <w:r>
              <w:rPr>
                <w:rFonts w:ascii="PP Fragment;PP Fragment Sans Light;sans-serif" w:hAnsi="PP Fragment;PP Fragment Sans Light;sans-serif"/>
                <w:b w:val="false"/>
                <w:color w:val="F73929"/>
                <w:sz w:val="28"/>
              </w:rPr>
              <w:t>Market Capitalization, Liquidity &amp; Debt Ratios</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988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(Including pro-rata share of Investment Management debt, in thousands, except per share amounts)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5"/>
        <w:gridCol w:w="146"/>
        <w:gridCol w:w="259"/>
        <w:gridCol w:w="1257"/>
        <w:gridCol w:w="271"/>
        <w:gridCol w:w="146"/>
        <w:gridCol w:w="1561"/>
      </w:tblGrid>
      <w:tr>
        <w:trPr/>
        <w:tc>
          <w:tcPr>
            <w:tcW w:w="6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656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Total Market</w:t>
            </w:r>
          </w:p>
        </w:tc>
        <w:tc>
          <w:tcPr>
            <w:tcW w:w="27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Capitalization</w:t>
            </w:r>
          </w:p>
        </w:tc>
      </w:tr>
      <w:tr>
        <w:trPr/>
        <w:tc>
          <w:tcPr>
            <w:tcW w:w="656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Capitalization</w:t>
              <w:br/>
              <w:t>($)</w:t>
            </w:r>
          </w:p>
        </w:tc>
        <w:tc>
          <w:tcPr>
            <w:tcW w:w="27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Based on Net</w:t>
              <w:br/>
              <w:t>Debt</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Equity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133,514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Common Operating Partnership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6,411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Combined Common Shares and OP Units </w:t>
            </w:r>
            <w:r>
              <w:rPr>
                <w:rFonts w:ascii="DM Sans;sans-serif" w:hAnsi="DM Sans;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139,925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Share Price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19.12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Equity Capitalization - Common Shares and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2,675,359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Preferred OP Units </w:t>
            </w:r>
            <w:r>
              <w:rPr>
                <w:rFonts w:ascii="DM Sans;sans-serif" w:hAnsi="DM Sans;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Total Equity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2,675,838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64%</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Debt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Consolidated Secured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624,764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Consolidated Revolving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91,500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Consolidated Unsecured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880,012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Consolidated Principal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1,596,276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Less: Net unamortized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Add: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8,684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Consolidated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1,604,260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Adjustment to reflect pro-rata share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(38,860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Total Pro-Rata Debt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1,565,400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36%</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Total Market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4,241,238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100%</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Pro-Rata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43,340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Unsettled ATM forward equity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239,225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1,282,835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Pro-Rata EBITDA Annualized (page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260,424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Pro-Rata Adjusted EBITDA Annualized (page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234,444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Ratios</w:t>
            </w:r>
            <w:r>
              <w:rPr>
                <w:rFonts w:ascii="DM Sans;sans-serif" w:hAnsi="DM Sans;sans-serif"/>
                <w:b/>
                <w:color w:val="000000"/>
                <w:sz w:val="12"/>
              </w:rPr>
              <w:t>3</w:t>
            </w:r>
            <w:r>
              <w:rPr>
                <w:rFonts w:ascii="DM Sans;sans-serif" w:hAnsi="DM Sans;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Debt + Preferred Equity (Preferred OP Units) Total Market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Debt + Preferred Equity Total Market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Debt/Adjusted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Does not include the unsettled Common Shares sold under the </w:t>
      </w:r>
      <w:hyperlink w:anchor="forward_offerings">
        <w:r>
          <w:rPr>
            <w:rStyle w:val="InternetLink"/>
            <w:rFonts w:ascii="PP Fragment;PP Fragment Sans Light;sans-serif" w:hAnsi="PP Fragment;PP Fragment Sans Light;sans-serif"/>
            <w:b w:val="false"/>
            <w:color w:val="FF0000"/>
            <w:sz w:val="16"/>
            <w:u w:val="single"/>
          </w:rPr>
          <w:t>Forward Equity Offerings</w:t>
        </w:r>
      </w:hyperlink>
      <w:r>
        <w:rPr>
          <w:rFonts w:ascii="PP Fragment;PP Fragment Sans Light;sans-serif" w:hAnsi="PP Fragment;PP Fragment Sans Light;sans-serif"/>
          <w:b w:val="false"/>
          <w:color w:val="000000"/>
          <w:sz w:val="16"/>
        </w:rPr>
        <w:t>.</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188 Series A Preferred OP Units convertible into 25,067 Common OP Units multiplied by the Common Share price at quarter end.</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Ratios consider our pro-rata share of debt and net debt is net of cash, cash equivalents and restricted cash and unsettled forward equity.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7167" w:type="dxa"/>
        <w:jc w:val="left"/>
        <w:tblInd w:w="0" w:type="dxa"/>
        <w:tblLayout w:type="fixed"/>
        <w:tblCellMar>
          <w:top w:w="28" w:type="dxa"/>
          <w:left w:w="28" w:type="dxa"/>
          <w:bottom w:w="28" w:type="dxa"/>
          <w:right w:w="28" w:type="dxa"/>
        </w:tblCellMar>
      </w:tblPr>
      <w:tblGrid>
        <w:gridCol w:w="3641"/>
        <w:gridCol w:w="3526"/>
      </w:tblGrid>
      <w:tr>
        <w:trPr/>
        <w:tc>
          <w:tcPr>
            <w:tcW w:w="364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47900" cy="361950"/>
                          </a:xfrm>
                          <a:prstGeom prst="rect">
                            <a:avLst/>
                          </a:prstGeom>
                        </pic:spPr>
                      </pic:pic>
                    </a:graphicData>
                  </a:graphic>
                </wp:inline>
              </w:drawing>
            </w:r>
          </w:p>
        </w:tc>
        <w:tc>
          <w:tcPr>
            <w:tcW w:w="352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07" w:type="dxa"/>
        <w:jc w:val="left"/>
        <w:tblInd w:w="0" w:type="dxa"/>
        <w:tblLayout w:type="fixed"/>
        <w:tblCellMar>
          <w:top w:w="28" w:type="dxa"/>
          <w:left w:w="28" w:type="dxa"/>
          <w:bottom w:w="28" w:type="dxa"/>
          <w:right w:w="28" w:type="dxa"/>
        </w:tblCellMar>
      </w:tblPr>
      <w:tblGrid>
        <w:gridCol w:w="151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bookmarkStart w:id="11" w:name="forward_offerings"/>
            <w:bookmarkEnd w:id="11"/>
            <w:r>
              <w:rPr>
                <w:rFonts w:ascii="PP Fragment;PP Fragment Sans;sans-serif" w:hAnsi="PP Fragment;PP Fragment Sans;sans-serif"/>
                <w:b/>
                <w:color w:val="F73929"/>
                <w:sz w:val="28"/>
              </w:rPr>
              <w:t>Equity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10613" w:type="dxa"/>
        <w:jc w:val="left"/>
        <w:tblInd w:w="0" w:type="dxa"/>
        <w:tblLayout w:type="fixed"/>
        <w:tblCellMar>
          <w:top w:w="28" w:type="dxa"/>
          <w:left w:w="28" w:type="dxa"/>
          <w:bottom w:w="28" w:type="dxa"/>
          <w:right w:w="28" w:type="dxa"/>
        </w:tblCellMar>
      </w:tblPr>
      <w:tblGrid>
        <w:gridCol w:w="1201"/>
        <w:gridCol w:w="146"/>
        <w:gridCol w:w="146"/>
        <w:gridCol w:w="901"/>
        <w:gridCol w:w="146"/>
        <w:gridCol w:w="146"/>
        <w:gridCol w:w="182"/>
        <w:gridCol w:w="824"/>
        <w:gridCol w:w="181"/>
        <w:gridCol w:w="146"/>
        <w:gridCol w:w="146"/>
        <w:gridCol w:w="901"/>
        <w:gridCol w:w="146"/>
        <w:gridCol w:w="146"/>
        <w:gridCol w:w="146"/>
        <w:gridCol w:w="901"/>
        <w:gridCol w:w="146"/>
        <w:gridCol w:w="146"/>
        <w:gridCol w:w="146"/>
        <w:gridCol w:w="901"/>
        <w:gridCol w:w="146"/>
        <w:gridCol w:w="146"/>
        <w:gridCol w:w="146"/>
        <w:gridCol w:w="901"/>
        <w:gridCol w:w="146"/>
        <w:gridCol w:w="146"/>
        <w:gridCol w:w="146"/>
        <w:gridCol w:w="90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66" w:type="dxa"/>
            <w:gridSpan w:val="1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Changes in Total Outstanding Common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064"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Weighted Average</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5066" w:type="dxa"/>
            <w:gridSpan w:val="1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Shares and OP Units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Diluted EPS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Diluted FFO</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 xml:space="preserve">Common </w:t>
              <w:br/>
              <w:t>Shares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Common OP Units</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Quarter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YTD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Quarter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YTD</w:t>
            </w:r>
          </w:p>
        </w:tc>
        <w:tc>
          <w:tcPr>
            <w:tcW w:w="1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Balance at 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5,421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136,458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Vesting RS and LTIPs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OP 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Common Shares Issued Upon Forward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Balance at 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133,514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6,411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139,925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131,332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131,332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139,733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139,733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7053" w:type="dxa"/>
        <w:jc w:val="left"/>
        <w:tblInd w:w="0" w:type="dxa"/>
        <w:tblLayout w:type="fixed"/>
        <w:tblCellMar>
          <w:top w:w="28" w:type="dxa"/>
          <w:left w:w="28" w:type="dxa"/>
          <w:bottom w:w="28" w:type="dxa"/>
          <w:right w:w="28" w:type="dxa"/>
        </w:tblCellMar>
      </w:tblPr>
      <w:tblGrid>
        <w:gridCol w:w="3691"/>
        <w:gridCol w:w="146"/>
        <w:gridCol w:w="146"/>
        <w:gridCol w:w="766"/>
        <w:gridCol w:w="181"/>
        <w:gridCol w:w="146"/>
        <w:gridCol w:w="326"/>
        <w:gridCol w:w="1279"/>
        <w:gridCol w:w="18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8"/>
              </w:rPr>
            </w:pPr>
            <w:r>
              <w:rPr>
                <w:rFonts w:ascii="DM Sans;sans-serif" w:hAnsi="DM Sans;sans-serif"/>
                <w:b/>
                <w:color w:val="FFFFFF"/>
                <w:sz w:val="18"/>
              </w:rPr>
              <w:t>Forward Equity Offerings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Shares</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DM Sans;sans-serif" w:hAnsi="DM Sans;sans-serif"/>
                <w:b/>
                <w:color w:val="FFFFFF"/>
                <w:sz w:val="18"/>
              </w:rPr>
              <w:t xml:space="preserve">Net Proceeds </w:t>
            </w:r>
            <w:r>
              <w:rPr>
                <w:rFonts w:ascii="DM Sans;sans-serif" w:hAnsi="DM Sans;sans-serif"/>
                <w:b/>
                <w:color w:val="FFFFFF"/>
                <w:sz w:val="12"/>
              </w:rPr>
              <w:t>1</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Beginning balance 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14,739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295,461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Shares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Shares settled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(55,888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Current-value settlement adjustments</w:t>
            </w:r>
            <w:r>
              <w:rPr>
                <w:rFonts w:ascii="Times New Roman" w:hAnsi="Times New Roman"/>
                <w:color w:val="000000"/>
                <w:sz w:val="18"/>
              </w:rPr>
              <w:t> </w:t>
            </w:r>
            <w:r>
              <w:rPr>
                <w:rFonts w:ascii="DM Sans;sans-serif" w:hAnsi="DM Sans;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Ending balance as of 3/31/2026 </w:t>
            </w:r>
            <w:r>
              <w:rPr>
                <w:rFonts w:ascii="DM Sans;sans-serif" w:hAnsi="DM Sans;sans-serif"/>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12,294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239,225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Amounts received upon settlement are subject to customary adjustments in accordance with the forward sales contracts, which are reflected in settlement adjustments above.</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Ending balance reflects the fair value of the shares unsettled as of March 31, 2026.</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3641"/>
        <w:gridCol w:w="3526"/>
      </w:tblGrid>
      <w:tr>
        <w:trPr/>
        <w:tc>
          <w:tcPr>
            <w:tcW w:w="364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47900" cy="361950"/>
                          </a:xfrm>
                          <a:prstGeom prst="rect">
                            <a:avLst/>
                          </a:prstGeom>
                        </pic:spPr>
                      </pic:pic>
                    </a:graphicData>
                  </a:graphic>
                </wp:inline>
              </w:drawing>
            </w:r>
          </w:p>
        </w:tc>
        <w:tc>
          <w:tcPr>
            <w:tcW w:w="352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412" w:type="dxa"/>
        <w:jc w:val="left"/>
        <w:tblInd w:w="0" w:type="dxa"/>
        <w:tblLayout w:type="fixed"/>
        <w:tblCellMar>
          <w:top w:w="28" w:type="dxa"/>
          <w:left w:w="28" w:type="dxa"/>
          <w:bottom w:w="28" w:type="dxa"/>
          <w:right w:w="28" w:type="dxa"/>
        </w:tblCellMar>
      </w:tblPr>
      <w:tblGrid>
        <w:gridCol w:w="8221"/>
        <w:gridCol w:w="191"/>
      </w:tblGrid>
      <w:tr>
        <w:trPr/>
        <w:tc>
          <w:tcPr>
            <w:tcW w:w="8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2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Funds from Operations (“FFO”), FFO As Adjusted,</w:t>
              <w:br/>
              <w:t>Adjusted Funds from Operations (“AFFO”)</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 except per share amounts)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8"/>
        <w:gridCol w:w="146"/>
        <w:gridCol w:w="1226"/>
        <w:gridCol w:w="146"/>
        <w:gridCol w:w="1226"/>
        <w:gridCol w:w="193"/>
      </w:tblGrid>
      <w:tr>
        <w:trPr/>
        <w:tc>
          <w:tcPr>
            <w:tcW w:w="7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 Ended</w:t>
            </w:r>
          </w:p>
        </w:tc>
        <w:tc>
          <w:tcPr>
            <w:tcW w:w="19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8"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w:t>
              <w:br/>
              <w:t>2025</w:t>
            </w:r>
          </w:p>
        </w:tc>
        <w:tc>
          <w:tcPr>
            <w:tcW w:w="19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Funds from operations ("FFO"):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Net Income attributable to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$30,477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$1,608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Depreciation of real estate and amortization of leasing costs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31,607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bookmarkStart w:id="12" w:name="funds_from_operations"/>
            <w:bookmarkEnd w:id="12"/>
            <w:r>
              <w:rPr>
                <w:rFonts w:ascii="DM Sans;sans-serif" w:hAnsi="DM Sans;sans-serif"/>
                <w:color w:val="000000"/>
                <w:sz w:val="16"/>
              </w:rPr>
              <w:t>Gain on disposition on real estate properties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Impairment charges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1,583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Loss on change in control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Income attributable to noncontrolling interests' share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FFO to Common Shareholders and Common OP Unit 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$36,875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$44,583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Transaction and other expenses </w:t>
            </w:r>
            <w:r>
              <w:rPr>
                <w:rFonts w:ascii="DM Sans;sans-serif" w:hAnsi="DM Sans;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Unrealized holding loss (gain) (net of noncontrolling interest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(1,672)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Tenant lease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(8,309)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FFO As Adjusted to Common Shareholder and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$41,849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$35,128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Adjusted Funds from operations ("AFFO"):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$44,583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Unrealized holding loss (gain) (net of noncontrolling interest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(1,672)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Straight-line 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(341)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Above/below-market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Amortization of 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1,488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Above/below-market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Non-real estate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Leasing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(1,343)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(4,881)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Maintenance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(1,021)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AFFO to Common Shareholders and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$36,835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$36,756</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FFO per Diluted Common Share and Common 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$0.34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FFO As Adjusted per Diluted Common Share and Common 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$0.27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weighted-average diluted shares and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139,733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129,363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Additional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Dividends Declared (per Common Share/OP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Dividends (Shares) &amp; Distributions (OP Units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$27,636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FFO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FFO As Adjusted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AFFO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120" w:after="283"/>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120" w:after="283"/>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Transaction and other expenses include those costs that the Company believes are not reflective of ongoing core operating results including investment transaction costs, debt extinguishment costs and employee retirement costs.</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3641"/>
        <w:gridCol w:w="3526"/>
      </w:tblGrid>
      <w:tr>
        <w:trPr/>
        <w:tc>
          <w:tcPr>
            <w:tcW w:w="364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47900" cy="361950"/>
                          </a:xfrm>
                          <a:prstGeom prst="rect">
                            <a:avLst/>
                          </a:prstGeom>
                        </pic:spPr>
                      </pic:pic>
                    </a:graphicData>
                  </a:graphic>
                </wp:inline>
              </w:drawing>
            </w:r>
          </w:p>
        </w:tc>
        <w:tc>
          <w:tcPr>
            <w:tcW w:w="352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13" w:name="ebitda"/>
      <w:bookmarkEnd w:id="13"/>
      <w:r>
        <w:rPr/>
        <w:t> </w:t>
      </w:r>
    </w:p>
    <w:tbl>
      <w:tblPr>
        <w:tblW w:w="1707" w:type="dxa"/>
        <w:jc w:val="left"/>
        <w:tblInd w:w="0" w:type="dxa"/>
        <w:tblLayout w:type="fixed"/>
        <w:tblCellMar>
          <w:top w:w="28" w:type="dxa"/>
          <w:left w:w="28" w:type="dxa"/>
          <w:bottom w:w="28" w:type="dxa"/>
          <w:right w:w="28" w:type="dxa"/>
        </w:tblCellMar>
      </w:tblPr>
      <w:tblGrid>
        <w:gridCol w:w="151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EBITDA</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151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40" w:type="dxa"/>
        <w:jc w:val="left"/>
        <w:tblInd w:w="0" w:type="dxa"/>
        <w:tblLayout w:type="fixed"/>
        <w:tblCellMar>
          <w:top w:w="28" w:type="dxa"/>
          <w:left w:w="28" w:type="dxa"/>
          <w:bottom w:w="28" w:type="dxa"/>
          <w:right w:w="28" w:type="dxa"/>
        </w:tblCellMar>
      </w:tblPr>
      <w:tblGrid>
        <w:gridCol w:w="7051"/>
        <w:gridCol w:w="146"/>
        <w:gridCol w:w="226"/>
        <w:gridCol w:w="766"/>
        <w:gridCol w:w="211"/>
        <w:gridCol w:w="146"/>
        <w:gridCol w:w="226"/>
        <w:gridCol w:w="766"/>
        <w:gridCol w:w="211"/>
        <w:gridCol w:w="291"/>
      </w:tblGrid>
      <w:tr>
        <w:trPr/>
        <w:tc>
          <w:tcPr>
            <w:tcW w:w="7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051"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 Ended</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w:t>
            </w:r>
          </w:p>
        </w:tc>
        <w:tc>
          <w:tcPr>
            <w:tcW w:w="21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Net income (loss)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30,477</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000000"/>
                <w:sz w:val="16"/>
              </w:rPr>
              <w:t xml:space="preserve">Adjustments: </w:t>
            </w:r>
            <w:r>
              <w:rPr>
                <w:rFonts w:ascii="DM Sans;sans-serif" w:hAnsi="DM Sans;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35,944</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15,169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Above/below-market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Amortization of 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1,618</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Noncontrolling interest - 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1,496</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84,591</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47,596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(30,954</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Unrealized holding loss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616</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DM Sans;sans-serif" w:hAnsi="DM Sans;sans-serif"/>
                <w:color w:val="000000"/>
                <w:sz w:val="16"/>
              </w:rPr>
              <w:t xml:space="preserve">Transaction and other expenses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4,358</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Loss on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58,611</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57,129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Fixed-Charge Coverage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Adjusted EBITDA</w:t>
            </w:r>
            <w:r>
              <w:rPr>
                <w:rFonts w:ascii="DM Sans;sans-serif" w:hAnsi="DM Sans;sans-serif"/>
                <w:color w:val="000000"/>
                <w:sz w:val="11"/>
              </w:rPr>
              <w:t>1</w:t>
            </w:r>
            <w:r>
              <w:rPr>
                <w:rFonts w:ascii="Times New Roman" w:hAnsi="Times New Roman"/>
                <w:color w:val="000000"/>
                <w:sz w:val="16"/>
              </w:rPr>
              <w:t> </w:t>
            </w:r>
            <w:r>
              <w:rPr>
                <w:rFonts w:ascii="DM Sans;sans-serif" w:hAnsi="DM Sans;sans-serif"/>
                <w:color w:val="000000"/>
                <w:sz w:val="16"/>
              </w:rPr>
              <w:t>divided 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58,611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15,169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Principal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1,499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DM Sans;sans-serif" w:hAnsi="DM Sans;sans-serif"/>
                <w:color w:val="000000"/>
                <w:sz w:val="16"/>
              </w:rPr>
              <w:t>Preferred Dividends</w:t>
            </w:r>
            <w:r>
              <w:rPr>
                <w:rFonts w:ascii="DM Sans;sans-serif" w:hAnsi="DM Sans;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Fixed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16,673</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Fixed-Charge Coverage Ratio - REIT Portfolio and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255" w:type="dxa"/>
        <w:jc w:val="left"/>
        <w:tblInd w:w="0" w:type="dxa"/>
        <w:tblLayout w:type="fixed"/>
        <w:tblCellMar>
          <w:top w:w="28" w:type="dxa"/>
          <w:left w:w="28" w:type="dxa"/>
          <w:bottom w:w="28" w:type="dxa"/>
          <w:right w:w="28" w:type="dxa"/>
        </w:tblCellMar>
      </w:tblPr>
      <w:tblGrid>
        <w:gridCol w:w="4921"/>
        <w:gridCol w:w="146"/>
        <w:gridCol w:w="334"/>
        <w:gridCol w:w="1316"/>
        <w:gridCol w:w="146"/>
        <w:gridCol w:w="146"/>
        <w:gridCol w:w="417"/>
        <w:gridCol w:w="1638"/>
        <w:gridCol w:w="1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3997"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EBITDA</w:t>
            </w:r>
          </w:p>
        </w:tc>
        <w:tc>
          <w:tcPr>
            <w:tcW w:w="19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Year to Date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Year ended</w:t>
            </w:r>
          </w:p>
        </w:tc>
        <w:tc>
          <w:tcPr>
            <w:tcW w:w="1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8"/>
              </w:rPr>
            </w:pPr>
            <w:r>
              <w:rPr>
                <w:rFonts w:ascii="DM Sans;sans-serif" w:hAnsi="DM Sans;sans-serif"/>
                <w:b/>
                <w:color w:val="FFFFFF"/>
                <w:sz w:val="18"/>
              </w:rPr>
              <w:t>Reconciliation of EBITDA to Annualized EBITDA</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March 31, 2026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December 31, 2025</w:t>
            </w:r>
          </w:p>
        </w:tc>
        <w:tc>
          <w:tcPr>
            <w:tcW w:w="1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Year to Date EBITDA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31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84,591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Add: Annualized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175,833</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Annualized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260,424</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236,728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Year to Date Adjusted EBITDA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31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58,611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Add: Annualized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175,833</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Annualized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234,444</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236,728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Year to Date Realized gain and Promote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14,454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Annualized Adjusted EBITDA excluding realized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31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234,444</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222,274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These amounts represent the Company’s pro-rata share of consolidated and unconsolidated investments. </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Transaction and other expenses include those costs that the Company believes are not reflective of ongoing core operating results including investment transaction costs, debt extinguishment costs and employee retirement costs.</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preferred distributions on Preferred Operating Partnership Units</w:t>
      </w:r>
    </w:p>
    <w:tbl>
      <w:tblPr>
        <w:tblW w:w="7167" w:type="dxa"/>
        <w:jc w:val="left"/>
        <w:tblInd w:w="0" w:type="dxa"/>
        <w:tblLayout w:type="fixed"/>
        <w:tblCellMar>
          <w:top w:w="28" w:type="dxa"/>
          <w:left w:w="28" w:type="dxa"/>
          <w:bottom w:w="28" w:type="dxa"/>
          <w:right w:w="28" w:type="dxa"/>
        </w:tblCellMar>
      </w:tblPr>
      <w:tblGrid>
        <w:gridCol w:w="3641"/>
        <w:gridCol w:w="3526"/>
      </w:tblGrid>
      <w:tr>
        <w:trPr/>
        <w:tc>
          <w:tcPr>
            <w:tcW w:w="364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47900" cy="361950"/>
                          </a:xfrm>
                          <a:prstGeom prst="rect">
                            <a:avLst/>
                          </a:prstGeom>
                        </pic:spPr>
                      </pic:pic>
                    </a:graphicData>
                  </a:graphic>
                </wp:inline>
              </w:drawing>
            </w:r>
          </w:p>
        </w:tc>
        <w:tc>
          <w:tcPr>
            <w:tcW w:w="352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440" w:type="dxa"/>
        <w:jc w:val="left"/>
        <w:tblInd w:w="0" w:type="dxa"/>
        <w:tblLayout w:type="fixed"/>
        <w:tblCellMar>
          <w:top w:w="28" w:type="dxa"/>
          <w:left w:w="28" w:type="dxa"/>
          <w:bottom w:w="28" w:type="dxa"/>
          <w:right w:w="28" w:type="dxa"/>
        </w:tblCellMar>
      </w:tblPr>
      <w:tblGrid>
        <w:gridCol w:w="6543"/>
        <w:gridCol w:w="897"/>
      </w:tblGrid>
      <w:tr>
        <w:trPr/>
        <w:tc>
          <w:tcPr>
            <w:tcW w:w="65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7440" w:type="dxa"/>
            <w:gridSpan w:val="2"/>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bookmarkStart w:id="14" w:name="same_property_net_op_income"/>
            <w:bookmarkEnd w:id="14"/>
            <w:r>
              <w:rPr>
                <w:rFonts w:ascii="PP Fragment;PP Fragment Sans;sans-serif" w:hAnsi="PP Fragment;PP Fragment Sans;sans-serif"/>
                <w:b/>
                <w:color w:val="F73929"/>
                <w:sz w:val="28"/>
              </w:rPr>
              <w:t>Same Property Performance – REIT Portfolio</w:t>
            </w:r>
            <w:r>
              <w:rPr>
                <w:rFonts w:ascii="PP Fragment;PP Fragment Sans;sans-serif" w:hAnsi="PP Fragment;PP Fragment Sans;sans-serif"/>
                <w:b/>
                <w:color w:val="F73929"/>
                <w:sz w:val="19"/>
              </w:rPr>
              <w:t>1</w:t>
            </w:r>
          </w:p>
        </w:tc>
      </w:tr>
      <w:tr>
        <w:trPr/>
        <w:tc>
          <w:tcPr>
            <w:tcW w:w="6543"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8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9880" w:type="dxa"/>
        <w:jc w:val="left"/>
        <w:tblInd w:w="0" w:type="dxa"/>
        <w:tblLayout w:type="fixed"/>
        <w:tblCellMar>
          <w:top w:w="28" w:type="dxa"/>
          <w:left w:w="28" w:type="dxa"/>
          <w:bottom w:w="28" w:type="dxa"/>
          <w:right w:w="28" w:type="dxa"/>
        </w:tblCellMar>
      </w:tblPr>
      <w:tblGrid>
        <w:gridCol w:w="5521"/>
        <w:gridCol w:w="146"/>
        <w:gridCol w:w="235"/>
        <w:gridCol w:w="755"/>
        <w:gridCol w:w="286"/>
        <w:gridCol w:w="163"/>
        <w:gridCol w:w="235"/>
        <w:gridCol w:w="755"/>
        <w:gridCol w:w="256"/>
        <w:gridCol w:w="146"/>
        <w:gridCol w:w="221"/>
        <w:gridCol w:w="800"/>
        <w:gridCol w:w="36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 Ended March 31,</w:t>
            </w:r>
          </w:p>
        </w:tc>
        <w:tc>
          <w:tcPr>
            <w:tcW w:w="25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 Change</w:t>
            </w:r>
          </w:p>
        </w:tc>
        <w:tc>
          <w:tcPr>
            <w:tcW w:w="3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Summary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Minimum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42,371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Expense reimbursements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11,247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10,181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54,709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51,442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Property operating - CAM &amp; 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14,406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13,398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property operating (Non-CAM)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15,867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14,764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Same Property NOI - REIT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38,842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36,678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5.9</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Reconciliation of Same Property NOI to REIT Portfolio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NOI of Properties excluded from Same 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2,973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Portfolio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41,815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36,730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Other same property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Leased Occupancy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above amounts include the pro-rata share of the Company’s REIT Portfolio consolidated and unconsolidated investments.</w:t>
      </w:r>
    </w:p>
    <w:tbl>
      <w:tblPr>
        <w:tblW w:w="7167" w:type="dxa"/>
        <w:jc w:val="left"/>
        <w:tblInd w:w="0" w:type="dxa"/>
        <w:tblLayout w:type="fixed"/>
        <w:tblCellMar>
          <w:top w:w="28" w:type="dxa"/>
          <w:left w:w="28" w:type="dxa"/>
          <w:bottom w:w="28" w:type="dxa"/>
          <w:right w:w="28" w:type="dxa"/>
        </w:tblCellMar>
      </w:tblPr>
      <w:tblGrid>
        <w:gridCol w:w="3641"/>
        <w:gridCol w:w="3526"/>
      </w:tblGrid>
      <w:tr>
        <w:trPr/>
        <w:tc>
          <w:tcPr>
            <w:tcW w:w="364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247900" cy="361950"/>
                          </a:xfrm>
                          <a:prstGeom prst="rect">
                            <a:avLst/>
                          </a:prstGeom>
                        </pic:spPr>
                      </pic:pic>
                    </a:graphicData>
                  </a:graphic>
                </wp:inline>
              </w:drawing>
            </w:r>
          </w:p>
        </w:tc>
        <w:tc>
          <w:tcPr>
            <w:tcW w:w="352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100" w:type="dxa"/>
        <w:jc w:val="left"/>
        <w:tblInd w:w="0" w:type="dxa"/>
        <w:tblLayout w:type="fixed"/>
        <w:tblCellMar>
          <w:top w:w="28" w:type="dxa"/>
          <w:left w:w="28" w:type="dxa"/>
          <w:bottom w:w="28" w:type="dxa"/>
          <w:right w:w="28" w:type="dxa"/>
        </w:tblCellMar>
      </w:tblPr>
      <w:tblGrid>
        <w:gridCol w:w="3701"/>
        <w:gridCol w:w="4399"/>
      </w:tblGrid>
      <w:tr>
        <w:trPr/>
        <w:tc>
          <w:tcPr>
            <w:tcW w:w="3701" w:type="dxa"/>
            <w:tcBorders/>
            <w:vAlign w:val="center"/>
          </w:tcPr>
          <w:p>
            <w:pPr>
              <w:pStyle w:val="TableContents"/>
              <w:bidi w:val="0"/>
              <w:spacing w:before="0" w:after="283"/>
              <w:jc w:val="left"/>
              <w:rPr>
                <w:sz w:val="4"/>
                <w:szCs w:val="4"/>
              </w:rPr>
            </w:pPr>
            <w:r>
              <w:rPr>
                <w:sz w:val="4"/>
                <w:szCs w:val="4"/>
              </w:rPr>
            </w:r>
          </w:p>
        </w:tc>
        <w:tc>
          <w:tcPr>
            <w:tcW w:w="4399" w:type="dxa"/>
            <w:tcBorders/>
            <w:vAlign w:val="center"/>
          </w:tcPr>
          <w:p>
            <w:pPr>
              <w:pStyle w:val="TableContents"/>
              <w:bidi w:val="0"/>
              <w:spacing w:before="0" w:after="283"/>
              <w:jc w:val="left"/>
              <w:rPr>
                <w:sz w:val="4"/>
                <w:szCs w:val="4"/>
              </w:rPr>
            </w:pPr>
            <w:r>
              <w:rPr>
                <w:sz w:val="4"/>
                <w:szCs w:val="4"/>
              </w:rPr>
            </w:r>
          </w:p>
        </w:tc>
      </w:tr>
      <w:tr>
        <w:trPr/>
        <w:tc>
          <w:tcPr>
            <w:tcW w:w="8100"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15" w:name="core_new_and_renewal_rent_spreads"/>
            <w:bookmarkEnd w:id="15"/>
            <w:r>
              <w:rPr>
                <w:rFonts w:ascii="PP Fragment;PP Fragment Sans;sans-serif" w:hAnsi="PP Fragment;PP Fragment Sans;sans-serif"/>
                <w:b/>
                <w:color w:val="F73929"/>
                <w:sz w:val="28"/>
              </w:rPr>
              <w:t>New and Renewal Rent Spreads – REIT Portfolio</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7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9"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5286" w:type="dxa"/>
        <w:jc w:val="left"/>
        <w:tblInd w:w="0" w:type="dxa"/>
        <w:tblLayout w:type="fixed"/>
        <w:tblCellMar>
          <w:top w:w="28" w:type="dxa"/>
          <w:left w:w="28" w:type="dxa"/>
          <w:bottom w:w="28" w:type="dxa"/>
          <w:right w:w="28" w:type="dxa"/>
        </w:tblCellMar>
      </w:tblPr>
      <w:tblGrid>
        <w:gridCol w:w="3421"/>
        <w:gridCol w:w="146"/>
        <w:gridCol w:w="691"/>
        <w:gridCol w:w="146"/>
        <w:gridCol w:w="691"/>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March 31, 2026</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GAAP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Cash </w:t>
            </w:r>
            <w:r>
              <w:rPr>
                <w:rFonts w:ascii="DM Sans;sans-serif" w:hAnsi="DM Sans;sans-serif"/>
                <w:b/>
                <w:color w:val="FFFFFF"/>
                <w:sz w:val="10"/>
              </w:rPr>
              <w:t>3</w:t>
            </w:r>
          </w:p>
        </w:tc>
        <w:tc>
          <w:tcPr>
            <w:tcW w:w="1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New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Number of new leases executed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20,214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20,214</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$37.51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$34.00</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Previous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$25.02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$26.04</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Average cost per square foot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$173.55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$173.55</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Weighted Average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Percentage growth in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49.9 %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30.6 %</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Renewal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Number of renewal leases executed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162,160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162,160</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$49.90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$47.34</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Expiring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$41.28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$43.03</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Average cost per square foot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$3.70</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Weighted Average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Percentage growth in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20.9 %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10.0 %</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New and Renewal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Number of new and renewal leases executed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GLA commencing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182,374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182,374</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$48.52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$45.86</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Expiring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$39.48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$41.15</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Average cost per square foot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$22.53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$22.53</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Weighted Average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Percentage growth in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22.9 %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11.4 %</w:t>
            </w:r>
          </w:p>
        </w:tc>
        <w:tc>
          <w:tcPr>
            <w:tcW w:w="1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120" w:after="283"/>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120" w:after="283"/>
        <w:jc w:val="both"/>
        <w:rPr/>
      </w:pPr>
      <w:r>
        <w:rPr>
          <w:rFonts w:ascii="PP Fragment;PP Fragment Sans Light;sans-serif" w:hAnsi="PP Fragment;PP Fragment Sans Light;sans-serif"/>
          <w:b w:val="false"/>
          <w:color w:val="000000"/>
          <w:sz w:val="16"/>
        </w:rPr>
        <w:t xml:space="preserve">Based on lease execution dates. Does not include leased square footage and costs related to first generation space and the Company's construction and/or redevelopment projects (see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4472C4"/>
        </w:rPr>
        <w:t xml:space="preserve"> </w:t>
      </w:r>
      <w:r>
        <w:rPr>
          <w:rFonts w:ascii="PP Fragment;PP Fragment Sans Light;sans-serif" w:hAnsi="PP Fragment;PP Fragment Sans Light;sans-serif"/>
          <w:b w:val="false"/>
          <w:color w:val="000000"/>
          <w:sz w:val="16"/>
        </w:rPr>
        <w:t>page of this Supplemental Report) in both new and renewal leases. Renewal leases include exercised options.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Rents are calculated on a straight-line (GAAP) basis and do not incorporate above- or below-market lease adjustments.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Rents have not been calculated on a straight-line basis. The previous (or expiring) rent reflects the amount at the time of lease expiration, while the new rent represents the amount payable at lease commencement.</w:t>
      </w:r>
    </w:p>
    <w:p>
      <w:pPr>
        <w:pStyle w:val="TextBody"/>
        <w:bidi w:val="0"/>
        <w:spacing w:before="120" w:after="283"/>
        <w:jc w:val="left"/>
        <w:rPr>
          <w:rFonts w:ascii="PP Fragment Sans Light" w:hAnsi="PP Fragment Sans Light"/>
          <w:b w:val="false"/>
          <w:color w:val="000000"/>
          <w:sz w:val="2"/>
        </w:rPr>
      </w:pPr>
      <w:r>
        <w:rPr>
          <w:rFonts w:ascii="PP Fragment Sans Light" w:hAnsi="PP Fragment Sans Light"/>
          <w:b w:val="false"/>
          <w:color w:val="000000"/>
          <w:sz w:val="2"/>
        </w:rPr>
        <w:t>(1)</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PP Fragment;PP Fragment Sans Light;sans-serif" w:hAnsi="PP Fragment;PP Fragment Sans Light;sans-serif"/>
          <w:b w:val="false"/>
          <w:color w:val="000000"/>
          <w:sz w:val="2"/>
        </w:rPr>
      </w:pPr>
      <w:r>
        <w:rPr>
          <w:rFonts w:ascii="PP Fragment;PP Fragment Sans Light;sans-serif" w:hAnsi="PP Fragment;PP Fragment Sans Light;sans-serif"/>
          <w:b w:val="false"/>
          <w:color w:val="000000"/>
          <w:sz w:val="2"/>
        </w:rPr>
        <w:t>68-4</w:t>
      </w:r>
    </w:p>
    <w:tbl>
      <w:tblPr>
        <w:tblW w:w="3852" w:type="dxa"/>
        <w:jc w:val="left"/>
        <w:tblInd w:w="0" w:type="dxa"/>
        <w:tblLayout w:type="fixed"/>
        <w:tblCellMar>
          <w:top w:w="28" w:type="dxa"/>
          <w:left w:w="28" w:type="dxa"/>
          <w:bottom w:w="28" w:type="dxa"/>
          <w:right w:w="28" w:type="dxa"/>
        </w:tblCellMar>
      </w:tblPr>
      <w:tblGrid>
        <w:gridCol w:w="3661"/>
        <w:gridCol w:w="191"/>
      </w:tblGrid>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Transactional Activity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bookmarkStart w:id="16" w:name="transactional_activity"/>
      <w:bookmarkEnd w:id="16"/>
      <w:r>
        <w:rPr/>
        <w:t> </w:t>
      </w:r>
    </w:p>
    <w:tbl>
      <w:tblPr>
        <w:tblW w:w="10205" w:type="dxa"/>
        <w:jc w:val="left"/>
        <w:tblInd w:w="0" w:type="dxa"/>
        <w:tblLayout w:type="fixed"/>
        <w:tblCellMar>
          <w:top w:w="28" w:type="dxa"/>
          <w:left w:w="28" w:type="dxa"/>
          <w:bottom w:w="28" w:type="dxa"/>
          <w:right w:w="28" w:type="dxa"/>
        </w:tblCellMar>
      </w:tblPr>
      <w:tblGrid>
        <w:gridCol w:w="2285"/>
        <w:gridCol w:w="146"/>
        <w:gridCol w:w="1242"/>
        <w:gridCol w:w="146"/>
        <w:gridCol w:w="1127"/>
        <w:gridCol w:w="146"/>
        <w:gridCol w:w="1111"/>
        <w:gridCol w:w="146"/>
        <w:gridCol w:w="1095"/>
        <w:gridCol w:w="146"/>
        <w:gridCol w:w="1517"/>
        <w:gridCol w:w="146"/>
        <w:gridCol w:w="952"/>
      </w:tblGrid>
      <w:tr>
        <w:trPr/>
        <w:tc>
          <w:tcPr>
            <w:tcW w:w="2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shd w:fill="ABC8E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5"/>
              </w:rPr>
            </w:pPr>
            <w:r>
              <w:rPr>
                <w:rFonts w:ascii="DM Sans;sans-serif" w:hAnsi="DM Sans;sans-serif"/>
                <w:b/>
                <w:color w:val="000000"/>
                <w:sz w:val="15"/>
              </w:rPr>
              <w:t>Property Acquisitions and Dispositions</w:t>
            </w:r>
          </w:p>
        </w:tc>
      </w:tr>
      <w:tr>
        <w:trPr/>
        <w:tc>
          <w:tcPr>
            <w:tcW w:w="2285"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 Name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Location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Date of</w:t>
              <w:br/>
              <w:t>Transaction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Transaction</w:t>
              <w:br/>
              <w:t xml:space="preserve">Amount </w:t>
            </w:r>
            <w:r>
              <w:rPr>
                <w:rFonts w:ascii="DM Sans;sans-serif" w:hAnsi="DM Sans;sans-serif"/>
                <w:b/>
                <w:color w:val="FFFFFF"/>
                <w:sz w:val="10"/>
              </w:rPr>
              <w:t>1</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Ownership %</w:t>
            </w:r>
            <w:r>
              <w:rPr>
                <w:rFonts w:ascii="Times New Roman" w:hAnsi="Times New Roman"/>
                <w:color w:val="FFFFFF"/>
                <w:sz w:val="15"/>
              </w:rPr>
              <w:t>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Investment Management </w:t>
              <w:br/>
              <w:t>Share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 Share</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ACQUISITIONS</w:t>
            </w:r>
            <w:r>
              <w:rPr>
                <w:rFonts w:ascii="Times New Roman" w:hAnsi="Times New Roman"/>
                <w:color w:val="000000"/>
                <w:sz w:val="15"/>
              </w:rPr>
              <w:t> </w:t>
            </w:r>
            <w:r>
              <w:rPr>
                <w:rFonts w:ascii="DM Sans;sans-serif" w:hAnsi="DM Sans;sans-serif"/>
                <w:b/>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1045 and 1165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$21,313</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Rhode Island Place (Strategic Add-on)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Washington 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9,464</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846 W. Armitage Avenue (Strategic Add-on)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4,440</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225 Worth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Palm Beach,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43,480</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4-6 and 28 Newbury Street</w:t>
            </w:r>
            <w:r>
              <w:rPr>
                <w:rFonts w:ascii="DM Sans;sans-serif" w:hAnsi="DM Sans;sans-serif"/>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Boston,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April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108,850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108,850</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187,547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187,547</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Other Co-Investment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Shops at Skyview</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Queens,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424,140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84,828</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$611,687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$272,375</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RECAPITALIZATIONS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Other Co-Investment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Atlantic Portfolio </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Various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$373,203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$74,641</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Avenue at West Cobb</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Marietta, 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12,541</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Pinewood Square</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Lake Worth,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13,641</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$504,115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$100,823</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RECAPITALIZATIONS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u w:val="single"/>
              </w:rPr>
              <w:t>Investment Management</w:t>
            </w:r>
            <w:r>
              <w:rPr>
                <w:rFonts w:ascii="DM Sans;sans-serif" w:hAnsi="DM Sans;sans-serif"/>
                <w:b/>
                <w:color w:val="000000"/>
                <w:sz w:val="15"/>
              </w:rPr>
              <w:t xml:space="preserve">: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1964 Union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$541</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650 Bald Hill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Warwick, 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April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4,266</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4,807</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Landstown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Virginia Beach,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20,502</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Atlantic Portfolio </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Various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$371,863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371,863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74,744</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473,863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473,863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95,246</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$496,963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$494,653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$100,053</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4" w:type="dxa"/>
            <w:gridSpan w:val="9"/>
            <w:tcBorders/>
            <w:shd w:fill="ABC8E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5"/>
              </w:rPr>
            </w:pPr>
            <w:r>
              <w:rPr>
                <w:rFonts w:ascii="DM Sans;sans-serif" w:hAnsi="DM Sans;sans-serif"/>
                <w:b/>
                <w:color w:val="000000"/>
                <w:sz w:val="15"/>
              </w:rPr>
              <w:t>Structured Financing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5"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Note Description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Transaction Type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Date of </w:t>
              <w:br/>
              <w:t>Transaction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Transaction</w:t>
              <w:br/>
              <w:t>Amount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Acadia </w:t>
              <w:b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Shops at Skyview</w:t>
            </w:r>
            <w:r>
              <w:rPr>
                <w:rFonts w:ascii="DM Sans;sans-serif" w:hAnsi="DM Sans;sans-serif"/>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Atlantic Portfolio (TPG Recapitalization)</w:t>
            </w:r>
            <w:r>
              <w:rPr>
                <w:rFonts w:ascii="DM Sans;sans-serif" w:hAnsi="DM Sans;sans-serif"/>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$69,200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97" w:type="dxa"/>
        <w:jc w:val="left"/>
        <w:tblInd w:w="0" w:type="dxa"/>
        <w:tblLayout w:type="fixed"/>
        <w:tblCellMar>
          <w:top w:w="28" w:type="dxa"/>
          <w:left w:w="28" w:type="dxa"/>
          <w:bottom w:w="28" w:type="dxa"/>
          <w:right w:w="28" w:type="dxa"/>
        </w:tblCellMar>
      </w:tblPr>
      <w:tblGrid>
        <w:gridCol w:w="5206"/>
        <w:gridCol w:w="191"/>
      </w:tblGrid>
      <w:tr>
        <w:trPr/>
        <w:tc>
          <w:tcPr>
            <w:tcW w:w="520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520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Notes to Transactional Activity</w:t>
            </w:r>
            <w:r>
              <w:rPr>
                <w:rFonts w:ascii="Times New Roman" w:hAnsi="Times New Roman"/>
                <w:color w:val="F73929"/>
                <w:sz w:val="28"/>
              </w:rPr>
              <w:t xml:space="preserve"> </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Transaction amounts include capitalized costs, where applicable. Refer to Note 2 in the Company’s latest Form 10-Q or 10-K for further discussion of any such transactions.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Ownership percentages for those properties in Funds II, III, IV, and V within our Investment Management platform represent the respective Investment Management’s ownership, not the Company’s proportionate share.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Acquisitions that closed after March 31, 2026 do not reflect certain acquisitions costs that may be subsequently capitalized.</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The difference between the acquisition amounts and the disposition amounts are due to acquisition costs, which are included in the acquisition amount only.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 provided a $41.7 million preferred equity investment to the venture, of which it also holds a 20% ownership interest. The transaction amount presented reflects the Company’s preferred equity investment net of the portion attributable to its ownership interest.</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6.</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 provided a $27.5 million preferred equity investment to the venture, of which it also holds a 20% ownership interest. The transaction amount presented reflects the Company’s preferred equity investment net of the portion attributable to its ownership interest.</w:t>
      </w:r>
    </w:p>
    <w:p>
      <w:pPr>
        <w:pStyle w:val="TextBody"/>
        <w:bidi w:val="0"/>
        <w:jc w:val="both"/>
        <w:rPr/>
      </w:pPr>
      <w:r>
        <w:rPr/>
        <w:t>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27" w:type="dxa"/>
        <w:jc w:val="left"/>
        <w:tblInd w:w="0" w:type="dxa"/>
        <w:tblLayout w:type="fixed"/>
        <w:tblCellMar>
          <w:top w:w="28" w:type="dxa"/>
          <w:left w:w="28" w:type="dxa"/>
          <w:bottom w:w="28" w:type="dxa"/>
          <w:right w:w="28" w:type="dxa"/>
        </w:tblCellMar>
      </w:tblPr>
      <w:tblGrid>
        <w:gridCol w:w="253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2026 Guidance</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sz w:val="4"/>
                <w:szCs w:val="4"/>
              </w:rPr>
            </w:pPr>
            <w:r>
              <w:rPr>
                <w:sz w:val="4"/>
                <w:szCs w:val="4"/>
              </w:rPr>
            </w:r>
            <w:bookmarkStart w:id="17" w:name="guidance"/>
            <w:bookmarkStart w:id="18" w:name="guidance"/>
            <w:bookmarkEnd w:id="18"/>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100"/>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The Company is increasing its previously issued guidance for Earnings per Share from $0.24-0.26 to $0.37-$0.39 and FFO As Adjusted from $1.21-$1.25 per share to $1.22-$1.26 per share.</w:t>
      </w:r>
    </w:p>
    <w:p>
      <w:pPr>
        <w:pStyle w:val="TextBody"/>
        <w:bidi w:val="0"/>
        <w:spacing w:before="100" w:after="100"/>
        <w:jc w:val="both"/>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The following updated guidance is based upon Acadia’s current view of market conditions and assumptions for the year ended December 31, 2026.</w:t>
      </w:r>
    </w:p>
    <w:tbl>
      <w:tblPr>
        <w:tblW w:w="10205" w:type="dxa"/>
        <w:jc w:val="left"/>
        <w:tblInd w:w="0" w:type="dxa"/>
        <w:tblLayout w:type="fixed"/>
        <w:tblCellMar>
          <w:top w:w="28" w:type="dxa"/>
          <w:left w:w="28" w:type="dxa"/>
          <w:bottom w:w="28" w:type="dxa"/>
          <w:right w:w="28" w:type="dxa"/>
        </w:tblCellMar>
      </w:tblPr>
      <w:tblGrid>
        <w:gridCol w:w="7541"/>
        <w:gridCol w:w="146"/>
        <w:gridCol w:w="1125"/>
        <w:gridCol w:w="146"/>
        <w:gridCol w:w="1055"/>
        <w:gridCol w:w="192"/>
      </w:tblGrid>
      <w:tr>
        <w:trPr/>
        <w:tc>
          <w:tcPr>
            <w:tcW w:w="7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5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326" w:type="dxa"/>
            <w:gridSpan w:val="3"/>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DM Sans;sans-serif" w:hAnsi="DM Sans;sans-serif"/>
                <w:b/>
                <w:color w:val="FFFFFF"/>
                <w:sz w:val="18"/>
              </w:rPr>
              <w:t xml:space="preserve">2026 Guidance </w:t>
            </w:r>
            <w:r>
              <w:rPr>
                <w:rFonts w:ascii="DM Sans;sans-serif" w:hAnsi="DM Sans;sans-serif"/>
                <w:b/>
                <w:color w:val="FFFFFF"/>
                <w:sz w:val="12"/>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Revised</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Prior</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Net earnings per share attributable to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$0.37-$0.39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$0.24-$0.26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Depreciation of real estate and amortization of leasing costs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0.95-0.97</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0.95-0.97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Gain on disposition on real estate properties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(0.22)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Adjustment of redeemable noncontrolling interest to estimated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Noncontrolling interest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0.03</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NAREIT Funds from operations per share attributable to Common Shareholders and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$1.17-$1.21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$1.18-$1.22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EEF3F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Adjustments to FFO:</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Transaction and other expenses </w:t>
            </w:r>
            <w:r>
              <w:rPr>
                <w:rFonts w:ascii="DM Sans;sans-serif" w:hAnsi="DM Sans;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EEF3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Funds From Operations As Adjusted per share attributable to Common Shareholders and Common OP Unit holders </w:t>
            </w:r>
            <w:r>
              <w:rPr>
                <w:rFonts w:ascii="DM Sans;sans-serif" w:hAnsi="DM Sans;sans-serif"/>
                <w:b/>
                <w:color w:val="000000"/>
                <w:sz w:val="12"/>
              </w:rPr>
              <w:t>3</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EEF3F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$1.22-$1.26</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EEF3F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$1.21-$1.25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5"/>
        </w:rPr>
      </w:pPr>
      <w:r>
        <w:rPr>
          <w:rFonts w:ascii="PP Fragment Sans Light" w:hAnsi="PP Fragment Sans Light"/>
          <w:b w:val="false"/>
          <w:color w:val="000000"/>
          <w:sz w:val="15"/>
        </w:rPr>
        <w:t>1.</w:t>
      </w:r>
    </w:p>
    <w:p>
      <w:pPr>
        <w:pStyle w:val="TextBody"/>
        <w:bidi w:val="0"/>
        <w:spacing w:before="0" w:after="0"/>
        <w:jc w:val="both"/>
        <w:rPr>
          <w:rFonts w:ascii="PP Fragment;PP Fragment Sans Light;sans-serif" w:hAnsi="PP Fragment;PP Fragment Sans Light;sans-serif"/>
          <w:b w:val="false"/>
          <w:color w:val="000000"/>
          <w:sz w:val="15"/>
        </w:rPr>
      </w:pPr>
      <w:r>
        <w:rPr>
          <w:rFonts w:ascii="PP Fragment;PP Fragment Sans Light;sans-serif" w:hAnsi="PP Fragment;PP Fragment Sans Light;sans-serif"/>
          <w:b w:val="false"/>
          <w:color w:val="000000"/>
          <w:sz w:val="15"/>
        </w:rPr>
        <w:t>Totals may not foot due to rounding.</w:t>
      </w:r>
    </w:p>
    <w:p>
      <w:pPr>
        <w:pStyle w:val="TextBody"/>
        <w:bidi w:val="0"/>
        <w:spacing w:before="0" w:after="0"/>
        <w:jc w:val="both"/>
        <w:rPr>
          <w:rFonts w:ascii="PP Fragment Sans Light" w:hAnsi="PP Fragment Sans Light"/>
          <w:b w:val="false"/>
          <w:color w:val="000000"/>
          <w:sz w:val="15"/>
        </w:rPr>
      </w:pPr>
      <w:r>
        <w:rPr>
          <w:rFonts w:ascii="PP Fragment Sans Light" w:hAnsi="PP Fragment Sans Light"/>
          <w:b w:val="false"/>
          <w:color w:val="000000"/>
          <w:sz w:val="15"/>
        </w:rPr>
        <w:t>2.</w:t>
      </w:r>
    </w:p>
    <w:p>
      <w:pPr>
        <w:pStyle w:val="TextBody"/>
        <w:bidi w:val="0"/>
        <w:spacing w:before="0" w:after="0"/>
        <w:jc w:val="both"/>
        <w:rPr>
          <w:rFonts w:ascii="PP Fragment;PP Fragment Sans Light;sans-serif" w:hAnsi="PP Fragment;PP Fragment Sans Light;sans-serif"/>
          <w:b w:val="false"/>
          <w:color w:val="000000"/>
          <w:sz w:val="15"/>
        </w:rPr>
      </w:pPr>
      <w:r>
        <w:rPr>
          <w:rFonts w:ascii="PP Fragment;PP Fragment Sans Light;sans-serif" w:hAnsi="PP Fragment;PP Fragment Sans Light;sans-serif"/>
          <w:b w:val="false"/>
          <w:color w:val="000000"/>
          <w:sz w:val="15"/>
        </w:rPr>
        <w:t>Transaction and other expenses include those costs that the Company believes are not reflective of ongoing core operating results, including investment transaction costs, debt extinguishment costs and employee retirement costs.</w:t>
      </w:r>
    </w:p>
    <w:p>
      <w:pPr>
        <w:pStyle w:val="TextBody"/>
        <w:bidi w:val="0"/>
        <w:spacing w:before="0" w:after="0"/>
        <w:jc w:val="both"/>
        <w:rPr>
          <w:rFonts w:ascii="PP Fragment Sans Light" w:hAnsi="PP Fragment Sans Light"/>
          <w:b w:val="false"/>
          <w:color w:val="000000"/>
          <w:sz w:val="15"/>
        </w:rPr>
      </w:pPr>
      <w:r>
        <w:rPr>
          <w:rFonts w:ascii="PP Fragment Sans Light" w:hAnsi="PP Fragment Sans Light"/>
          <w:b w:val="false"/>
          <w:color w:val="000000"/>
          <w:sz w:val="15"/>
        </w:rPr>
        <w:t>3.</w:t>
      </w:r>
    </w:p>
    <w:p>
      <w:pPr>
        <w:pStyle w:val="TextBody"/>
        <w:bidi w:val="0"/>
        <w:jc w:val="both"/>
        <w:rPr/>
      </w:pPr>
      <w:r>
        <w:rPr>
          <w:rFonts w:ascii="PP Fragment;PP Fragment Sans Light;sans-serif" w:hAnsi="PP Fragment;PP Fragment Sans Light;sans-serif"/>
          <w:b w:val="false"/>
          <w:color w:val="000000"/>
          <w:sz w:val="15"/>
        </w:rPr>
        <w:t xml:space="preserve">Refer to the </w:t>
      </w:r>
      <w:hyperlink w:anchor="imp_notes">
        <w:r>
          <w:rPr>
            <w:rStyle w:val="InternetLink"/>
            <w:rFonts w:ascii="PP Fragment;PP Fragment Sans Light;sans-serif" w:hAnsi="PP Fragment;PP Fragment Sans Light;sans-serif"/>
            <w:b w:val="false"/>
            <w:color w:val="F73929"/>
            <w:sz w:val="15"/>
            <w:u w:val="single"/>
          </w:rPr>
          <w:t>Important Notes</w:t>
        </w:r>
      </w:hyperlink>
      <w:r>
        <w:rPr>
          <w:color w:val="000000"/>
        </w:rPr>
        <w:t xml:space="preserve"> </w:t>
      </w:r>
      <w:r>
        <w:rPr>
          <w:rFonts w:ascii="PP Fragment;PP Fragment Sans Light;sans-serif" w:hAnsi="PP Fragment;PP Fragment Sans Light;sans-serif"/>
          <w:b w:val="false"/>
          <w:color w:val="000000"/>
          <w:sz w:val="15"/>
        </w:rPr>
        <w:t>for the definition of FFO As Adjusted.</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19" w:name="consolidated_income_statement"/>
      <w:bookmarkEnd w:id="19"/>
      <w:r>
        <w:rPr/>
        <w:t> </w:t>
      </w:r>
    </w:p>
    <w:tbl>
      <w:tblPr>
        <w:tblW w:w="6732" w:type="dxa"/>
        <w:jc w:val="left"/>
        <w:tblInd w:w="0" w:type="dxa"/>
        <w:tblLayout w:type="fixed"/>
        <w:tblCellMar>
          <w:top w:w="28" w:type="dxa"/>
          <w:left w:w="28" w:type="dxa"/>
          <w:bottom w:w="28" w:type="dxa"/>
          <w:right w:w="28" w:type="dxa"/>
        </w:tblCellMar>
      </w:tblPr>
      <w:tblGrid>
        <w:gridCol w:w="6541"/>
        <w:gridCol w:w="191"/>
      </w:tblGrid>
      <w:tr>
        <w:trPr/>
        <w:tc>
          <w:tcPr>
            <w:tcW w:w="6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4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Consolidated Statements of Operations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5486"/>
        <w:gridCol w:w="146"/>
        <w:gridCol w:w="350"/>
        <w:gridCol w:w="1375"/>
        <w:gridCol w:w="311"/>
      </w:tblGrid>
      <w:tr>
        <w:trPr/>
        <w:tc>
          <w:tcPr>
            <w:tcW w:w="5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8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DM Sans;sans-serif" w:hAnsi="DM Sans;sans-serif"/>
                <w:b/>
                <w:color w:val="FFFFFF"/>
                <w:sz w:val="17"/>
              </w:rPr>
              <w:t xml:space="preserve">March 31, 2026 </w:t>
            </w:r>
            <w:r>
              <w:rPr>
                <w:rFonts w:ascii="DM Sans;sans-serif" w:hAnsi="DM Sans;sans-serif"/>
                <w:b/>
                <w:color w:val="FFFFFF"/>
                <w:sz w:val="11"/>
              </w:rPr>
              <w:t>1</w:t>
            </w:r>
          </w:p>
        </w:tc>
        <w:tc>
          <w:tcPr>
            <w:tcW w:w="31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548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Quarter</w:t>
            </w:r>
          </w:p>
        </w:tc>
        <w:tc>
          <w:tcPr>
            <w:tcW w:w="3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Rental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98,568</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4,424</w:t>
            </w:r>
          </w:p>
        </w:tc>
        <w:tc>
          <w:tcPr>
            <w:tcW w:w="31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7"/>
              </w:rPr>
            </w:pPr>
            <w:r>
              <w:rPr>
                <w:rFonts w:ascii="DM Sans;sans-serif" w:hAnsi="DM Sans;sans-serif"/>
                <w:color w:val="000000"/>
                <w:sz w:val="17"/>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102,992</w:t>
            </w:r>
          </w:p>
        </w:tc>
        <w:tc>
          <w:tcPr>
            <w:tcW w:w="3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40,155</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15,303</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12,922</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Property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18,249</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1375"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86,629</w:t>
            </w:r>
          </w:p>
        </w:tc>
        <w:tc>
          <w:tcPr>
            <w:tcW w:w="311"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142,148</w:t>
            </w:r>
          </w:p>
        </w:tc>
        <w:tc>
          <w:tcPr>
            <w:tcW w:w="31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158,511</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Equity in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(1,508</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4,788</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Unrealized holding losses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(616</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(22,052</w:t>
            </w:r>
          </w:p>
        </w:tc>
        <w:tc>
          <w:tcPr>
            <w:tcW w:w="311"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7"/>
              </w:rPr>
            </w:pPr>
            <w:r>
              <w:rPr>
                <w:rFonts w:ascii="DM Sans;sans-serif" w:hAnsi="DM Sans;sans-serif"/>
                <w:color w:val="000000"/>
                <w:sz w:val="17"/>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375"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139,123</w:t>
            </w:r>
          </w:p>
        </w:tc>
        <w:tc>
          <w:tcPr>
            <w:tcW w:w="311"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w:t>
            </w:r>
          </w:p>
        </w:tc>
        <w:tc>
          <w:tcPr>
            <w:tcW w:w="31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rFonts w:ascii="DM Sans;sans-serif" w:hAnsi="DM Sans;sans-serif"/>
                <w:color w:val="000000"/>
                <w:sz w:val="17"/>
              </w:rPr>
            </w:pPr>
            <w:r>
              <w:rPr>
                <w:rFonts w:ascii="DM Sans;sans-serif" w:hAnsi="DM Sans;sans-serif"/>
                <w:color w:val="000000"/>
                <w:sz w:val="17"/>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139,111</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Net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698</w:t>
            </w:r>
          </w:p>
        </w:tc>
        <w:tc>
          <w:tcPr>
            <w:tcW w:w="3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(109,332</w:t>
            </w:r>
          </w:p>
        </w:tc>
        <w:tc>
          <w:tcPr>
            <w:tcW w:w="31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rFonts w:ascii="DM Sans;sans-serif" w:hAnsi="DM Sans;sans-serif"/>
                <w:color w:val="000000"/>
                <w:sz w:val="17"/>
              </w:rPr>
            </w:pPr>
            <w:r>
              <w:rPr>
                <w:rFonts w:ascii="DM Sans;sans-serif" w:hAnsi="DM Sans;sans-serif"/>
                <w:color w:val="000000"/>
                <w:sz w:val="17"/>
              </w:rPr>
              <w:t>)</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1375"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30,477</w:t>
            </w:r>
          </w:p>
        </w:tc>
        <w:tc>
          <w:tcPr>
            <w:tcW w:w="3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3"/>
        <w:gridCol w:w="146"/>
        <w:gridCol w:w="331"/>
        <w:gridCol w:w="1302"/>
        <w:gridCol w:w="213"/>
      </w:tblGrid>
      <w:tr>
        <w:trPr/>
        <w:tc>
          <w:tcPr>
            <w:tcW w:w="8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1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DM Sans;sans-serif" w:hAnsi="DM Sans;sans-serif"/>
                <w:b/>
                <w:color w:val="FFFFFF"/>
                <w:sz w:val="17"/>
              </w:rPr>
              <w:t xml:space="preserve">March 31, 2026 </w:t>
            </w:r>
            <w:r>
              <w:rPr>
                <w:rFonts w:ascii="DM Sans;sans-serif" w:hAnsi="DM Sans;sans-serif"/>
                <w:b/>
                <w:color w:val="FFFFFF"/>
                <w:sz w:val="11"/>
              </w:rPr>
              <w:t>1</w:t>
            </w:r>
          </w:p>
        </w:tc>
        <w:tc>
          <w:tcPr>
            <w:tcW w:w="213"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821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Quarter</w:t>
            </w:r>
          </w:p>
        </w:tc>
        <w:tc>
          <w:tcPr>
            <w:tcW w:w="21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Reconciliation of Revenues to Consolidated GAAP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130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95,954</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Straight-line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166</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Above/below-market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3,362</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1,311</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Investment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2,216</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Other income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(17</w:t>
            </w:r>
          </w:p>
        </w:tc>
        <w:tc>
          <w:tcPr>
            <w:tcW w:w="2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Consolidated Total GAAP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130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102,992</w:t>
            </w:r>
          </w:p>
        </w:tc>
        <w:tc>
          <w:tcPr>
            <w:tcW w:w="21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Reconciliation of Property Operating Expenses to Consolidated GAAP 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Property operating - CAM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130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14,670</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Asset and property management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3,526</w:t>
            </w:r>
          </w:p>
        </w:tc>
        <w:tc>
          <w:tcPr>
            <w:tcW w:w="2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53</w:t>
            </w:r>
          </w:p>
        </w:tc>
        <w:tc>
          <w:tcPr>
            <w:tcW w:w="2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Consolidated Total GAAP 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130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18,249</w:t>
            </w:r>
          </w:p>
        </w:tc>
        <w:tc>
          <w:tcPr>
            <w:tcW w:w="21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037" w:type="dxa"/>
        <w:jc w:val="left"/>
        <w:tblInd w:w="0" w:type="dxa"/>
        <w:tblLayout w:type="fixed"/>
        <w:tblCellMar>
          <w:top w:w="28" w:type="dxa"/>
          <w:left w:w="28" w:type="dxa"/>
          <w:bottom w:w="28" w:type="dxa"/>
          <w:right w:w="28" w:type="dxa"/>
        </w:tblCellMar>
      </w:tblPr>
      <w:tblGrid>
        <w:gridCol w:w="7846"/>
        <w:gridCol w:w="191"/>
      </w:tblGrid>
      <w:tr>
        <w:trPr/>
        <w:tc>
          <w:tcPr>
            <w:tcW w:w="7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46"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sans-serif" w:hAnsi="PP Fragment;PP Fragment Sans;sans-serif"/>
                <w:b/>
                <w:color w:val="F73929"/>
                <w:sz w:val="28"/>
              </w:rPr>
            </w:pPr>
            <w:bookmarkStart w:id="20" w:name="income_statement_detail"/>
            <w:bookmarkEnd w:id="20"/>
            <w:r>
              <w:rPr>
                <w:rFonts w:ascii="PP Fragment;PP Fragment Sans;sans-serif" w:hAnsi="PP Fragment;PP Fragment Sans;sans-serif"/>
                <w:b/>
                <w:color w:val="F73929"/>
                <w:sz w:val="28"/>
              </w:rPr>
              <w:t>Consolidated Statements of Operations - Detail</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pPr>
            <w:r>
              <w:rPr/>
              <w:t> </w:t>
            </w:r>
          </w:p>
        </w:tc>
      </w:tr>
      <w:tr>
        <w:trPr/>
        <w:tc>
          <w:tcPr>
            <w:tcW w:w="784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9403" w:type="dxa"/>
        <w:jc w:val="left"/>
        <w:tblInd w:w="0" w:type="dxa"/>
        <w:tblLayout w:type="fixed"/>
        <w:tblCellMar>
          <w:top w:w="28" w:type="dxa"/>
          <w:left w:w="28" w:type="dxa"/>
          <w:bottom w:w="28" w:type="dxa"/>
          <w:right w:w="28" w:type="dxa"/>
        </w:tblCellMar>
      </w:tblPr>
      <w:tblGrid>
        <w:gridCol w:w="7321"/>
        <w:gridCol w:w="146"/>
        <w:gridCol w:w="347"/>
        <w:gridCol w:w="1363"/>
        <w:gridCol w:w="226"/>
      </w:tblGrid>
      <w:tr>
        <w:trPr/>
        <w:tc>
          <w:tcPr>
            <w:tcW w:w="7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March 31, 2026 </w:t>
            </w:r>
            <w:r>
              <w:rPr>
                <w:rFonts w:ascii="DM Sans;sans-serif" w:hAnsi="DM Sans;sans-serif"/>
                <w:b/>
                <w:color w:val="FFFFFF"/>
                <w:sz w:val="11"/>
              </w:rPr>
              <w:t>1</w:t>
            </w:r>
          </w:p>
        </w:tc>
        <w:tc>
          <w:tcPr>
            <w:tcW w:w="22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732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REIT PORTFOLIO AND INVESTMENT MANAGEMENT INCOME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Minimum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74,284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Expense reimbursements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10,132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Expense reimbursements -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9,743</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Percentage rent and 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1,795</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95,954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Property operating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14,670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12,922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and property management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3,526</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31,118</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NET OPERATING INCOME -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64,836</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4,788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Straight-line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166</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Above/below-market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3,362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Interest expense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(22,052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203</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REIT PORTFOLIO AND INVESTMENT MANAGEMENT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363"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51,303</w:t>
            </w:r>
          </w:p>
        </w:tc>
        <w:tc>
          <w:tcPr>
            <w:tcW w:w="22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000000"/>
                <w:sz w:val="16"/>
              </w:rPr>
              <w:t xml:space="preserve">FEE AND OTHER INCOME </w:t>
            </w:r>
            <w:r>
              <w:rPr>
                <w:rFonts w:ascii="DM Sans;sans-serif" w:hAnsi="DM Sans;sans-serif"/>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1,311</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2,216</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Investment Management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3,527</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Transactional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(273</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Investment Management Fee Income and Other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3,254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Unrealized losses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(616</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Fee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2,626</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(15,303</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(40,062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Non-real estate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3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142,148</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Gain (loss) before equity in earnings and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140,619</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Equity in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(1,508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Noncontrolling interests (including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(108,634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136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30,477</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90" w:type="dxa"/>
        <w:jc w:val="left"/>
        <w:tblInd w:w="0" w:type="dxa"/>
        <w:tblLayout w:type="fixed"/>
        <w:tblCellMar>
          <w:top w:w="28" w:type="dxa"/>
          <w:left w:w="28" w:type="dxa"/>
          <w:bottom w:w="28" w:type="dxa"/>
          <w:right w:w="28" w:type="dxa"/>
        </w:tblCellMar>
      </w:tblPr>
      <w:tblGrid>
        <w:gridCol w:w="7256"/>
        <w:gridCol w:w="1234"/>
      </w:tblGrid>
      <w:tr>
        <w:trPr/>
        <w:tc>
          <w:tcPr>
            <w:tcW w:w="725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8490" w:type="dxa"/>
            <w:gridSpan w:val="2"/>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bookmarkStart w:id="21" w:name="statements_of_ops_pro_rata"/>
            <w:bookmarkEnd w:id="21"/>
            <w:r>
              <w:rPr>
                <w:rFonts w:ascii="PP Fragment;PP Fragment Sans;sans-serif" w:hAnsi="PP Fragment;PP Fragment Sans;sans-serif"/>
                <w:b/>
                <w:color w:val="F73929"/>
                <w:sz w:val="28"/>
              </w:rPr>
              <w:t>Statements of Operations – Pro-Rata Adjustments</w:t>
            </w:r>
            <w:r>
              <w:rPr>
                <w:rFonts w:ascii="Times New Roman" w:hAnsi="Times New Roman"/>
                <w:color w:val="F73929"/>
                <w:sz w:val="28"/>
              </w:rPr>
              <w:t xml:space="preserve"> </w:t>
            </w:r>
            <w:r>
              <w:rPr>
                <w:rFonts w:ascii="PP Fragment;PP Fragment Sans;sans-serif" w:hAnsi="PP Fragment;PP Fragment Sans;sans-serif"/>
                <w:b/>
                <w:color w:val="F73929"/>
                <w:sz w:val="19"/>
              </w:rPr>
              <w:t>7</w:t>
            </w:r>
          </w:p>
        </w:tc>
      </w:tr>
      <w:tr>
        <w:trPr/>
        <w:tc>
          <w:tcPr>
            <w:tcW w:w="725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234"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191" w:type="dxa"/>
        <w:jc w:val="left"/>
        <w:tblInd w:w="0" w:type="dxa"/>
        <w:tblLayout w:type="fixed"/>
        <w:tblCellMar>
          <w:top w:w="28" w:type="dxa"/>
          <w:left w:w="28" w:type="dxa"/>
          <w:bottom w:w="28" w:type="dxa"/>
          <w:right w:w="28" w:type="dxa"/>
        </w:tblCellMar>
      </w:tblPr>
      <w:tblGrid>
        <w:gridCol w:w="6691"/>
        <w:gridCol w:w="146"/>
        <w:gridCol w:w="260"/>
        <w:gridCol w:w="1076"/>
        <w:gridCol w:w="211"/>
        <w:gridCol w:w="170"/>
        <w:gridCol w:w="330"/>
        <w:gridCol w:w="1081"/>
        <w:gridCol w:w="226"/>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128"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 March 31, 2026</w:t>
            </w:r>
          </w:p>
        </w:tc>
        <w:tc>
          <w:tcPr>
            <w:tcW w:w="22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REIT PORTFOLIO AND INVESTMENT MANAGEMENT INCOME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Noncontrolling</w:t>
              <w:br/>
              <w:t>Interest in</w:t>
              <w:br/>
              <w:t>Consolidated</w:t>
              <w:br/>
              <w:t xml:space="preserve">Subsidiaries </w:t>
            </w:r>
            <w:r>
              <w:rPr>
                <w:rFonts w:ascii="DM Sans;sans-serif" w:hAnsi="DM Sans;sans-serif"/>
                <w:b/>
                <w:color w:val="FFFFFF"/>
                <w:sz w:val="10"/>
              </w:rPr>
              <w:t>4</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Company’s</w:t>
              <w:br/>
              <w:t>Interest in</w:t>
              <w:br/>
              <w:t>Unconsolidated</w:t>
              <w:br/>
              <w:t xml:space="preserve">Subsidiaries </w:t>
            </w:r>
            <w:r>
              <w:rPr>
                <w:rFonts w:ascii="DM Sans;sans-serif" w:hAnsi="DM Sans;sans-serif"/>
                <w:b/>
                <w:color w:val="FFFFFF"/>
                <w:sz w:val="10"/>
              </w:rPr>
              <w:t>5</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Minimum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(23,947</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13,148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Expense reimbursements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(4,171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2,284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Expense reimbursements -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(3,522</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Percentage rent and 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(536</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648</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(32,176</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18,090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Property operating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(5,150</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2,681</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(4,121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2,820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Asset and property management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(1,290</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752</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(10,561</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6,253</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NET OPERATING INCOME -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(21,615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11,837</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Straight-line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Above/below-market rent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(1,530</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730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Interest expense </w:t>
            </w:r>
            <w:r>
              <w:rPr>
                <w:rFonts w:ascii="DM Sans;sans-serif" w:hAnsi="DM Sans;sans-serif"/>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10,679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(5,557</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REIT PORTFOLIO AND INVESTMENT MANAGEMENT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07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(12,893</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081"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7,073</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FEE AND OTHER INCOME</w:t>
            </w:r>
            <w:r>
              <w:rPr>
                <w:rFonts w:ascii="Times New Roman" w:hAnsi="Times New Roman"/>
                <w:color w:val="000000"/>
                <w:sz w:val="15"/>
              </w:rPr>
              <w:t> </w:t>
            </w:r>
            <w:r>
              <w:rPr>
                <w:rFonts w:ascii="DM Sans;sans-serif" w:hAnsi="DM Sans;sans-serif"/>
                <w:b/>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2,279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Investment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1,597</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78</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Investment Management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3,876</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170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Transactional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Investment Management Fee Income and Other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3,876</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170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Unrealized losses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Fee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3,851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165</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604</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(463</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12,494</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(8,283</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Non-real estate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Loss (gain)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(111,194</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Gain (loss) before equity in earnings and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(107,138</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(1,508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Equity in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Noncontrolling interests (including redeemable noncontrolling interests) </w:t>
            </w:r>
            <w:r>
              <w:rPr>
                <w:rFonts w:ascii="DM Sans;sans-serif" w:hAnsi="DM Sans;sans-serif"/>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(1,496</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NET INCOME (LOSS)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07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(108,634</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7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0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(1,508</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637" w:type="dxa"/>
        <w:jc w:val="left"/>
        <w:tblInd w:w="0" w:type="dxa"/>
        <w:tblLayout w:type="fixed"/>
        <w:tblCellMar>
          <w:top w:w="28" w:type="dxa"/>
          <w:left w:w="28" w:type="dxa"/>
          <w:bottom w:w="28" w:type="dxa"/>
          <w:right w:w="28" w:type="dxa"/>
        </w:tblCellMar>
      </w:tblPr>
      <w:tblGrid>
        <w:gridCol w:w="244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Balance Sheet</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bookmarkStart w:id="22" w:name="consolidated_balance_sheet"/>
      <w:bookmarkEnd w:id="22"/>
      <w:r>
        <w:rPr/>
        <w:t> </w:t>
      </w:r>
    </w:p>
    <w:tbl>
      <w:tblPr>
        <w:tblW w:w="10205" w:type="dxa"/>
        <w:jc w:val="left"/>
        <w:tblInd w:w="0" w:type="dxa"/>
        <w:tblLayout w:type="fixed"/>
        <w:tblCellMar>
          <w:top w:w="28" w:type="dxa"/>
          <w:left w:w="28" w:type="dxa"/>
          <w:bottom w:w="28" w:type="dxa"/>
          <w:right w:w="28" w:type="dxa"/>
        </w:tblCellMar>
      </w:tblPr>
      <w:tblGrid>
        <w:gridCol w:w="5126"/>
        <w:gridCol w:w="146"/>
        <w:gridCol w:w="249"/>
        <w:gridCol w:w="1104"/>
        <w:gridCol w:w="166"/>
        <w:gridCol w:w="146"/>
        <w:gridCol w:w="1937"/>
        <w:gridCol w:w="146"/>
        <w:gridCol w:w="211"/>
        <w:gridCol w:w="781"/>
        <w:gridCol w:w="193"/>
      </w:tblGrid>
      <w:tr>
        <w:trPr/>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12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ASSETS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Consolidated</w:t>
              <w:br/>
              <w:t>Balance Sheet</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4"/>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Line Item Details:</w:t>
            </w:r>
          </w:p>
        </w:tc>
        <w:tc>
          <w:tcPr>
            <w:tcW w:w="19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3,057,952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b/>
                <w:color w:val="000000"/>
                <w:sz w:val="16"/>
              </w:rPr>
              <w:t>Real estate under development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178,050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321,489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1,100,492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b/>
                <w:color w:val="000000"/>
                <w:sz w:val="16"/>
              </w:rPr>
              <w:t>Summary of other 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26,266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Deferred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40,517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61,366</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Accrued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4,567,565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Due from seller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1,654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(979,837</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13,020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3,587,728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Real estate under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178,050</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3,765,778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Corporate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Notes receivable, net ($2,176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154,430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10,577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275,770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12,905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96,652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93,449</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93,449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22,596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b/>
                <w:color w:val="000000"/>
                <w:sz w:val="16"/>
              </w:rPr>
              <w:t>Summary of accounts payable and other liabilities: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31,415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Lease liability - finance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32,287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17,374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68,407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Straight-line 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40,846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Deferred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24,663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15,413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Tenant security deposits, escrows,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16,841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18,932</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0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4,532,655</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142,886</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Mortgage and other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624,764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Unsecured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880,012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Unsecured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91,500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142,886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liabilities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24,918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Dividends and distributions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28,421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79,768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Distributions in excess of income from, and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16,241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Liabilities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161</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1,888,671</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8,457</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Common shares, $0.001 par value per share, authorized 200,000,000 shares, issued and outstanding 133,513,864 and 131,036,560 shares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2,755,574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20,057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Distributions in excess of 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(498,735</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2,277,030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358,497</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2,635,527</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0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4,532,655</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540" w:type="dxa"/>
        <w:jc w:val="left"/>
        <w:tblInd w:w="0" w:type="dxa"/>
        <w:tblLayout w:type="fixed"/>
        <w:tblCellMar>
          <w:top w:w="28" w:type="dxa"/>
          <w:left w:w="28" w:type="dxa"/>
          <w:bottom w:w="28" w:type="dxa"/>
          <w:right w:w="28" w:type="dxa"/>
        </w:tblCellMar>
      </w:tblPr>
      <w:tblGrid>
        <w:gridCol w:w="5589"/>
        <w:gridCol w:w="951"/>
      </w:tblGrid>
      <w:tr>
        <w:trPr/>
        <w:tc>
          <w:tcPr>
            <w:tcW w:w="558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6540"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23" w:name="balance_sheet_pro_rata"/>
            <w:bookmarkEnd w:id="23"/>
            <w:r>
              <w:rPr>
                <w:rFonts w:ascii="PP Fragment;PP Fragment Sans;sans-serif" w:hAnsi="PP Fragment;PP Fragment Sans;sans-serif"/>
                <w:b/>
                <w:color w:val="F73929"/>
                <w:sz w:val="28"/>
              </w:rPr>
              <w:t>Balance Sheet – Pro-rata Adjustments</w:t>
            </w:r>
            <w:r>
              <w:rPr>
                <w:rFonts w:ascii="Times New Roman" w:hAnsi="Times New Roman"/>
                <w:color w:val="F73929"/>
                <w:sz w:val="28"/>
              </w:rPr>
              <w:t xml:space="preserve"> </w:t>
            </w:r>
            <w:r>
              <w:rPr>
                <w:rFonts w:ascii="PP Fragment;PP Fragment Sans;sans-serif" w:hAnsi="PP Fragment;PP Fragment Sans;sans-serif"/>
                <w:b/>
                <w:color w:val="F73929"/>
                <w:sz w:val="19"/>
              </w:rPr>
              <w:t>7</w:t>
            </w:r>
          </w:p>
          <w:p>
            <w:pPr>
              <w:pStyle w:val="TableContents"/>
              <w:bidi w:val="0"/>
              <w:spacing w:before="0" w:after="283"/>
              <w:jc w:val="left"/>
              <w:rPr/>
            </w:pPr>
            <w:r>
              <w:rPr/>
              <w:t> </w:t>
            </w:r>
          </w:p>
        </w:tc>
      </w:tr>
      <w:tr>
        <w:trPr/>
        <w:tc>
          <w:tcPr>
            <w:tcW w:w="5589"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95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64"/>
        <w:gridCol w:w="146"/>
        <w:gridCol w:w="304"/>
        <w:gridCol w:w="1212"/>
        <w:gridCol w:w="166"/>
        <w:gridCol w:w="146"/>
        <w:gridCol w:w="316"/>
        <w:gridCol w:w="1260"/>
        <w:gridCol w:w="291"/>
      </w:tblGrid>
      <w:tr>
        <w:trPr/>
        <w:tc>
          <w:tcPr>
            <w:tcW w:w="6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64"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ASSETS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Noncontrolling</w:t>
              <w:br/>
              <w:t>Interest in</w:t>
              <w:br/>
              <w:t>Consolidated</w:t>
              <w:br/>
              <w:t xml:space="preserve">Subsidiaries </w:t>
            </w:r>
            <w:r>
              <w:rPr>
                <w:rFonts w:ascii="DM Sans;sans-serif" w:hAnsi="DM Sans;sans-serif"/>
                <w:b/>
                <w:color w:val="FFFFFF"/>
                <w:sz w:val="11"/>
              </w:rPr>
              <w:t>4</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Company’s</w:t>
              <w:br/>
              <w:t>Interest in</w:t>
              <w:br/>
              <w:t>Unconsolidated</w:t>
              <w:br/>
              <w:t xml:space="preserve">Subsidiaries </w:t>
            </w:r>
            <w:r>
              <w:rPr>
                <w:rFonts w:ascii="DM Sans;sans-serif" w:hAnsi="DM Sans;sans-serif"/>
                <w:b/>
                <w:color w:val="FFFFFF"/>
                <w:sz w:val="11"/>
              </w:rPr>
              <w:t>5</w:t>
            </w:r>
          </w:p>
        </w:tc>
        <w:tc>
          <w:tcPr>
            <w:tcW w:w="2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(440,879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318,265</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(33,914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14,632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(162,498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123,340</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(3,324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1,907</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(21,584</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21,817</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(662,199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479,961</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105,730</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(62,959</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(556,469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417,002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Real estate under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2,217</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(556,469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419,219</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Notes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52,590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55,373</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(21,242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(231,806</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(18,271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49,714</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10,177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7,928</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(1,127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(15,376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9,278</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(2,956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3,605</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Straight-line 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(6,183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4,554</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(4,612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1,621</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(27,953</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17,426</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(591,422</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336,912</w:t>
            </w:r>
          </w:p>
        </w:tc>
        <w:tc>
          <w:tcPr>
            <w:tcW w:w="29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Mortgage and other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(327,606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289,931</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Unsecured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Unsecured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(36,527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34,454</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Lease liabilities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(1,175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Dividends and distributions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(18,156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28,764</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Distributions in excess of income from, and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(16,241</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Liabilities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(161</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(383,264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336,912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Common shares, $0.001 par value per share, authorized 200,000,000 shares, issued and outstanding 133,513,864 and 131,036,560 shares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Distributions in excess of 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Total 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(208,158</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(208,158</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(591,422</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336,912</w:t>
            </w:r>
          </w:p>
        </w:tc>
        <w:tc>
          <w:tcPr>
            <w:tcW w:w="29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2331"/>
        <w:gridCol w:w="2769"/>
      </w:tblGrid>
      <w:tr>
        <w:trPr/>
        <w:tc>
          <w:tcPr>
            <w:tcW w:w="2331"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5100" w:type="dxa"/>
            <w:gridSpan w:val="2"/>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Notes to Financial Statements</w:t>
            </w:r>
          </w:p>
          <w:p>
            <w:pPr>
              <w:pStyle w:val="TableContents"/>
              <w:bidi w:val="0"/>
              <w:spacing w:before="0" w:after="283"/>
              <w:jc w:val="left"/>
              <w:rPr/>
            </w:pPr>
            <w:r>
              <w:rPr/>
              <w:t> </w:t>
            </w:r>
          </w:p>
        </w:tc>
      </w:tr>
      <w:tr>
        <w:trPr/>
        <w:tc>
          <w:tcPr>
            <w:tcW w:w="233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9"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Results are unaudited, although they reflect all adjustments, which in the opinion of management are necessary for a fair presentation of operating results for the interim periods.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Net of consolidated capitalized interest of $2.2 million, or $2.1 million at the Company’s pro-rata share, for the three months ended March 31, 2026.</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left"/>
        <w:rPr/>
      </w:pPr>
      <w:r>
        <w:rPr>
          <w:rFonts w:ascii="PP Fragment;PP Fragment Sans Light;sans-serif" w:hAnsi="PP Fragment;PP Fragment Sans Light;sans-serif"/>
          <w:b w:val="false"/>
          <w:color w:val="000000"/>
          <w:sz w:val="16"/>
        </w:rPr>
        <w:t>Refer to</w:t>
      </w:r>
      <w:r>
        <w:rPr>
          <w:color w:val="0563C1"/>
        </w:rPr>
        <w:t xml:space="preserve"> </w:t>
      </w:r>
      <w:hyperlink w:anchor="fee_income">
        <w:r>
          <w:rPr>
            <w:rStyle w:val="InternetLink"/>
            <w:rFonts w:ascii="PP Fragment;PP Fragment Sans Light;sans-serif" w:hAnsi="PP Fragment;PP Fragment Sans Light;sans-serif"/>
            <w:b w:val="false"/>
            <w:color w:val="FF0000"/>
            <w:sz w:val="16"/>
            <w:u w:val="single"/>
          </w:rPr>
          <w:t>Fee Income Detail</w:t>
        </w:r>
      </w:hyperlink>
      <w:r>
        <w:rPr>
          <w:color w:val="F73929"/>
        </w:rPr>
        <w:t xml:space="preserve"> </w:t>
      </w:r>
      <w:r>
        <w:rPr>
          <w:rFonts w:ascii="PP Fragment;PP Fragment Sans Light;sans-serif" w:hAnsi="PP Fragment;PP Fragment Sans Light;sans-serif"/>
          <w:b w:val="false"/>
          <w:color w:val="000000"/>
          <w:sz w:val="16"/>
        </w:rPr>
        <w:t>page in the Supplemental Report.</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Noncontrolling interests represent limited partners’ interests in consolidated partnerships’ activities and redeemable noncontrolling interests.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Company’s pro-rata share of unconsolidated investments (which consists of unconsolidated REIT properties but also includes Investment Management assets that are held off-balance sheet), each of which are included on a single line presentation in the Company’s consolidated financial statements in accordance with GAAP.</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6.</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This represents the income allocable to Operating Partnership Units of $1.5 million for the three months ended March 31, 2026.</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7.</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 currently has controlling ownership interests in both (a) Investment Management (represented by Funds II, III, IV &amp; V) and (b) non-wholly owned REIT assets. All properties which the Company is deemed to control are consolidated within the Company's financial statements.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bookmarkStart w:id="24" w:name="fee_income"/>
            <w:bookmarkEnd w:id="24"/>
            <w:r>
              <w:rPr>
                <w:rFonts w:ascii="PP Fragment;PP Fragment Sans;sans-serif" w:hAnsi="PP Fragment;PP Fragment Sans;sans-serif"/>
                <w:b/>
                <w:color w:val="F73929"/>
                <w:sz w:val="28"/>
              </w:rPr>
              <w:t xml:space="preserve">Fee Income Detail </w:t>
            </w:r>
            <w:r>
              <w:rPr>
                <w:rFonts w:ascii="PP Fragment;PP Fragment Sans;sans-serif" w:hAnsi="PP Fragment;PP Fragment Sans;sans-serif"/>
                <w:b/>
                <w:color w:val="F73929"/>
                <w:sz w:val="19"/>
              </w:rPr>
              <w:t>1</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pPr>
            <w:r>
              <w:rPr/>
              <w:t>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02"/>
        <w:gridCol w:w="146"/>
        <w:gridCol w:w="285"/>
        <w:gridCol w:w="430"/>
        <w:gridCol w:w="146"/>
        <w:gridCol w:w="146"/>
        <w:gridCol w:w="286"/>
        <w:gridCol w:w="473"/>
        <w:gridCol w:w="146"/>
        <w:gridCol w:w="146"/>
        <w:gridCol w:w="261"/>
        <w:gridCol w:w="522"/>
        <w:gridCol w:w="146"/>
        <w:gridCol w:w="146"/>
        <w:gridCol w:w="211"/>
        <w:gridCol w:w="571"/>
        <w:gridCol w:w="146"/>
        <w:gridCol w:w="146"/>
        <w:gridCol w:w="211"/>
        <w:gridCol w:w="571"/>
        <w:gridCol w:w="146"/>
        <w:gridCol w:w="146"/>
        <w:gridCol w:w="211"/>
        <w:gridCol w:w="571"/>
        <w:gridCol w:w="194"/>
      </w:tblGrid>
      <w:tr>
        <w:trPr/>
        <w:tc>
          <w:tcPr>
            <w:tcW w:w="3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802"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III</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IV</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V</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Other </w:t>
            </w:r>
            <w:r>
              <w:rPr>
                <w:rFonts w:ascii="DM Sans;sans-serif" w:hAnsi="DM Sans;sans-serif"/>
                <w:b/>
                <w:color w:val="FFFFFF"/>
                <w:sz w:val="11"/>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9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Quarter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0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Leasing, Construction, and Development fees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3,891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7,573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left"/>
        <w:rPr/>
      </w:pPr>
      <w:r>
        <w:rPr>
          <w:rFonts w:ascii="PP Fragment;PP Fragment Sans Light;sans-serif" w:hAnsi="PP Fragment;PP Fragment Sans Light;sans-serif"/>
          <w:b w:val="false"/>
          <w:color w:val="000000"/>
          <w:sz w:val="16"/>
        </w:rPr>
        <w:t>Fees are shown at the Company's pro-rata share and can be derived from the</w:t>
      </w:r>
      <w:r>
        <w:rPr>
          <w:color w:val="FF0000"/>
        </w:rPr>
        <w:t xml:space="preserve"> </w:t>
      </w:r>
      <w:hyperlink w:anchor="income_statement_detail">
        <w:r>
          <w:rPr>
            <w:rStyle w:val="InternetLink"/>
            <w:rFonts w:ascii="PP Fragment;PP Fragment Sans Light;sans-serif" w:hAnsi="PP Fragment;PP Fragment Sans Light;sans-serif"/>
            <w:b w:val="false"/>
            <w:color w:val="FF0000"/>
            <w:sz w:val="16"/>
            <w:u w:val="single"/>
          </w:rPr>
          <w:t>Consolidated Statements of Operations - Detail</w:t>
        </w:r>
      </w:hyperlink>
      <w:r>
        <w:rPr>
          <w:color w:val="FF0000"/>
        </w:rPr>
        <w:t xml:space="preserve"> </w:t>
      </w:r>
      <w:r>
        <w:rPr>
          <w:rFonts w:ascii="PP Fragment;PP Fragment Sans Light;sans-serif" w:hAnsi="PP Fragment;PP Fragment Sans Light;sans-serif"/>
          <w:b w:val="false"/>
          <w:color w:val="000000"/>
          <w:sz w:val="16"/>
        </w:rPr>
        <w:t xml:space="preserve">and </w:t>
      </w:r>
      <w:hyperlink w:anchor="statements_of_ops_pro_rata">
        <w:r>
          <w:rPr>
            <w:rStyle w:val="InternetLink"/>
            <w:rFonts w:ascii="PP Fragment;PP Fragment Sans Light;sans-serif" w:hAnsi="PP Fragment;PP Fragment Sans Light;sans-serif"/>
            <w:b w:val="false"/>
            <w:color w:val="FF0000"/>
            <w:sz w:val="16"/>
            <w:u w:val="single"/>
          </w:rPr>
          <w:t>Statements of Operations - Pro-Rata Adjustments</w:t>
        </w:r>
      </w:hyperlink>
      <w:r>
        <w:rPr>
          <w:rFonts w:ascii="PP Fragment;PP Fragment Sans Light;sans-serif" w:hAnsi="PP Fragment;PP Fragment Sans Light;sans-serif"/>
          <w:b w:val="false"/>
          <w:color w:val="F73929"/>
          <w:sz w:val="16"/>
        </w:rPr>
        <w:t>.</w:t>
      </w:r>
      <w:r>
        <w:rPr>
          <w:color w:val="000000"/>
        </w:rPr>
        <w:t xml:space="preserve"> </w:t>
      </w:r>
      <w:r>
        <w:rPr>
          <w:rFonts w:ascii="PP Fragment;PP Fragment Sans Light;sans-serif" w:hAnsi="PP Fragment;PP Fragment Sans Light;sans-serif"/>
          <w:b w:val="false"/>
          <w:color w:val="000000"/>
          <w:sz w:val="16"/>
        </w:rPr>
        <w:t xml:space="preserve">The components of the total fee income to the Company are derived by the fees included on the Consolidated Statements of Operations and the Company's share of fees from the Noncontrolling Interests in Consolidated Subsidiaries and the Company's share of fee income from Unconsolidated Subsidiaries. </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left"/>
        <w:rPr>
          <w:color w:val="000000"/>
        </w:rPr>
      </w:pPr>
      <w:r>
        <w:rPr>
          <w:color w:val="000000"/>
        </w:rPr>
        <w:t>“</w:t>
      </w:r>
      <w:r>
        <w:rPr>
          <w:rFonts w:ascii="PP Fragment;PP Fragment Sans Light;sans-serif" w:hAnsi="PP Fragment;PP Fragment Sans Light;sans-serif"/>
          <w:b w:val="false"/>
          <w:color w:val="000000"/>
          <w:sz w:val="16"/>
        </w:rPr>
        <w:t>Other” includes fees generated from non-wholly owned joint ventures (within both the REIT Portfolio and Investment Management) as well as third-party managed assets.</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5" w:name="structured_financing_portfolio"/>
      <w:bookmarkEnd w:id="25"/>
      <w:r>
        <w:rPr/>
        <w:t> </w:t>
      </w:r>
    </w:p>
    <w:tbl>
      <w:tblPr>
        <w:tblW w:w="5262" w:type="dxa"/>
        <w:jc w:val="left"/>
        <w:tblInd w:w="0" w:type="dxa"/>
        <w:tblLayout w:type="fixed"/>
        <w:tblCellMar>
          <w:top w:w="28" w:type="dxa"/>
          <w:left w:w="28" w:type="dxa"/>
          <w:bottom w:w="28" w:type="dxa"/>
          <w:right w:w="28" w:type="dxa"/>
        </w:tblCellMar>
      </w:tblPr>
      <w:tblGrid>
        <w:gridCol w:w="5071"/>
        <w:gridCol w:w="191"/>
      </w:tblGrid>
      <w:tr>
        <w:trPr/>
        <w:tc>
          <w:tcPr>
            <w:tcW w:w="5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7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Structured Financing Portfolio</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4889" w:type="dxa"/>
        <w:jc w:val="left"/>
        <w:tblInd w:w="0" w:type="dxa"/>
        <w:tblLayout w:type="fixed"/>
        <w:tblCellMar>
          <w:top w:w="28" w:type="dxa"/>
          <w:left w:w="28" w:type="dxa"/>
          <w:bottom w:w="28" w:type="dxa"/>
          <w:right w:w="28" w:type="dxa"/>
        </w:tblCellMar>
      </w:tblPr>
      <w:tblGrid>
        <w:gridCol w:w="1096"/>
        <w:gridCol w:w="146"/>
        <w:gridCol w:w="211"/>
        <w:gridCol w:w="796"/>
        <w:gridCol w:w="146"/>
        <w:gridCol w:w="146"/>
        <w:gridCol w:w="211"/>
        <w:gridCol w:w="691"/>
        <w:gridCol w:w="146"/>
        <w:gridCol w:w="146"/>
        <w:gridCol w:w="211"/>
        <w:gridCol w:w="796"/>
        <w:gridCol w:w="146"/>
        <w:gridCol w:w="146"/>
        <w:gridCol w:w="221"/>
        <w:gridCol w:w="725"/>
        <w:gridCol w:w="146"/>
        <w:gridCol w:w="146"/>
        <w:gridCol w:w="443"/>
        <w:gridCol w:w="728"/>
        <w:gridCol w:w="146"/>
        <w:gridCol w:w="146"/>
        <w:gridCol w:w="211"/>
        <w:gridCol w:w="796"/>
        <w:gridCol w:w="166"/>
        <w:gridCol w:w="146"/>
        <w:gridCol w:w="211"/>
        <w:gridCol w:w="691"/>
        <w:gridCol w:w="146"/>
        <w:gridCol w:w="146"/>
        <w:gridCol w:w="211"/>
        <w:gridCol w:w="796"/>
        <w:gridCol w:w="146"/>
        <w:gridCol w:w="146"/>
        <w:gridCol w:w="185"/>
        <w:gridCol w:w="611"/>
        <w:gridCol w:w="256"/>
        <w:gridCol w:w="146"/>
        <w:gridCol w:w="199"/>
        <w:gridCol w:w="657"/>
        <w:gridCol w:w="256"/>
        <w:gridCol w:w="146"/>
        <w:gridCol w:w="88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500" w:type="dxa"/>
            <w:gridSpan w:val="10"/>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December 31, 2025</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6221"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 March 31, 2026</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Accrued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Ending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Repayments/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Current</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Accrued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Ending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Stated Interest</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Effective Interest</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Maturity</w:t>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Investment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Issuances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Conversions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Dates </w:t>
            </w:r>
            <w:r>
              <w:rPr>
                <w:rFonts w:ascii="DM Sans;sans-serif" w:hAnsi="DM Sans;sans-serif"/>
                <w:b/>
                <w:color w:val="FFFFFF"/>
                <w:sz w:val="10"/>
              </w:rPr>
              <w:t>1,3</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First mortgage notes </w:t>
            </w:r>
            <w:r>
              <w:rPr>
                <w:rFonts w:ascii="DM Sans;sans-serif" w:hAnsi="DM Sans;sans-serif"/>
                <w:color w:val="000000"/>
                <w:sz w:val="1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25"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28"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59,801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3,809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63,610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Sept 2026</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Other notes</w:t>
            </w:r>
            <w:r>
              <w:rPr>
                <w:rFonts w:ascii="Times New Roman" w:hAnsi="Times New Roman"/>
                <w:color w:val="000000"/>
                <w:sz w:val="15"/>
              </w:rPr>
              <w:t> </w:t>
            </w:r>
            <w:r>
              <w:rPr>
                <w:rFonts w:ascii="DM Sans;sans-serif" w:hAnsi="DM Sans;sans-serif"/>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149,817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173,939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55,449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205,266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24,122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229,388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Nov 2026 - Feb 2029</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209,618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27,931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237,549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25"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55,449</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28"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265,067</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69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27,931</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292,998</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8.68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8.91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Reconciliation of Notes Receivable to the Pro-Rata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5"/>
              </w:rPr>
            </w:pPr>
            <w:r>
              <w:rPr>
                <w:rFonts w:ascii="DM Sans;sans-serif" w:hAnsi="DM Sans;sans-serif"/>
                <w:color w:val="000000"/>
                <w:sz w:val="15"/>
              </w:rPr>
              <w:t>Total Notes Receivable per above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265,067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5"/>
              </w:rPr>
            </w:pPr>
            <w:r>
              <w:rPr>
                <w:rFonts w:ascii="DM Sans;sans-serif" w:hAnsi="DM Sans;sans-serif"/>
                <w:color w:val="000000"/>
                <w:sz w:val="15"/>
              </w:rPr>
              <w:t xml:space="preserve">Allowance for credit loss </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5"/>
              </w:rPr>
            </w:pPr>
            <w:r>
              <w:rPr>
                <w:rFonts w:ascii="DM Sans;sans-serif" w:hAnsi="DM Sans;sans-serif"/>
                <w:color w:val="000000"/>
                <w:sz w:val="15"/>
              </w:rPr>
              <w:t>Total pro-rata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262,393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One note in the principal amount of $17.8 million was in default at March 31, 2026.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Certain of the first mortgage notes and other notes enable the borrower to prepay or convert its obligations prior to the stated maturity date without penalty.</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Certain first mortgage notes have extension options subject to customary conditions.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Allowance for credit loss includes the $0.5 million allowance for credit loss related to the City Point Loan which is classified as redeemable noncontrolling interests in the Company’s consolidated financial statements in accordance with GAAP.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PP Fragment;PP Fragment Sans Light;sans-serif" w:hAnsi="PP Fragment;PP Fragment Sans Light;sans-serif"/>
          <w:b w:val="false"/>
          <w:color w:val="000000"/>
          <w:sz w:val="2"/>
        </w:rPr>
      </w:pPr>
      <w:bookmarkStart w:id="26" w:name="net_asset_valuation_information"/>
      <w:bookmarkEnd w:id="26"/>
      <w:r>
        <w:rPr>
          <w:rFonts w:ascii="PP Fragment;PP Fragment Sans Light;sans-serif" w:hAnsi="PP Fragment;PP Fragment Sans Light;sans-serif"/>
          <w:b w:val="false"/>
          <w:color w:val="000000"/>
          <w:sz w:val="2"/>
        </w:rPr>
        <w:t>9</w:t>
      </w:r>
    </w:p>
    <w:tbl>
      <w:tblPr>
        <w:tblW w:w="5562" w:type="dxa"/>
        <w:jc w:val="left"/>
        <w:tblInd w:w="0" w:type="dxa"/>
        <w:tblLayout w:type="fixed"/>
        <w:tblCellMar>
          <w:top w:w="28" w:type="dxa"/>
          <w:left w:w="28" w:type="dxa"/>
          <w:bottom w:w="28" w:type="dxa"/>
          <w:right w:w="28" w:type="dxa"/>
        </w:tblCellMar>
      </w:tblPr>
      <w:tblGrid>
        <w:gridCol w:w="5371"/>
        <w:gridCol w:w="191"/>
      </w:tblGrid>
      <w:tr>
        <w:trPr/>
        <w:tc>
          <w:tcPr>
            <w:tcW w:w="53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7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Net Asset Valuation Information</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9"/>
        <w:gridCol w:w="146"/>
        <w:gridCol w:w="211"/>
        <w:gridCol w:w="931"/>
        <w:gridCol w:w="166"/>
        <w:gridCol w:w="146"/>
        <w:gridCol w:w="211"/>
        <w:gridCol w:w="781"/>
        <w:gridCol w:w="256"/>
        <w:gridCol w:w="146"/>
        <w:gridCol w:w="211"/>
        <w:gridCol w:w="572"/>
        <w:gridCol w:w="256"/>
        <w:gridCol w:w="146"/>
        <w:gridCol w:w="211"/>
        <w:gridCol w:w="676"/>
        <w:gridCol w:w="256"/>
        <w:gridCol w:w="146"/>
        <w:gridCol w:w="211"/>
        <w:gridCol w:w="676"/>
        <w:gridCol w:w="256"/>
        <w:gridCol w:w="146"/>
        <w:gridCol w:w="318"/>
        <w:gridCol w:w="1181"/>
        <w:gridCol w:w="146"/>
        <w:gridCol w:w="194"/>
      </w:tblGrid>
      <w:tr>
        <w:trPr/>
        <w:tc>
          <w:tcPr>
            <w:tcW w:w="1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09"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REIT</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FUND II </w:t>
            </w:r>
            <w:r>
              <w:rPr>
                <w:rFonts w:ascii="DM Sans;sans-serif" w:hAnsi="DM Sans;sans-serif"/>
                <w:b/>
                <w:color w:val="FFFFFF"/>
                <w:sz w:val="11"/>
              </w:rPr>
              <w:t>3</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III</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IV</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V</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Other Co-Investment Vehicles</w:t>
            </w:r>
            <w:r>
              <w:rPr>
                <w:rFonts w:ascii="Times New Roman" w:hAnsi="Times New Roman"/>
                <w:color w:val="FFFFFF"/>
                <w:sz w:val="16"/>
              </w:rPr>
              <w:t> </w:t>
            </w:r>
            <w:r>
              <w:rPr>
                <w:rFonts w:ascii="DM Sans;sans-serif" w:hAnsi="DM Sans;sans-serif"/>
                <w:b/>
                <w:color w:val="FFFFFF"/>
                <w:sz w:val="11"/>
              </w:rPr>
              <w:t>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Acadia Ownership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 to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Current Quarter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000000"/>
                <w:sz w:val="16"/>
                <w:u w:val="single"/>
              </w:rPr>
              <w:t xml:space="preserve">At Pro-Rata </w:t>
            </w:r>
            <w:r>
              <w:rPr>
                <w:rFonts w:ascii="DM Sans;sans-serif" w:hAnsi="DM Sans;sans-serif"/>
                <w:b/>
                <w:color w:val="000000"/>
                <w:sz w:val="11"/>
                <w:u w:val="single"/>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Net Operating Income (loss)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N/A</w:t>
            </w:r>
            <w:r>
              <w:rPr>
                <w:rFonts w:ascii="DM Sans;sans-serif" w:hAnsi="DM Sans;sans-serif"/>
                <w:color w:val="000000"/>
                <w:sz w:val="11"/>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operating income from properties sold or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N/A</w:t>
            </w:r>
            <w:r>
              <w:rPr>
                <w:rFonts w:ascii="DM Sans;sans-serif" w:hAnsi="DM Sans;sans-serif"/>
                <w:color w:val="000000"/>
                <w:sz w:val="11"/>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Net operating (loss) income from pre-stabilized assets, development and redevelopment projects </w:t>
            </w:r>
            <w:r>
              <w:rPr>
                <w:rFonts w:ascii="DM Sans;sans-serif" w:hAnsi="DM Sans;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N/A</w:t>
            </w:r>
            <w:r>
              <w:rPr>
                <w:rFonts w:ascii="Times New Roman" w:hAnsi="Times New Roman"/>
                <w:color w:val="000000"/>
                <w:sz w:val="16"/>
              </w:rPr>
              <w:t> </w:t>
            </w:r>
            <w:r>
              <w:rPr>
                <w:rFonts w:ascii="DM Sans;sans-serif" w:hAnsi="DM Sans;sans-serif"/>
                <w:color w:val="000000"/>
                <w:sz w:val="11"/>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Operating Income of stabilized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N/A</w:t>
            </w:r>
            <w:r>
              <w:rPr>
                <w:rFonts w:ascii="Times New Roman" w:hAnsi="Times New Roman"/>
                <w:color w:val="000000"/>
                <w:sz w:val="16"/>
              </w:rPr>
              <w:t> </w:t>
            </w:r>
            <w:r>
              <w:rPr>
                <w:rFonts w:ascii="DM Sans;sans-serif" w:hAnsi="DM Sans;sans-serif"/>
                <w:color w:val="000000"/>
                <w:sz w:val="11"/>
              </w:rPr>
              <w:t>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3,166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Costs to Date (Pro-Rata)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 xml:space="preserve">N/A </w:t>
            </w:r>
            <w:r>
              <w:rPr>
                <w:rFonts w:ascii="DM Sans;sans-serif" w:hAnsi="DM Sans;sans-serif"/>
                <w:color w:val="000000"/>
                <w:sz w:val="11"/>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Pre-stabilized assets </w:t>
            </w:r>
            <w:r>
              <w:rPr>
                <w:rFonts w:ascii="DM Sans;sans-serif" w:hAnsi="DM Sans;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337,937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 xml:space="preserve">N/A </w:t>
            </w:r>
            <w:r>
              <w:rPr>
                <w:rFonts w:ascii="DM Sans;sans-serif" w:hAnsi="DM Sans;sans-serif"/>
                <w:color w:val="000000"/>
                <w:sz w:val="11"/>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Development and redevelopment projects </w:t>
            </w:r>
            <w:r>
              <w:rPr>
                <w:rFonts w:ascii="DM Sans;sans-serif" w:hAnsi="DM Sans;sans-serif"/>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528,500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N/A</w:t>
            </w:r>
            <w:r>
              <w:rPr>
                <w:rFonts w:ascii="Times New Roman" w:hAnsi="Times New Roman"/>
                <w:color w:val="000000"/>
                <w:sz w:val="16"/>
              </w:rPr>
              <w:t> </w:t>
            </w:r>
            <w:r>
              <w:rPr>
                <w:rFonts w:ascii="DM Sans;sans-serif" w:hAnsi="DM Sans;sans-serif"/>
                <w:color w:val="000000"/>
                <w:sz w:val="11"/>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27,800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Costs to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866,437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DM Sans;sans-serif" w:hAnsi="DM Sans;sans-serif"/>
                <w:color w:val="000000"/>
                <w:sz w:val="16"/>
              </w:rPr>
              <w:t>N/A</w:t>
            </w:r>
            <w:r>
              <w:rPr>
                <w:rFonts w:ascii="Times New Roman" w:hAnsi="Times New Roman"/>
                <w:color w:val="000000"/>
                <w:sz w:val="16"/>
              </w:rPr>
              <w:t> </w:t>
            </w:r>
            <w:r>
              <w:rPr>
                <w:rFonts w:ascii="DM Sans;sans-serif" w:hAnsi="DM Sans;sans-serif"/>
                <w:color w:val="000000"/>
                <w:sz w:val="11"/>
              </w:rPr>
              <w:t>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45,281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Debt (Pro-Rata)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1,189,962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103,642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23,165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94,378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This Net Asset Valuation Information page shows Acadia’s pro-rata portion of the REIT and Investment Management Net Operating Income.</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pPr>
      <w:r>
        <w:rPr>
          <w:rFonts w:ascii="PP Fragment;PP Fragment Sans Light;sans-serif" w:hAnsi="PP Fragment;PP Fragment Sans Light;sans-serif"/>
          <w:b w:val="false"/>
          <w:color w:val="000000"/>
          <w:sz w:val="16"/>
        </w:rPr>
        <w:t xml:space="preserve">Does not include a full quarter of NOI for any assets purchased during the current quarter. See </w:t>
      </w:r>
      <w:hyperlink w:anchor="transactional_activity">
        <w:r>
          <w:rPr>
            <w:rStyle w:val="InternetLink"/>
            <w:rFonts w:ascii="PP Fragment;PP Fragment Sans Light;sans-serif" w:hAnsi="PP Fragment;PP Fragment Sans Light;sans-serif"/>
            <w:b w:val="false"/>
            <w:color w:val="F73929"/>
            <w:sz w:val="16"/>
            <w:u w:val="single"/>
          </w:rPr>
          <w:t>Transactional Activity</w:t>
        </w:r>
      </w:hyperlink>
      <w:hyperlink w:anchor="transactional_activity">
        <w:r>
          <w:rPr>
            <w:rStyle w:val="InternetLink"/>
            <w:color w:val="0000FF"/>
          </w:rPr>
          <w:t xml:space="preserve"> </w:t>
        </w:r>
      </w:hyperlink>
      <w:r>
        <w:rPr>
          <w:rFonts w:ascii="PP Fragment;PP Fragment Sans Light;sans-serif" w:hAnsi="PP Fragment;PP Fragment Sans Light;sans-serif"/>
          <w:b w:val="false"/>
          <w:color w:val="000000"/>
          <w:sz w:val="16"/>
        </w:rPr>
        <w:t xml:space="preserve">page in this Supplemental Report for descriptions of those acquisitions.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Fund II has been substantially liquidated except for its investment in City Point. Amounts omitted as only remaining asset is City Point.</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Pre-stabilized assets consist of the following projects for REIT: Route 6 Mall, 664 N. Michigan Avenue, 651-671 West Diversey, Henderson Avenue, City Center, and 1801-03 Connecticut Ave; Fund II: City Point; Fund IV: 210 Bowery, 801 Madison, and 27 E 61st Street.</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Other Co-investment vehicles currently include the Company’s ownership interest in Shops at Grand Avenue, Walk at Highwoods Preserve, LINQ Promenade, Shops at Skyview, Pinewood Square, Avenue at West Cobb, and Atlantic Portfolio.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6.</w:t>
      </w:r>
    </w:p>
    <w:p>
      <w:pPr>
        <w:pStyle w:val="TextBody"/>
        <w:bidi w:val="0"/>
        <w:jc w:val="both"/>
        <w:rPr/>
      </w:pPr>
      <w:r>
        <w:rPr>
          <w:rFonts w:ascii="PP Fragment;PP Fragment Sans Light;sans-serif" w:hAnsi="PP Fragment;PP Fragment Sans Light;sans-serif"/>
          <w:b w:val="false"/>
          <w:color w:val="000000"/>
          <w:sz w:val="16"/>
        </w:rPr>
        <w:t xml:space="preserve">Refer to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4472C4"/>
        </w:rPr>
        <w:t xml:space="preserve"> </w:t>
      </w:r>
      <w:r>
        <w:rPr>
          <w:rFonts w:ascii="PP Fragment;PP Fragment Sans Light;sans-serif" w:hAnsi="PP Fragment;PP Fragment Sans Light;sans-serif"/>
          <w:b w:val="false"/>
          <w:color w:val="000000"/>
          <w:sz w:val="16"/>
        </w:rPr>
        <w:t>page for projects.</w:t>
      </w:r>
    </w:p>
    <w:p>
      <w:pPr>
        <w:pStyle w:val="TextBody"/>
        <w:bidi w:val="0"/>
        <w:jc w:val="both"/>
        <w:rPr/>
      </w:pPr>
      <w:r>
        <w:rPr/>
        <w:t> </w:t>
      </w:r>
    </w:p>
    <w:p>
      <w:pPr>
        <w:pStyle w:val="TextBody"/>
        <w:bidi w:val="0"/>
        <w:jc w:val="both"/>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82" w:type="dxa"/>
        <w:jc w:val="left"/>
        <w:tblInd w:w="0" w:type="dxa"/>
        <w:tblLayout w:type="fixed"/>
        <w:tblCellMar>
          <w:top w:w="28" w:type="dxa"/>
          <w:left w:w="28" w:type="dxa"/>
          <w:bottom w:w="28" w:type="dxa"/>
          <w:right w:w="28" w:type="dxa"/>
        </w:tblCellMar>
      </w:tblPr>
      <w:tblGrid>
        <w:gridCol w:w="6991"/>
        <w:gridCol w:w="191"/>
      </w:tblGrid>
      <w:tr>
        <w:trPr/>
        <w:tc>
          <w:tcPr>
            <w:tcW w:w="6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9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Development and Redevelopment Activity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27" w:name="development_and_redevelopment_activity"/>
      <w:bookmarkEnd w:id="27"/>
      <w:r>
        <w:rPr/>
        <w:t> </w:t>
      </w:r>
    </w:p>
    <w:p>
      <w:pPr>
        <w:pStyle w:val="TextBody"/>
        <w:bidi w:val="0"/>
        <w:jc w:val="left"/>
        <w:rPr/>
      </w:pPr>
      <w:r>
        <w:rPr/>
        <w:t> </w:t>
      </w:r>
    </w:p>
    <w:tbl>
      <w:tblPr>
        <w:tblW w:w="13028" w:type="dxa"/>
        <w:jc w:val="left"/>
        <w:tblInd w:w="0" w:type="dxa"/>
        <w:tblLayout w:type="fixed"/>
        <w:tblCellMar>
          <w:top w:w="28" w:type="dxa"/>
          <w:left w:w="28" w:type="dxa"/>
          <w:bottom w:w="28" w:type="dxa"/>
          <w:right w:w="28" w:type="dxa"/>
        </w:tblCellMar>
      </w:tblPr>
      <w:tblGrid>
        <w:gridCol w:w="1456"/>
        <w:gridCol w:w="146"/>
        <w:gridCol w:w="811"/>
        <w:gridCol w:w="146"/>
        <w:gridCol w:w="1081"/>
        <w:gridCol w:w="146"/>
        <w:gridCol w:w="1156"/>
        <w:gridCol w:w="146"/>
        <w:gridCol w:w="183"/>
        <w:gridCol w:w="868"/>
        <w:gridCol w:w="146"/>
        <w:gridCol w:w="146"/>
        <w:gridCol w:w="416"/>
        <w:gridCol w:w="1085"/>
        <w:gridCol w:w="146"/>
        <w:gridCol w:w="146"/>
        <w:gridCol w:w="196"/>
        <w:gridCol w:w="511"/>
        <w:gridCol w:w="146"/>
        <w:gridCol w:w="146"/>
        <w:gridCol w:w="196"/>
        <w:gridCol w:w="421"/>
        <w:gridCol w:w="146"/>
        <w:gridCol w:w="146"/>
        <w:gridCol w:w="196"/>
        <w:gridCol w:w="511"/>
        <w:gridCol w:w="146"/>
        <w:gridCol w:w="146"/>
        <w:gridCol w:w="196"/>
        <w:gridCol w:w="511"/>
        <w:gridCol w:w="146"/>
        <w:gridCol w:w="146"/>
        <w:gridCol w:w="196"/>
        <w:gridCol w:w="51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406" w:type="dxa"/>
            <w:gridSpan w:val="2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Acadia's Pro-rata Share (in millions)</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AKR Pro-rata share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Location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Estimated Stabilization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 Sq ft Upon Completion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Costs incurred from development / redevelopment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Total Costs to Date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Estimated Future Range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Estimated Total Range</w:t>
            </w:r>
          </w:p>
        </w:tc>
        <w:tc>
          <w:tcPr>
            <w:tcW w:w="1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Henderson Avenue Expansion </w:t>
            </w:r>
            <w:r>
              <w:rPr>
                <w:rFonts w:ascii="DM Sans;sans-serif" w:hAnsi="DM Sans;sans-serif"/>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Dallas,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2027/2028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555 9th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840 N. Michigan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Brandywine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Wilmington, 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Westshore Expressway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Staten Island,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Mark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Edwardsville,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Bedford Green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Bedford Hills,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REIT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REIT Development and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FUND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Broad Hollow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Farmingdale,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717 N. Michigan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Investment Management Development and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REIT and Investment Management Development and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 intends to partner with Ignite-Rebees DevCo LLC, and expects to retain a controlling 95% interest.</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 costs includes the original acquisition cost of the asset. The Company is not currently capitalizing interest or carrying costs for those assets included in “Redevelopment” assets and “Fund III development” above.</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82" w:type="dxa"/>
        <w:jc w:val="left"/>
        <w:tblInd w:w="0" w:type="dxa"/>
        <w:tblLayout w:type="fixed"/>
        <w:tblCellMar>
          <w:top w:w="28" w:type="dxa"/>
          <w:left w:w="28" w:type="dxa"/>
          <w:bottom w:w="28" w:type="dxa"/>
          <w:right w:w="28" w:type="dxa"/>
        </w:tblCellMar>
      </w:tblPr>
      <w:tblGrid>
        <w:gridCol w:w="6991"/>
        <w:gridCol w:w="191"/>
      </w:tblGrid>
      <w:tr>
        <w:trPr/>
        <w:tc>
          <w:tcPr>
            <w:tcW w:w="6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9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Development and Redevelopment Activity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2"/>
        <w:gridCol w:w="146"/>
        <w:gridCol w:w="1187"/>
        <w:gridCol w:w="146"/>
        <w:gridCol w:w="1287"/>
        <w:gridCol w:w="146"/>
        <w:gridCol w:w="1597"/>
        <w:gridCol w:w="146"/>
        <w:gridCol w:w="259"/>
        <w:gridCol w:w="1393"/>
        <w:gridCol w:w="146"/>
        <w:gridCol w:w="146"/>
        <w:gridCol w:w="146"/>
        <w:gridCol w:w="146"/>
        <w:gridCol w:w="146"/>
        <w:gridCol w:w="146"/>
        <w:gridCol w:w="146"/>
        <w:gridCol w:w="146"/>
        <w:gridCol w:w="146"/>
        <w:gridCol w:w="146"/>
        <w:gridCol w:w="146"/>
        <w:gridCol w:w="146"/>
        <w:gridCol w:w="194"/>
      </w:tblGrid>
      <w:tr>
        <w:trPr/>
        <w:tc>
          <w:tcPr>
            <w:tcW w:w="1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5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7"/>
              </w:rPr>
            </w:pPr>
            <w:r>
              <w:rPr>
                <w:rFonts w:ascii="DM Sans;sans-serif" w:hAnsi="DM Sans;sans-serif"/>
                <w:b/>
                <w:color w:val="FFFFFF"/>
                <w:sz w:val="17"/>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AKR Pro-rata share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Location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Estimated Stabilization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Est. Sq ft Upon Completion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u w:val="single"/>
              </w:rPr>
            </w:pPr>
            <w:r>
              <w:rPr>
                <w:rFonts w:ascii="DM Sans;sans-serif" w:hAnsi="DM Sans;sans-serif"/>
                <w:b/>
                <w:color w:val="000000"/>
                <w:sz w:val="17"/>
                <w:u w:val="single"/>
              </w:rPr>
              <w:t>Pre-Stabilized: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210 Bowery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801 Madison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27 E 61st Street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1035 Third Avenue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Henderson Avenue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Dallas,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62,000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City Center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Route 6 Mall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Honesdale,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154,000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City Point (Fund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Brooklyn,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536,198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651-671 West Diversey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1801-03 Connecticut Avenue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Washington, 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28" w:name="portfolio_debt_summary"/>
            <w:bookmarkEnd w:id="28"/>
            <w:r>
              <w:rPr>
                <w:rFonts w:ascii="PP Fragment;PP Fragment Sans;sans-serif" w:hAnsi="PP Fragment;PP Fragment Sans;sans-serif"/>
                <w:b/>
                <w:color w:val="F73929"/>
                <w:sz w:val="28"/>
              </w:rPr>
              <w:t xml:space="preserve">Portfolio Debt </w:t>
            </w:r>
            <w:r>
              <w:rPr>
                <w:rFonts w:ascii="Times New Roman" w:hAnsi="Times New Roman"/>
                <w:color w:val="F73929"/>
                <w:sz w:val="28"/>
              </w:rPr>
              <w:t xml:space="preserve">– </w:t>
            </w:r>
            <w:r>
              <w:rPr>
                <w:rFonts w:ascii="PP Fragment;PP Fragment Sans;sans-serif" w:hAnsi="PP Fragment;PP Fragment Sans;sans-serif"/>
                <w:b/>
                <w:color w:val="F73929"/>
                <w:sz w:val="28"/>
              </w:rPr>
              <w:t>Summary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5220" w:type="dxa"/>
        <w:jc w:val="left"/>
        <w:tblInd w:w="0" w:type="dxa"/>
        <w:tblLayout w:type="fixed"/>
        <w:tblCellMar>
          <w:top w:w="28" w:type="dxa"/>
          <w:left w:w="28" w:type="dxa"/>
          <w:bottom w:w="28" w:type="dxa"/>
          <w:right w:w="28" w:type="dxa"/>
        </w:tblCellMar>
      </w:tblPr>
      <w:tblGrid>
        <w:gridCol w:w="1141"/>
        <w:gridCol w:w="146"/>
        <w:gridCol w:w="1066"/>
        <w:gridCol w:w="146"/>
        <w:gridCol w:w="841"/>
        <w:gridCol w:w="146"/>
        <w:gridCol w:w="901"/>
        <w:gridCol w:w="146"/>
        <w:gridCol w:w="841"/>
        <w:gridCol w:w="146"/>
        <w:gridCol w:w="1066"/>
        <w:gridCol w:w="146"/>
        <w:gridCol w:w="841"/>
        <w:gridCol w:w="146"/>
        <w:gridCol w:w="916"/>
        <w:gridCol w:w="146"/>
        <w:gridCol w:w="1066"/>
        <w:gridCol w:w="146"/>
        <w:gridCol w:w="796"/>
        <w:gridCol w:w="146"/>
        <w:gridCol w:w="1336"/>
        <w:gridCol w:w="146"/>
        <w:gridCol w:w="1411"/>
        <w:gridCol w:w="146"/>
        <w:gridCol w:w="124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648"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Acadia Pro-Rata Share of Debt </w:t>
            </w:r>
            <w:r>
              <w:rPr>
                <w:rFonts w:ascii="DM Sans;sans-serif" w:hAnsi="DM Sans;sans-serif"/>
                <w:b/>
                <w:color w:val="FFFFFF"/>
                <w:sz w:val="10"/>
              </w:rPr>
              <w:t>2</w:t>
            </w:r>
          </w:p>
        </w:tc>
        <w:tc>
          <w:tcPr>
            <w:tcW w:w="4285" w:type="dxa"/>
            <w:gridSpan w:val="5"/>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REIT Portfolio</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88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Investment Management</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415" w:type="dxa"/>
            <w:gridSpan w:val="10"/>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Total</w:t>
            </w:r>
          </w:p>
        </w:tc>
        <w:tc>
          <w:tcPr>
            <w:tcW w:w="4285" w:type="dxa"/>
            <w:gridSpan w:val="5"/>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Reconciliation to Consolidated Debt as Reported</w:t>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Debt Type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b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WA Years </w:t>
              <w:br/>
              <w:t>to</w:t>
              <w:br/>
              <w:t xml:space="preserve">Maturity </w:t>
            </w:r>
            <w:r>
              <w:rPr>
                <w:rFonts w:ascii="DM Sans;sans-serif" w:hAnsi="DM Sans;sans-serif"/>
                <w:b/>
                <w:color w:val="FFFFFF"/>
                <w:sz w:val="10"/>
              </w:rPr>
              <w:t>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b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WA Years</w:t>
              <w:br/>
              <w:t>to</w:t>
              <w:br/>
              <w:t xml:space="preserve">Maturity </w:t>
            </w:r>
            <w:r>
              <w:rPr>
                <w:rFonts w:ascii="DM Sans;sans-serif" w:hAnsi="DM Sans;sans-serif"/>
                <w:b/>
                <w:color w:val="FFFFFF"/>
                <w:sz w:val="10"/>
              </w:rPr>
              <w:t>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b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WA Years</w:t>
              <w:br/>
              <w:t>to</w:t>
              <w:br/>
              <w:t xml:space="preserve">Maturity </w:t>
            </w:r>
            <w:r>
              <w:rPr>
                <w:rFonts w:ascii="DM Sans;sans-serif" w:hAnsi="DM Sans;sans-serif"/>
                <w:b/>
                <w:color w:val="FFFFFF"/>
                <w:sz w:val="10"/>
              </w:rPr>
              <w:t>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Swap</w:t>
              <w:br/>
              <w:t>Notional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Adjusted </w:t>
              <w:br/>
              <w:t>Debt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br/>
              <w:t>Rate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Add: </w:t>
              <w:br/>
              <w:t>Noncontrolling</w:t>
              <w:br/>
              <w:t>Interest Share</w:t>
              <w:br/>
              <w:t xml:space="preserve">of Debt </w:t>
            </w:r>
            <w:r>
              <w:rPr>
                <w:rFonts w:ascii="DM Sans;sans-serif" w:hAnsi="DM Sans;sans-serif"/>
                <w:b/>
                <w:color w:val="FFFFFF"/>
                <w:sz w:val="10"/>
              </w:rPr>
              <w:t>3</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Less: Pro-rata</w:t>
              <w:br/>
              <w:t>Share of</w:t>
              <w:br/>
              <w:t>Unconsolidated</w:t>
              <w:br/>
              <w:t xml:space="preserve">Debt </w:t>
            </w:r>
            <w:r>
              <w:rPr>
                <w:rFonts w:ascii="DM Sans;sans-serif" w:hAnsi="DM Sans;sans-serif"/>
                <w:b/>
                <w:color w:val="FFFFFF"/>
                <w:sz w:val="10"/>
              </w:rPr>
              <w:t>4</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w:t>
              <w:br/>
              <w:t>Consolidated</w:t>
              <w:br/>
              <w:t>Debt as</w:t>
              <w:br/>
              <w:t>Reported</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Fixed-Rate Debt </w:t>
            </w:r>
            <w:r>
              <w:rPr>
                <w:rFonts w:ascii="DM Sans;sans-serif" w:hAnsi="DM Sans;sans-serif"/>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$267,347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$288,570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$1,069,071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$1,357,641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$123,762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$1,305,470</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Variable-Rate Debt </w:t>
            </w:r>
            <w:r>
              <w:rPr>
                <w:rFonts w:ascii="DM Sans;sans-serif" w:hAnsi="DM Sans;sans-serif"/>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922,615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354,215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1,276,830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(1,069,071)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207,759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204,736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(113,705)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298,790</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$1,189,962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$375,438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$1,565,400</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2.6</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$1,565,400</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4.5%</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$328,498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$(289,638)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1,604,260</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Unamortized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700</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Net unamortized loan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(8,684)</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Contingent loan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$1,558,779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$1,596,276</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Fixed-rate debt includes notional principal fixed through swap transactions. The interest rate includes the impact of swaps; refer to the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page.</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Company's pro-rata share of debt based on its percent ownership.</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noncontrolling interest pro-rata share of consolidated partnership debt based on its percent ownership.</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Company's pro-rata share of unconsolidated partnership debt based on its percent ownership.</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Variable-rate debt includes certain borrowings that are subject to interest rate cap agreements.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6.</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Based on debt maturity date without regard to available extension options.</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927" w:type="dxa"/>
        <w:jc w:val="left"/>
        <w:tblInd w:w="0" w:type="dxa"/>
        <w:tblLayout w:type="fixed"/>
        <w:tblCellMar>
          <w:top w:w="28" w:type="dxa"/>
          <w:left w:w="28" w:type="dxa"/>
          <w:bottom w:w="28" w:type="dxa"/>
          <w:right w:w="28" w:type="dxa"/>
        </w:tblCellMar>
      </w:tblPr>
      <w:tblGrid>
        <w:gridCol w:w="373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Portfolio Debt – Detail</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bookmarkStart w:id="29" w:name="portfolio_debt_detail"/>
      <w:bookmarkEnd w:id="29"/>
      <w:r>
        <w:rPr/>
        <w:t> </w:t>
      </w:r>
    </w:p>
    <w:tbl>
      <w:tblPr>
        <w:tblW w:w="10205" w:type="dxa"/>
        <w:jc w:val="left"/>
        <w:tblInd w:w="0" w:type="dxa"/>
        <w:tblLayout w:type="fixed"/>
        <w:tblCellMar>
          <w:top w:w="28" w:type="dxa"/>
          <w:left w:w="28" w:type="dxa"/>
          <w:bottom w:w="28" w:type="dxa"/>
          <w:right w:w="28" w:type="dxa"/>
        </w:tblCellMar>
      </w:tblPr>
      <w:tblGrid>
        <w:gridCol w:w="2403"/>
        <w:gridCol w:w="146"/>
        <w:gridCol w:w="554"/>
        <w:gridCol w:w="146"/>
        <w:gridCol w:w="1385"/>
        <w:gridCol w:w="146"/>
        <w:gridCol w:w="787"/>
        <w:gridCol w:w="150"/>
        <w:gridCol w:w="1095"/>
        <w:gridCol w:w="146"/>
        <w:gridCol w:w="931"/>
        <w:gridCol w:w="146"/>
        <w:gridCol w:w="1044"/>
        <w:gridCol w:w="146"/>
        <w:gridCol w:w="980"/>
      </w:tblGrid>
      <w:tr>
        <w:trPr/>
        <w:tc>
          <w:tcPr>
            <w:tcW w:w="24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sz w:val="4"/>
                <w:szCs w:val="4"/>
              </w:rPr>
            </w:pPr>
            <w:r>
              <w:rPr>
                <w:sz w:val="4"/>
                <w:szCs w:val="4"/>
              </w:rPr>
            </w:r>
          </w:p>
        </w:tc>
      </w:tr>
      <w:tr>
        <w:trPr/>
        <w:tc>
          <w:tcPr>
            <w:tcW w:w="240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 Balance at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032"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Extension</w:t>
            </w:r>
          </w:p>
        </w:tc>
      </w:tr>
      <w:tr>
        <w:trPr/>
        <w:tc>
          <w:tcPr>
            <w:tcW w:w="2403"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385"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March 31, 2026</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787"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50"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95"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Amount</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44"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Maturity Date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Options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840 N. Michigan Avenue</w:t>
            </w:r>
            <w:r>
              <w:rPr>
                <w:rFonts w:ascii="Times New Roman" w:hAnsi="Times New Roman"/>
                <w:color w:val="000000"/>
                <w:sz w:val="15"/>
              </w:rPr>
              <w:t> </w:t>
            </w:r>
            <w:r>
              <w:rPr>
                <w:rFonts w:ascii="DM Sans;sans-serif" w:hAnsi="DM Sans;sans-serif"/>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94.35%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239 Greenwich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07/10/27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1x60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$20M Senior Note, 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08/21/27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Georgetown Portfolio (2008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555 9th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01/01/28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1x24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State &amp; Washington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09/05/28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$80M Senior Note, 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08/21/29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North &amp; Kingsbury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151 N. State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12/01/29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Concord &amp; Milwaukee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06/01/30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Gotham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California &amp; Armitage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296,403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267,347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Variable-Rate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Georgetown Portfolio (2016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Revolving Credit Facility </w:t>
            </w:r>
            <w:r>
              <w:rPr>
                <w:rFonts w:ascii="DM Sans;sans-serif" w:hAnsi="DM Sans;sans-serif"/>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2x6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Term Loan A-1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2x6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Crossroads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Term Loan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05/29/30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$75 Million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07/25/30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Variable-Rate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993,500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922,615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Debt - 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$1,289,903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$1,189,962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Tri-City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650 Bald Hill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20.81%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Shoppes at South Hills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Broughton Street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107,933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21,223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u w:val="single"/>
              </w:rPr>
              <w:t>Variable-Rate Debt</w:t>
            </w:r>
            <w:r>
              <w:rPr>
                <w:rFonts w:ascii="Times New Roman" w:hAnsi="Times New Roman"/>
                <w:color w:val="000000"/>
                <w:sz w:val="15"/>
              </w:rPr>
              <w:t xml:space="preserve">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Towne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05/01/26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Frederick County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05/01/26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Fairlane Green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06/05/26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Trussville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Cypress Creek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09/01/26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Monroe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11/12/26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Maple Tree 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02/14/27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Wood Ridge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La Frontera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Family Center at Riverdale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17.97%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Lincoln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11/25/27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LINQ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12/12/27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1x24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Santa Fe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Mohawk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City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75.38%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103,642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08/01/28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The Walk at Highwoods Preserve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Acadia Strategic Opportunity Fund IV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12/09/28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bl>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26</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927" w:type="dxa"/>
        <w:jc w:val="left"/>
        <w:tblInd w:w="0" w:type="dxa"/>
        <w:tblLayout w:type="fixed"/>
        <w:tblCellMar>
          <w:top w:w="28" w:type="dxa"/>
          <w:left w:w="28" w:type="dxa"/>
          <w:bottom w:w="28" w:type="dxa"/>
          <w:right w:w="28" w:type="dxa"/>
        </w:tblCellMar>
      </w:tblPr>
      <w:tblGrid>
        <w:gridCol w:w="373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Portfolio Debt – Detail</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9"/>
        <w:gridCol w:w="146"/>
        <w:gridCol w:w="376"/>
        <w:gridCol w:w="146"/>
        <w:gridCol w:w="1341"/>
        <w:gridCol w:w="146"/>
        <w:gridCol w:w="784"/>
        <w:gridCol w:w="149"/>
        <w:gridCol w:w="1091"/>
        <w:gridCol w:w="146"/>
        <w:gridCol w:w="913"/>
        <w:gridCol w:w="146"/>
        <w:gridCol w:w="1016"/>
        <w:gridCol w:w="146"/>
        <w:gridCol w:w="980"/>
      </w:tblGrid>
      <w:tr>
        <w:trPr/>
        <w:tc>
          <w:tcPr>
            <w:tcW w:w="26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10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sz w:val="4"/>
                <w:szCs w:val="4"/>
              </w:rPr>
            </w:pPr>
            <w:r>
              <w:rPr>
                <w:sz w:val="4"/>
                <w:szCs w:val="4"/>
              </w:rPr>
            </w:r>
          </w:p>
        </w:tc>
      </w:tr>
      <w:tr>
        <w:trPr/>
        <w:tc>
          <w:tcPr>
            <w:tcW w:w="267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 Balance at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1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Extension</w:t>
            </w:r>
          </w:p>
        </w:tc>
      </w:tr>
      <w:tr>
        <w:trPr/>
        <w:tc>
          <w:tcPr>
            <w:tcW w:w="2679"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341"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March 31, 2026</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784"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9"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91"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Amount</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13"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Maturity Date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Options</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Shops at Skyview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276,575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01/09/29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Atlantic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02/25/29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Avenue at West Cobb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02/25/29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Pinewood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03/26/30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Variable-Rate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1,441,964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354,215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Debt -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1,549,897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375,438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Debt - REIT Portfolio and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$2,839,800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$1,565,400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The Company has hedged a portion of its variable-rate debt with multiple variable to fixed-rate swap agreements which have various maturities (see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of this Supplemental report which highlights the notional and fixed base rate). The indicated maturity for each loan reflects the contractual maturity date of the loan without regard to the expiration of the related swap agreements.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The Company makes cash payments at a stated interest rate of 6.5% on the outstanding principal balance. Following the modification of the loan in December 2023, the effective interest rate for GAAP purposes is zero.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interest rate on the unsecured revolving credit facility excludes a 20-basis point facility fee.</w:t>
      </w:r>
    </w:p>
    <w:p>
      <w:pPr>
        <w:pStyle w:val="TextBody"/>
        <w:bidi w:val="0"/>
        <w:spacing w:before="0" w:after="16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87" w:type="dxa"/>
        <w:jc w:val="left"/>
        <w:tblInd w:w="0" w:type="dxa"/>
        <w:tblLayout w:type="fixed"/>
        <w:tblCellMar>
          <w:top w:w="28" w:type="dxa"/>
          <w:left w:w="28" w:type="dxa"/>
          <w:bottom w:w="28" w:type="dxa"/>
          <w:right w:w="28" w:type="dxa"/>
        </w:tblCellMar>
      </w:tblPr>
      <w:tblGrid>
        <w:gridCol w:w="409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30" w:name="future_debt_maturities"/>
            <w:bookmarkEnd w:id="30"/>
            <w:r>
              <w:rPr>
                <w:rFonts w:ascii="PP Fragment;PP Fragment Sans;sans-serif" w:hAnsi="PP Fragment;PP Fragment Sans;sans-serif"/>
                <w:b/>
                <w:color w:val="F73929"/>
                <w:sz w:val="28"/>
              </w:rPr>
              <w:t xml:space="preserve">Future Debt Maturities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2424" w:type="dxa"/>
        <w:jc w:val="left"/>
        <w:tblInd w:w="0" w:type="dxa"/>
        <w:tblLayout w:type="fixed"/>
        <w:tblCellMar>
          <w:top w:w="28" w:type="dxa"/>
          <w:left w:w="28" w:type="dxa"/>
          <w:bottom w:w="28" w:type="dxa"/>
          <w:right w:w="28" w:type="dxa"/>
        </w:tblCellMar>
      </w:tblPr>
      <w:tblGrid>
        <w:gridCol w:w="1306"/>
        <w:gridCol w:w="146"/>
        <w:gridCol w:w="1306"/>
        <w:gridCol w:w="146"/>
        <w:gridCol w:w="1186"/>
        <w:gridCol w:w="146"/>
        <w:gridCol w:w="1186"/>
        <w:gridCol w:w="146"/>
        <w:gridCol w:w="1306"/>
        <w:gridCol w:w="146"/>
        <w:gridCol w:w="1051"/>
        <w:gridCol w:w="146"/>
        <w:gridCol w:w="1051"/>
        <w:gridCol w:w="146"/>
        <w:gridCol w:w="1186"/>
        <w:gridCol w:w="146"/>
        <w:gridCol w:w="616"/>
        <w:gridCol w:w="146"/>
        <w:gridCol w:w="91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REIT Portfolio</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Contractual Debt Maturities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$134,198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$99,584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1.55%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561,862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563,729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1.37%</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171,337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173,223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135,007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1.95%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326,597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326,850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326,850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1.20%</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$1,277,356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$1,289,903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$256,146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$922,248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$1,189,962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Investment Management</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Contractual Debt Maturities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$204,904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2.50%</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403,344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408,623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69,592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2.35%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313,977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314,220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128,672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140,386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1.85%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114,903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114,903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1.60%</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1.72%</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$1,541,739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$1,549,897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$20,968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$352,969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$375,438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Does not include any applicable extension options or subsequent refinancing.</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jc w:val="left"/>
        <w:rPr/>
      </w:pPr>
      <w:r>
        <w:rPr>
          <w:rFonts w:ascii="PP Fragment;PP Fragment Sans Light;sans-serif" w:hAnsi="PP Fragment;PP Fragment Sans Light;sans-serif"/>
          <w:b w:val="false"/>
          <w:color w:val="000000"/>
          <w:sz w:val="16"/>
        </w:rPr>
        <w:t xml:space="preserve">The amounts in the table reflect the all-in fixed rate for maturing debt with a fixed rate, and the spread above the applicable index (typically SOFR) on variable rate debt. The rate does not reflect the all-in rate for variable rate obligations. Refer to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page for interest rate protection agreements that fix our variable rate debt.</w:t>
      </w:r>
    </w:p>
    <w:p>
      <w:pPr>
        <w:pStyle w:val="TextBody"/>
        <w:bidi w:val="0"/>
        <w:jc w:val="left"/>
        <w:rPr/>
      </w:pPr>
      <w:r>
        <w:rPr/>
        <w:t>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72" w:type="dxa"/>
        <w:jc w:val="left"/>
        <w:tblInd w:w="0" w:type="dxa"/>
        <w:tblLayout w:type="fixed"/>
        <w:tblCellMar>
          <w:top w:w="28" w:type="dxa"/>
          <w:left w:w="28" w:type="dxa"/>
          <w:bottom w:w="28" w:type="dxa"/>
          <w:right w:w="28" w:type="dxa"/>
        </w:tblCellMar>
      </w:tblPr>
      <w:tblGrid>
        <w:gridCol w:w="6481"/>
        <w:gridCol w:w="191"/>
      </w:tblGrid>
      <w:tr>
        <w:trPr/>
        <w:tc>
          <w:tcPr>
            <w:tcW w:w="6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8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Future Debt Maturities – As Extended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48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t> </w:t>
      </w:r>
    </w:p>
    <w:tbl>
      <w:tblPr>
        <w:tblW w:w="12424" w:type="dxa"/>
        <w:jc w:val="left"/>
        <w:tblInd w:w="0" w:type="dxa"/>
        <w:tblLayout w:type="fixed"/>
        <w:tblCellMar>
          <w:top w:w="28" w:type="dxa"/>
          <w:left w:w="28" w:type="dxa"/>
          <w:bottom w:w="28" w:type="dxa"/>
          <w:right w:w="28" w:type="dxa"/>
        </w:tblCellMar>
      </w:tblPr>
      <w:tblGrid>
        <w:gridCol w:w="1306"/>
        <w:gridCol w:w="146"/>
        <w:gridCol w:w="1306"/>
        <w:gridCol w:w="146"/>
        <w:gridCol w:w="1186"/>
        <w:gridCol w:w="146"/>
        <w:gridCol w:w="1186"/>
        <w:gridCol w:w="146"/>
        <w:gridCol w:w="1306"/>
        <w:gridCol w:w="146"/>
        <w:gridCol w:w="1051"/>
        <w:gridCol w:w="146"/>
        <w:gridCol w:w="1051"/>
        <w:gridCol w:w="146"/>
        <w:gridCol w:w="1186"/>
        <w:gridCol w:w="146"/>
        <w:gridCol w:w="616"/>
        <w:gridCol w:w="146"/>
        <w:gridCol w:w="91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REIT Portfolio</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Extended Debt Maturities </w:t>
            </w:r>
            <w:r>
              <w:rPr>
                <w:rFonts w:ascii="DM Sans;sans-serif" w:hAnsi="DM Sans;sans-serif"/>
                <w:b/>
                <w:color w:val="FFFFFF"/>
                <w:sz w:val="11"/>
              </w:rPr>
              <w:t>1</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119,862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89,094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1.55%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588,587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590,473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1.37%</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1.20%</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A77E4A"/>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128,452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1.95%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$1,277,356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$1,289,903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$256,146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$922,248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$1,189,962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Investment Management</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Extended Debt Maturities </w:t>
            </w:r>
            <w:r>
              <w:rPr>
                <w:rFonts w:ascii="DM Sans;sans-serif" w:hAnsi="DM Sans;sans-serif"/>
                <w:b/>
                <w:color w:val="FFFFFF"/>
                <w:sz w:val="11"/>
              </w:rPr>
              <w:t>1</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$172,704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$34,120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2.42%</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189,908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195,187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2.76%</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124,618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124,861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1.47%</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148,189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1.96%</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A77E4A"/>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619,515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619,515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123,903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123,903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1.61%</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$1,541,739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$1,549,897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$20,968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$352,969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$375,438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Includes the effect of all available extension options (subject to customary conditions), excludes any subsequent refinancing.</w:t>
      </w:r>
    </w:p>
    <w:p>
      <w:pPr>
        <w:pStyle w:val="TextBody"/>
        <w:bidi w:val="0"/>
        <w:spacing w:before="0" w:after="0"/>
        <w:jc w:val="left"/>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jc w:val="left"/>
        <w:rPr/>
      </w:pPr>
      <w:r>
        <w:rPr>
          <w:rFonts w:ascii="PP Fragment;PP Fragment Sans Light;sans-serif" w:hAnsi="PP Fragment;PP Fragment Sans Light;sans-serif"/>
          <w:b w:val="false"/>
          <w:color w:val="000000"/>
          <w:sz w:val="16"/>
        </w:rPr>
        <w:t xml:space="preserve">The amounts in the table reflect the all-in fixed rate for maturing debt with a fixed rate, and the spread above the applicable index (typically SOFR) on variable rate debt. The rate does not reflect the all-in rate for variable rate obligations. Refer to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page for interest rate protection agreements that fix our variable rate debt.</w:t>
      </w:r>
    </w:p>
    <w:p>
      <w:pPr>
        <w:pStyle w:val="TextBody"/>
        <w:bidi w:val="0"/>
        <w:spacing w:before="120" w:after="283"/>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07" w:type="dxa"/>
        <w:jc w:val="left"/>
        <w:tblInd w:w="0" w:type="dxa"/>
        <w:tblLayout w:type="fixed"/>
        <w:tblCellMar>
          <w:top w:w="28" w:type="dxa"/>
          <w:left w:w="28" w:type="dxa"/>
          <w:bottom w:w="28" w:type="dxa"/>
          <w:right w:w="28" w:type="dxa"/>
        </w:tblCellMar>
      </w:tblPr>
      <w:tblGrid>
        <w:gridCol w:w="5116"/>
        <w:gridCol w:w="191"/>
      </w:tblGrid>
      <w:tr>
        <w:trPr/>
        <w:tc>
          <w:tcPr>
            <w:tcW w:w="5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1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Swap Interest Rate Summary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5305" w:type="dxa"/>
        <w:jc w:val="left"/>
        <w:tblInd w:w="0" w:type="dxa"/>
        <w:tblLayout w:type="fixed"/>
        <w:tblCellMar>
          <w:top w:w="28" w:type="dxa"/>
          <w:left w:w="28" w:type="dxa"/>
          <w:bottom w:w="28" w:type="dxa"/>
          <w:right w:w="28" w:type="dxa"/>
        </w:tblCellMar>
      </w:tblPr>
      <w:tblGrid>
        <w:gridCol w:w="1471"/>
        <w:gridCol w:w="146"/>
        <w:gridCol w:w="1696"/>
        <w:gridCol w:w="146"/>
        <w:gridCol w:w="1846"/>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Maturity</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w:t>
              <w:br/>
              <w:t>Notional Amount</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8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br/>
              <w:t xml:space="preserve">Fixed SOFR </w:t>
            </w:r>
            <w:r>
              <w:rPr>
                <w:rFonts w:ascii="DM Sans;sans-serif" w:hAnsi="DM Sans;sans-serif"/>
                <w:b/>
                <w:color w:val="FFFFFF"/>
                <w:sz w:val="11"/>
              </w:rPr>
              <w:t>2</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April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2.9%</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3.5%</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November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73,517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3.9%</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December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4.3%</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June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December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110,050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2.6%</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March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3.2%</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April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3.3%</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June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2.9%</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August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February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March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3.3%</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June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0.5%</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0.1%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October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4.6%</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November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3.8%</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December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87,688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March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3.8%</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April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2.7%</w:t>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$1,069,071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6"/>
              </w:rPr>
            </w:pPr>
            <w:r>
              <w:rPr>
                <w:rFonts w:ascii="DM Sans;sans-serif" w:hAnsi="DM Sans;sans-serif"/>
                <w:b/>
                <w:color w:val="000000"/>
                <w:sz w:val="16"/>
              </w:rPr>
              <w:t>2.8%</w:t>
            </w:r>
          </w:p>
        </w:tc>
      </w:tr>
    </w:tbl>
    <w:p>
      <w:pPr>
        <w:pStyle w:val="TextBody"/>
        <w:bidi w:val="0"/>
        <w:jc w:val="left"/>
        <w:rPr/>
      </w:pPr>
      <w:bookmarkStart w:id="31" w:name="interest_rate_summary"/>
      <w:bookmarkEnd w:id="31"/>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Includes the Company's pro-rata share of consolidated and unconsolidated interest rate swaps to hedge against interest variability on REIT and Investment Management debt.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effective strike (fixed) rate on the swap, inclusive of the amortization of deferred gains/losses on terminated swaps, that the Company pays in exchange for receiving SOFR.</w:t>
      </w:r>
    </w:p>
    <w:p>
      <w:pPr>
        <w:pStyle w:val="TextBody"/>
        <w:bidi w:val="0"/>
        <w:jc w:val="both"/>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30</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72" w:type="dxa"/>
        <w:jc w:val="left"/>
        <w:tblInd w:w="0" w:type="dxa"/>
        <w:tblLayout w:type="fixed"/>
        <w:tblCellMar>
          <w:top w:w="28" w:type="dxa"/>
          <w:left w:w="28" w:type="dxa"/>
          <w:bottom w:w="28" w:type="dxa"/>
          <w:right w:w="28" w:type="dxa"/>
        </w:tblCellMar>
      </w:tblPr>
      <w:tblGrid>
        <w:gridCol w:w="6781"/>
        <w:gridCol w:w="191"/>
      </w:tblGrid>
      <w:tr>
        <w:trPr/>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8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Core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32" w:name="core_properties"/>
      <w:bookmarkEnd w:id="32"/>
      <w:r>
        <w:rPr/>
        <w:t> </w:t>
      </w:r>
    </w:p>
    <w:tbl>
      <w:tblPr>
        <w:tblW w:w="13099" w:type="dxa"/>
        <w:jc w:val="left"/>
        <w:tblInd w:w="0" w:type="dxa"/>
        <w:tblLayout w:type="fixed"/>
        <w:tblCellMar>
          <w:top w:w="28" w:type="dxa"/>
          <w:left w:w="28" w:type="dxa"/>
          <w:bottom w:w="28" w:type="dxa"/>
          <w:right w:w="28" w:type="dxa"/>
        </w:tblCellMar>
      </w:tblPr>
      <w:tblGrid>
        <w:gridCol w:w="976"/>
        <w:gridCol w:w="146"/>
        <w:gridCol w:w="751"/>
        <w:gridCol w:w="146"/>
        <w:gridCol w:w="721"/>
        <w:gridCol w:w="146"/>
        <w:gridCol w:w="691"/>
        <w:gridCol w:w="146"/>
        <w:gridCol w:w="691"/>
        <w:gridCol w:w="146"/>
        <w:gridCol w:w="601"/>
        <w:gridCol w:w="146"/>
        <w:gridCol w:w="691"/>
        <w:gridCol w:w="146"/>
        <w:gridCol w:w="556"/>
        <w:gridCol w:w="146"/>
        <w:gridCol w:w="691"/>
        <w:gridCol w:w="146"/>
        <w:gridCol w:w="541"/>
        <w:gridCol w:w="146"/>
        <w:gridCol w:w="511"/>
        <w:gridCol w:w="146"/>
        <w:gridCol w:w="901"/>
        <w:gridCol w:w="146"/>
        <w:gridCol w:w="1006"/>
        <w:gridCol w:w="146"/>
        <w:gridCol w:w="691"/>
        <w:gridCol w:w="146"/>
        <w:gridCol w:w="1036"/>
      </w:tblGrid>
      <w:tr>
        <w:trPr/>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97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11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 (GLA)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273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b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Key Tenants</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STREET AND URBAN RETAIL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Chicago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Gold Coast and North Michigan Ave Collection (7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2011</w:t>
              <w:br/>
              <w:t>2012</w:t>
              <w:b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$11,234,469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Kith, Lululemon, Reformation, </w:t>
              <w:br/>
              <w:t>Veronica Beard, St. Laurent, Brandy Melville, Mango</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Clark Street and W. Diversey </w:t>
              <w:br/>
              <w:t>   Collection (4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2011</w:t>
              <w:b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53,099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53,099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2,268,513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Starbucks, TJ Maxx,</w:t>
              <w:br/>
              <w:t>J Crew Factory, Trader Joe's, Sephora</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Halsted and Armitage </w:t>
              <w:br/>
              <w:t>   Collection (14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 xml:space="preserve">2011 </w:t>
              <w:br/>
              <w:t xml:space="preserve">2012 </w:t>
              <w:br/>
              <w:t xml:space="preserve">2019 </w:t>
              <w:br/>
              <w:t>2020</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54,965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54,965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3,428,491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Serena and Lily, Faherty, </w:t>
              <w:br/>
              <w:t xml:space="preserve">Jenny Kayne, Warby Parker, Kiehl's, Solidcore, </w:t>
              <w:br/>
              <w:t>Rails, Levain Bakery, Huckberry, Rothy's</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North Lincoln Park Chicago </w:t>
              <w:br/>
              <w:t>   Collection (6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2011</w:t>
              <w:b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1,070,710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Guitar Center, Carhartt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State and Washington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2,788,546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Nordstrom Rack, Uniqlo</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151 N. State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Walgreens</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North and Kingsbury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41,791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41,791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2,023,537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Old Navy, Backcountry</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Concord and Milwaukee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496,419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California and Armitage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768,999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Roosevelt Galleria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Petco, Vitamin Shoppe, </w:t>
              <w:br/>
              <w:t>Dollar Tree</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Sullivan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176,104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176,104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5,542,997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Target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511,594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595,660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$32,021,659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New York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Soho and West Village Collection</w:t>
              <w:br/>
              <w:t>   (19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 xml:space="preserve">2011 </w:t>
              <w:br/>
              <w:t xml:space="preserve">2014 </w:t>
              <w:br/>
              <w:t xml:space="preserve">2019 </w:t>
              <w:br/>
              <w:t xml:space="preserve">2020 </w:t>
              <w:br/>
              <w:t>2022</w:t>
              <w:br/>
              <w:t>2024</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69,643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69,643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$20,979,385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Reiss, Vuori, Zimmermann,</w:t>
              <w:br/>
              <w:t>Madewell, John Varvatos</w:t>
              <w:br/>
              <w:t xml:space="preserve">Watches of Switzerland, Frame, Theory, </w:t>
              <w:br/>
              <w:t>Bang &amp; Olufsen, Marine Layer, Faherty, Givenchy</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Flatiron and Union Square Collection</w:t>
              <w:br/>
              <w:t>   (3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2008</w:t>
              <w:br/>
              <w:t>2013</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4,858,992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Nespresso, Dr. Martens</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200 West 54th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1,643,764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280.41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4401 White Plains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Walgreens</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Bartow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510,880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Wingstop</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Greenwich and Westport Collection (4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br/>
              <w:t>2012</w:t>
              <w:b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39,593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39,593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4,269,869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Veronica Beard, The RealReal, </w:t>
              <w:br/>
              <w:t>Blue Mercury, Splendid, Swarovski, Watches of Switzerland</w:t>
            </w:r>
          </w:p>
        </w:tc>
      </w:tr>
    </w:tbl>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72" w:type="dxa"/>
        <w:jc w:val="left"/>
        <w:tblInd w:w="0" w:type="dxa"/>
        <w:tblLayout w:type="fixed"/>
        <w:tblCellMar>
          <w:top w:w="28" w:type="dxa"/>
          <w:left w:w="28" w:type="dxa"/>
          <w:bottom w:w="28" w:type="dxa"/>
          <w:right w:w="28" w:type="dxa"/>
        </w:tblCellMar>
      </w:tblPr>
      <w:tblGrid>
        <w:gridCol w:w="6781"/>
        <w:gridCol w:w="191"/>
      </w:tblGrid>
      <w:tr>
        <w:trPr/>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8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Core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3099" w:type="dxa"/>
        <w:jc w:val="left"/>
        <w:tblInd w:w="0" w:type="dxa"/>
        <w:tblLayout w:type="fixed"/>
        <w:tblCellMar>
          <w:top w:w="28" w:type="dxa"/>
          <w:left w:w="28" w:type="dxa"/>
          <w:bottom w:w="28" w:type="dxa"/>
          <w:right w:w="28" w:type="dxa"/>
        </w:tblCellMar>
      </w:tblPr>
      <w:tblGrid>
        <w:gridCol w:w="1066"/>
        <w:gridCol w:w="146"/>
        <w:gridCol w:w="751"/>
        <w:gridCol w:w="146"/>
        <w:gridCol w:w="721"/>
        <w:gridCol w:w="146"/>
        <w:gridCol w:w="691"/>
        <w:gridCol w:w="146"/>
        <w:gridCol w:w="691"/>
        <w:gridCol w:w="146"/>
        <w:gridCol w:w="601"/>
        <w:gridCol w:w="146"/>
        <w:gridCol w:w="691"/>
        <w:gridCol w:w="146"/>
        <w:gridCol w:w="556"/>
        <w:gridCol w:w="146"/>
        <w:gridCol w:w="691"/>
        <w:gridCol w:w="146"/>
        <w:gridCol w:w="541"/>
        <w:gridCol w:w="146"/>
        <w:gridCol w:w="511"/>
        <w:gridCol w:w="146"/>
        <w:gridCol w:w="901"/>
        <w:gridCol w:w="146"/>
        <w:gridCol w:w="1006"/>
        <w:gridCol w:w="146"/>
        <w:gridCol w:w="691"/>
        <w:gridCol w:w="146"/>
        <w:gridCol w:w="946"/>
      </w:tblGrid>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11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 (GLA)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273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b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Key Tenants</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2914 Third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40,603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1,148,294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Planet Fitness</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313-315 Bowery</w:t>
            </w:r>
            <w:r>
              <w:rPr>
                <w:rFonts w:ascii="Times New Roman" w:hAnsi="Times New Roman"/>
                <w:color w:val="000000"/>
                <w:sz w:val="13"/>
              </w:rPr>
              <w:t> </w:t>
            </w:r>
            <w:r>
              <w:rPr>
                <w:rFonts w:ascii="DM Sans;sans-serif" w:hAnsi="DM Sans;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527,076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John Varvatos</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120 West Broadway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2,544,217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Citizens Bank, Citi Bank</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2520 Flatbush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29,114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29,114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1,297,818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Bob's Discount Furniture, Capital One</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 xml:space="preserve">Williamsburg Bedford Avenue Collection </w:t>
            </w:r>
            <w:r>
              <w:rPr>
                <w:rFonts w:ascii="DM Sans;sans-serif" w:hAnsi="DM Sans;sans-serif"/>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50,842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50,842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5,860,061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Sephora, SweetGreen, Levain Bakery, Alo Yoga</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 xml:space="preserve">Williamsburg North 6th Collection </w:t>
            </w:r>
            <w:r>
              <w:rPr>
                <w:rFonts w:ascii="DM Sans;sans-serif" w:hAnsi="DM Sans;sans-serif"/>
                <w:color w:val="000000"/>
                <w:sz w:val="9"/>
              </w:rPr>
              <w:t>3</w:t>
            </w:r>
            <w:r>
              <w:rPr>
                <w:rFonts w:ascii="DM Sans;sans-serif" w:hAnsi="DM Sans;sans-serif"/>
                <w:color w:val="000000"/>
                <w:sz w:val="13"/>
              </w:rPr>
              <w:br/>
              <w:t>(7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 xml:space="preserve">2024 </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7,764,266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Lululemon, Madewell, On Running, Abercrombie and Fitch, Birkenstock, Patagonia</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991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3,790,095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547.78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Vera Wang, Gabriela Hearst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1045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648,000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Le Labo (Estee Lauder)</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1165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1,364,025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Todd Snyder, Swarovski</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Gotham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1,672,236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Bank of America, </w:t>
              <w:br/>
              <w:t>Footlocker, Apple Bank</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281,037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404,473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$59,503,979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Los Angeles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8833 Beverly Blvd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$1,390,888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Luxury Living</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Melrose Place Collection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3,241,818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The Row, Chloe, </w:t>
              <w:br/>
              <w:t>Oscar de la Renta</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$4,632,706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District of Columbia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1739-53 Connecticut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$318,967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TD Bank</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14th Street Collection (3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1,401,047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Verizon, Long and Foster, VSV Wine Bar, Tile Bar</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Rhode Island Place </w:t>
              <w:br/>
              <w:t>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113,838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2,625,967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Ross Dress for Less, Giant (Ahold), TD Bank</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 xml:space="preserve">M Street and Wisconsin Corridor </w:t>
              <w:br/>
              <w:t xml:space="preserve">   (28 Properties) </w:t>
            </w:r>
            <w:r>
              <w:rPr>
                <w:rFonts w:ascii="DM Sans;sans-serif" w:hAnsi="DM Sans;sans-serif"/>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 xml:space="preserve">2011 </w:t>
              <w:br/>
              <w:t xml:space="preserve">2016 </w:t>
              <w:b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263,112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263,112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19,284,612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Lululemon, Duxiana, Reformation, Swarovski, </w:t>
              <w:br/>
              <w:t>Alo Yoga, Aritzia, Skims, J Crew, Google, Tesla</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293,806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407,644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$23,630,593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Boston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165 Newbury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Dallas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Henderson Avenue Portfolio </w:t>
              <w:br/>
              <w:t>(7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2022</w:t>
              <w:br/>
              <w:t>2024</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31,635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59,522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$1,630,734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Sprouts Farmers Market, </w:t>
              <w:br/>
              <w:t>Warby Parker, Tecovas</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72" w:type="dxa"/>
        <w:jc w:val="left"/>
        <w:tblInd w:w="0" w:type="dxa"/>
        <w:tblLayout w:type="fixed"/>
        <w:tblCellMar>
          <w:top w:w="28" w:type="dxa"/>
          <w:left w:w="28" w:type="dxa"/>
          <w:bottom w:w="28" w:type="dxa"/>
          <w:right w:w="28" w:type="dxa"/>
        </w:tblCellMar>
      </w:tblPr>
      <w:tblGrid>
        <w:gridCol w:w="6781"/>
        <w:gridCol w:w="191"/>
      </w:tblGrid>
      <w:tr>
        <w:trPr/>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8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Core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3804" w:type="dxa"/>
        <w:jc w:val="left"/>
        <w:tblInd w:w="0" w:type="dxa"/>
        <w:tblLayout w:type="fixed"/>
        <w:tblCellMar>
          <w:top w:w="28" w:type="dxa"/>
          <w:left w:w="28" w:type="dxa"/>
          <w:bottom w:w="28" w:type="dxa"/>
          <w:right w:w="28" w:type="dxa"/>
        </w:tblCellMar>
      </w:tblPr>
      <w:tblGrid>
        <w:gridCol w:w="1201"/>
        <w:gridCol w:w="146"/>
        <w:gridCol w:w="751"/>
        <w:gridCol w:w="146"/>
        <w:gridCol w:w="721"/>
        <w:gridCol w:w="146"/>
        <w:gridCol w:w="826"/>
        <w:gridCol w:w="146"/>
        <w:gridCol w:w="691"/>
        <w:gridCol w:w="146"/>
        <w:gridCol w:w="691"/>
        <w:gridCol w:w="146"/>
        <w:gridCol w:w="826"/>
        <w:gridCol w:w="146"/>
        <w:gridCol w:w="556"/>
        <w:gridCol w:w="146"/>
        <w:gridCol w:w="691"/>
        <w:gridCol w:w="146"/>
        <w:gridCol w:w="541"/>
        <w:gridCol w:w="146"/>
        <w:gridCol w:w="511"/>
        <w:gridCol w:w="146"/>
        <w:gridCol w:w="901"/>
        <w:gridCol w:w="146"/>
        <w:gridCol w:w="1096"/>
        <w:gridCol w:w="146"/>
        <w:gridCol w:w="691"/>
        <w:gridCol w:w="146"/>
        <w:gridCol w:w="1066"/>
      </w:tblGrid>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47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 (GLA)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273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b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Key Tenants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South Florida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225 Worth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$1,920,627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Gucci, J McLaughlin, G/FORE</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Street and Urban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1,149,250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261,592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1,502,225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$123,340,298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$89.63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Acadia Share Total Street and Urban Retail</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1,060,641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91,383</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248,367</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1,400,392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90.9%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100.0%</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93.1%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$115,935,874</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$90.31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SUBURBAN PROPERTIES</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Elmwood Park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$3,489,390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Walgreens, Lidl, </w:t>
              <w:br/>
              <w:t>Chase Bank, City MD, Five Below</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Marketplace of Absecon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1,610,074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Walgreens, Dollar Tree, Aldi</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Village Commons </w:t>
              <w:br/>
              <w:t>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2,782,704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Citibank, Ace Hardware</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Branch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47,081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123,345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2,824,731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LA Fitness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Amboy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63,372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2,132,557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Stop &amp; Shop (Ahold)</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Crossroads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311,528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10,207,458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HomeGoods, PetSmart, </w:t>
              <w:br/>
              <w:t>BJ's Wholesale Club, O'Reilly Auto Parts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New Loudon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258,389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2,378,407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Price Chopper, Marshalls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28 Jericho Turnpike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1,996,500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Kohl's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Connecticut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 xml:space="preserve">Town Line Plaza </w:t>
            </w:r>
            <w:r>
              <w:rPr>
                <w:rFonts w:ascii="DM Sans;sans-serif" w:hAnsi="DM Sans;sans-serif"/>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163,159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43,187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206,346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1,676,450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Wal-Mart, </w:t>
              <w:br/>
              <w:t>Stop &amp; Shop (Ahold)</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Methuen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120,004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130,021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1,390,578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Wal-Mart, Market Basket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Crescent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156,985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218,002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2,289,321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Home Depot, Shaw's (Albertsons)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201 Needham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711,662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Michael's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163 Highland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40,505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40,505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1,675,657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Staples, Petco</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Vermont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The Gateway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73,184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102,854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2,309,789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Shaw's (Albertsons), </w:t>
              <w:br/>
              <w:t>Starbucks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Hobson West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47,281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1,084,043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Garden Fresh Markets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72" w:type="dxa"/>
        <w:jc w:val="left"/>
        <w:tblInd w:w="0" w:type="dxa"/>
        <w:tblLayout w:type="fixed"/>
        <w:tblCellMar>
          <w:top w:w="28" w:type="dxa"/>
          <w:left w:w="28" w:type="dxa"/>
          <w:bottom w:w="28" w:type="dxa"/>
          <w:right w:w="28" w:type="dxa"/>
        </w:tblCellMar>
      </w:tblPr>
      <w:tblGrid>
        <w:gridCol w:w="6781"/>
        <w:gridCol w:w="191"/>
      </w:tblGrid>
      <w:tr>
        <w:trPr/>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8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Core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3894" w:type="dxa"/>
        <w:jc w:val="left"/>
        <w:tblInd w:w="0" w:type="dxa"/>
        <w:tblLayout w:type="fixed"/>
        <w:tblCellMar>
          <w:top w:w="28" w:type="dxa"/>
          <w:left w:w="28" w:type="dxa"/>
          <w:bottom w:w="28" w:type="dxa"/>
          <w:right w:w="28" w:type="dxa"/>
        </w:tblCellMar>
      </w:tblPr>
      <w:tblGrid>
        <w:gridCol w:w="1111"/>
        <w:gridCol w:w="146"/>
        <w:gridCol w:w="751"/>
        <w:gridCol w:w="146"/>
        <w:gridCol w:w="721"/>
        <w:gridCol w:w="146"/>
        <w:gridCol w:w="826"/>
        <w:gridCol w:w="146"/>
        <w:gridCol w:w="826"/>
        <w:gridCol w:w="146"/>
        <w:gridCol w:w="826"/>
        <w:gridCol w:w="146"/>
        <w:gridCol w:w="826"/>
        <w:gridCol w:w="146"/>
        <w:gridCol w:w="556"/>
        <w:gridCol w:w="146"/>
        <w:gridCol w:w="691"/>
        <w:gridCol w:w="146"/>
        <w:gridCol w:w="541"/>
        <w:gridCol w:w="146"/>
        <w:gridCol w:w="511"/>
        <w:gridCol w:w="146"/>
        <w:gridCol w:w="901"/>
        <w:gridCol w:w="146"/>
        <w:gridCol w:w="1096"/>
        <w:gridCol w:w="146"/>
        <w:gridCol w:w="601"/>
        <w:gridCol w:w="146"/>
        <w:gridCol w:w="1066"/>
      </w:tblGrid>
      <w:tr>
        <w:trPr/>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r>
      <w:tr>
        <w:trPr/>
        <w:tc>
          <w:tcPr>
            <w:tcW w:w="11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74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 (GLA)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273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b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Key Tenants</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Indiana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Merrillville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123,144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112,782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235,926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2,966,193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Dollar Tree, TJ Maxx, </w:t>
              <w:br/>
              <w:t>DD's Discount (Ross)</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Bloomfield Town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153,332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234,951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4,527,873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HomeGoods, TJ Maxx, </w:t>
              <w:br/>
              <w:t>Dick's Sporting Goods, Burlington</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Town Center and Other </w:t>
              <w:br/>
              <w:t>(1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707,988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729,879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12,873,687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Lowes, Dick's </w:t>
              <w:br/>
              <w:t>Sporting Goods, Target, Crunch Fitness</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Market Square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59,197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3,533,495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Trader Joe's, TJ Maxx</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Naamans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920,134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Jared Jewelers, American Red Cross</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Plaza 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139,968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Home Depot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Chestnut 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36,492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36,492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770,672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 xml:space="preserve">Abington Towne Center </w:t>
            </w:r>
            <w:r>
              <w:rPr>
                <w:rFonts w:ascii="DM Sans;sans-serif" w:hAnsi="DM Sans;sans-serif"/>
                <w:color w:val="000000"/>
                <w:sz w:val="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184,616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32,255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216,871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1,422,163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Target, TJ Maxx</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Suburban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2,700,237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1,037,044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3,737,281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97.4 %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89.3 %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95.2 %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96.2 %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$66,545,513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Acadia Share Total Suburban Properties</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2,596,846</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981,555</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3,578,402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BC8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97.3%</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89.1%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96.1%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$61,339,710</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$19.49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REIT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1,149,250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2,791,620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1,298,636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5,239,506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$189,885,811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$40.59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Acadia Share Total REIT Properties</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1,060,641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2,688,229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1,229,923</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4,978,793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90.9%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97.4%</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89.7%</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95.3%</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$177,275,583</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$40.01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Excludes properties that are under development, redevelopment or pre-stabilized. For further detail, refer to the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000000"/>
        </w:rPr>
        <w:t xml:space="preserve"> </w:t>
      </w:r>
      <w:r>
        <w:rPr>
          <w:rFonts w:ascii="PP Fragment;PP Fragment Sans Light;sans-serif" w:hAnsi="PP Fragment;PP Fragment Sans Light;sans-serif"/>
          <w:b w:val="false"/>
          <w:color w:val="000000"/>
          <w:sz w:val="16"/>
        </w:rPr>
        <w:t>section of this Supplemental Report. The above economic occupancy and rent figures reflects only retail spaces where leases have commenced. Leased occupancy includes both economic leases and signed leases that have not yet commenced. ABR and ABR per square foot are based solely on economic occupancy.</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annual base rent paid to Acadia pursuant to a master lease and does not reflect the rent paid by the retail tenants at the property.</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Company’s stated legal ownership is 49.99%. However, given the preferences embedded in its interests, the Company did not attribute any value to the 50.01% noncontrolling interest holders.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Excludes 94,000 square feet of office GLA.</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Anchor GLA includes a 97,300 square foot Wal-Mart store which is not owned by the Company. This square footage has been excluded from ABR per square footage calculations.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6.</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Anchor GLA includes a 157,616 square foot Target store which is not owned by the Company. This square footage has been excluded from ABR per square footage calculations.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3" w:name="core_portfolio_top_tenants"/>
      <w:bookmarkEnd w:id="33"/>
      <w:r>
        <w:rPr/>
        <w:t> </w:t>
      </w:r>
    </w:p>
    <w:tbl>
      <w:tblPr>
        <w:tblW w:w="5142" w:type="dxa"/>
        <w:jc w:val="left"/>
        <w:tblInd w:w="0" w:type="dxa"/>
        <w:tblLayout w:type="fixed"/>
        <w:tblCellMar>
          <w:top w:w="28" w:type="dxa"/>
          <w:left w:w="28" w:type="dxa"/>
          <w:bottom w:w="28" w:type="dxa"/>
          <w:right w:w="28" w:type="dxa"/>
        </w:tblCellMar>
      </w:tblPr>
      <w:tblGrid>
        <w:gridCol w:w="4951"/>
        <w:gridCol w:w="191"/>
      </w:tblGrid>
      <w:tr>
        <w:trPr/>
        <w:tc>
          <w:tcPr>
            <w:tcW w:w="4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51"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r>
              <w:rPr>
                <w:rFonts w:ascii="PP Fragment;PP Fragment Sans;sans-serif" w:hAnsi="PP Fragment;PP Fragment Sans;sans-serif"/>
                <w:b/>
                <w:color w:val="F73929"/>
                <w:sz w:val="28"/>
              </w:rPr>
              <w:t xml:space="preserve">REIT Portfolio – Top Tenants </w:t>
            </w:r>
            <w:r>
              <w:rPr>
                <w:rFonts w:ascii="PP Fragment;PP Fragment Sans;sans-serif" w:hAnsi="PP Fragment;PP Fragment Sans;sans-serif"/>
                <w:b/>
                <w:color w:val="F73929"/>
                <w:sz w:val="19"/>
              </w:rPr>
              <w:t>1</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2956"/>
        <w:gridCol w:w="146"/>
        <w:gridCol w:w="1186"/>
        <w:gridCol w:w="146"/>
        <w:gridCol w:w="1096"/>
        <w:gridCol w:w="146"/>
        <w:gridCol w:w="1336"/>
        <w:gridCol w:w="146"/>
        <w:gridCol w:w="1013"/>
        <w:gridCol w:w="205"/>
        <w:gridCol w:w="10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Number of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Combined</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2294"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DM Sans;sans-serif" w:hAnsi="DM Sans;sans-serif"/>
                <w:b/>
                <w:color w:val="FFFFFF"/>
                <w:sz w:val="18"/>
              </w:rPr>
              <w:t xml:space="preserve">Percentage of Total </w:t>
            </w:r>
            <w:r>
              <w:rPr>
                <w:rFonts w:ascii="DM Sans;sans-serif" w:hAnsi="DM Sans;sans-serif"/>
                <w:b/>
                <w:color w:val="FFFFFF"/>
                <w:sz w:val="12"/>
              </w:rPr>
              <w:t>2</w:t>
            </w:r>
          </w:p>
        </w:tc>
      </w:tr>
      <w:tr>
        <w:trPr/>
        <w:tc>
          <w:tcPr>
            <w:tcW w:w="295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8"/>
              </w:rPr>
            </w:pPr>
            <w:r>
              <w:rPr>
                <w:rFonts w:ascii="DM Sans;sans-serif" w:hAnsi="DM Sans;sans-serif"/>
                <w:b/>
                <w:color w:val="FFFFFF"/>
                <w:sz w:val="18"/>
              </w:rPr>
              <w:t>Tenant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Stores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GLA</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GLA</w:t>
            </w:r>
          </w:p>
        </w:tc>
        <w:tc>
          <w:tcPr>
            <w:tcW w:w="20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ABR</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408,895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$8,344,905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4.5%</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J. Crew Group </w:t>
            </w:r>
            <w:r>
              <w:rPr>
                <w:rFonts w:ascii="DM Sans;sans-serif" w:hAnsi="DM Sans;sans-serif"/>
                <w:b/>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34,902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5,825,185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Lululemon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22,589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4,631,384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Dick's Sporting Goods, Inc </w:t>
            </w:r>
            <w:r>
              <w:rPr>
                <w:rFonts w:ascii="DM Sans;sans-serif" w:hAnsi="DM Sans;sans-serif"/>
                <w:b/>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152,404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3,187,051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1.7%</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TJX Companies </w:t>
            </w:r>
            <w:r>
              <w:rPr>
                <w:rFonts w:ascii="DM Sans;sans-serif" w:hAnsi="DM Sans;sans-serif"/>
                <w:b/>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3,175,304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1.7%</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PetSmart,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76,257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2,934,201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Walgreens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68,393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2,887,312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1.5%</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Trader Joe's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42,257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2,628,360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Fast Retailing </w:t>
            </w:r>
            <w:r>
              <w:rPr>
                <w:rFonts w:ascii="DM Sans;sans-serif" w:hAnsi="DM Sans;sans-serif"/>
                <w:b/>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2,579,274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ALO Yoga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2,537,129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Kering </w:t>
            </w:r>
            <w:r>
              <w:rPr>
                <w:rFonts w:ascii="DM Sans;sans-serif" w:hAnsi="DM Sans;sans-serif"/>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LVMH </w:t>
            </w:r>
            <w:r>
              <w:rPr>
                <w:rFonts w:ascii="DM Sans;sans-serif" w:hAnsi="DM Sans;sans-serif"/>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2,167,152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Royal Ahold </w:t>
            </w:r>
            <w:r>
              <w:rPr>
                <w:rFonts w:ascii="DM Sans;sans-serif" w:hAnsi="DM Sans;sans-serif"/>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156,361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2,085,488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Albertsons Companies, Inc. </w:t>
            </w:r>
            <w:r>
              <w:rPr>
                <w:rFonts w:ascii="DM Sans;sans-serif" w:hAnsi="DM Sans;sans-serif"/>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2,061,142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Bob's Discount 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2,027,670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Richemont </w:t>
            </w:r>
            <w:r>
              <w:rPr>
                <w:rFonts w:ascii="DM Sans;sans-serif" w:hAnsi="DM Sans;sans-serif"/>
                <w:color w:val="000000"/>
                <w:sz w:val="1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1,830,120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Watches of Switzerland </w:t>
            </w:r>
            <w:r>
              <w:rPr>
                <w:rFonts w:ascii="DM Sans;sans-serif" w:hAnsi="DM Sans;sans-serif"/>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1,809,177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Patagonia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1,690,062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0.9%</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Faherty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1,625,065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0.9%</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Gap, Inc. </w:t>
            </w:r>
            <w:r>
              <w:rPr>
                <w:rFonts w:ascii="DM Sans;sans-serif" w:hAnsi="DM Sans;sans-serif"/>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43,986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1,576,339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0.7 %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0.8%</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1,573,664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$57,963,332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25.9%</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31.2%</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 accordance with the Company's policy of not disclosing the terms of individual leases, this list does not include tenants that operate at only one location. The following tenants with single locations that would otherwise be included in our top 20 tenants are: Vuori (106 Spring Street), Nespresso (85 5th Avenue), Mango (664 N. Michigan Avenue), Lowe's (Town Center), Kohl's (28 Jericho Turnpike), Bang &amp; Olufsen (121 Spring Street), and Vera Wang (991 Madison Avenue).</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Totals may not foot due to rounding.</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Madewell (4 locations), J.Crew Factory (1 location), J. Crew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Dick’s Sporting Goods (2 locations), Foot Locker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TJ Maxx (6 locations), HomeGoods (2 locations), Marshalls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6.</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Uniqlo (1 location), Theory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7.</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Yves Saint Laurent (1 location), Gucci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8.</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Sephora (2 locations), Lip Lab (2 locations), Givenchy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9.</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Stop and Shop (2 locations), Giant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10.</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Shaw’s (2 locations)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Watchfinder (1 location), Chloe (1 location), G/FORE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Grand Seiko (1 location), Betteridge Jewelers (1 location)</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13.</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Old Navy (3 locations)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4" w:name="core_portfolio_lease_expirations"/>
      <w:bookmarkEnd w:id="34"/>
      <w:r>
        <w:rPr/>
        <w:t> </w:t>
      </w:r>
    </w:p>
    <w:tbl>
      <w:tblPr>
        <w:tblW w:w="5757" w:type="dxa"/>
        <w:jc w:val="left"/>
        <w:tblInd w:w="0" w:type="dxa"/>
        <w:tblLayout w:type="fixed"/>
        <w:tblCellMar>
          <w:top w:w="28" w:type="dxa"/>
          <w:left w:w="28" w:type="dxa"/>
          <w:bottom w:w="28" w:type="dxa"/>
          <w:right w:w="28" w:type="dxa"/>
        </w:tblCellMar>
      </w:tblPr>
      <w:tblGrid>
        <w:gridCol w:w="5566"/>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REIT Portfolio – Lease Expirations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9993" w:type="dxa"/>
        <w:jc w:val="left"/>
        <w:tblInd w:w="0" w:type="dxa"/>
        <w:tblLayout w:type="fixed"/>
        <w:tblCellMar>
          <w:top w:w="28" w:type="dxa"/>
          <w:left w:w="28" w:type="dxa"/>
          <w:bottom w:w="28" w:type="dxa"/>
          <w:right w:w="28" w:type="dxa"/>
        </w:tblCellMar>
      </w:tblPr>
      <w:tblGrid>
        <w:gridCol w:w="1173"/>
        <w:gridCol w:w="189"/>
        <w:gridCol w:w="918"/>
        <w:gridCol w:w="146"/>
        <w:gridCol w:w="826"/>
        <w:gridCol w:w="146"/>
        <w:gridCol w:w="676"/>
        <w:gridCol w:w="146"/>
        <w:gridCol w:w="691"/>
        <w:gridCol w:w="146"/>
        <w:gridCol w:w="676"/>
        <w:gridCol w:w="146"/>
        <w:gridCol w:w="706"/>
        <w:gridCol w:w="146"/>
        <w:gridCol w:w="826"/>
        <w:gridCol w:w="146"/>
        <w:gridCol w:w="676"/>
        <w:gridCol w:w="146"/>
        <w:gridCol w:w="601"/>
        <w:gridCol w:w="146"/>
        <w:gridCol w:w="721"/>
      </w:tblGrid>
      <w:tr>
        <w:trPr/>
        <w:tc>
          <w:tcPr>
            <w:tcW w:w="11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371"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Street Tenants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4"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Anchor Tenants</w:t>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51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4"/>
              </w:rPr>
            </w:pPr>
            <w:r>
              <w:rPr>
                <w:rFonts w:ascii="DM Sans;sans-serif" w:hAnsi="DM Sans;sans-serif"/>
                <w:b/>
                <w:color w:val="FFFFFF"/>
                <w:sz w:val="14"/>
              </w:rPr>
              <w:t>Year</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70,624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287,784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10.3%</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80,204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95,838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4.6%</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248,171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477,731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15.8%</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20.9%</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177,026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11.7%</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232,766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7.8%</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67,287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0.7%</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95,971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38,363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0.7%</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11.8%</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247,563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14.7%</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w:t>
            </w:r>
            <w:r>
              <w:rPr>
                <w:rFonts w:ascii="DM Sans;sans-serif" w:hAnsi="DM Sans;sans-serif"/>
                <w:b/>
                <w:color w:val="000000"/>
                <w:sz w:val="9"/>
              </w:rPr>
              <w:t>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964,157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2,363,586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Anchor GLA Owned by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96,484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1,060,641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2,688,229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371"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Shop Tenants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4" w:type="dxa"/>
            <w:gridSpan w:val="9"/>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Total Tenants</w:t>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51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r>
      <w:tr>
        <w:trPr/>
        <w:tc>
          <w:tcPr>
            <w:tcW w:w="1173"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4"/>
              </w:rPr>
            </w:pPr>
            <w:r>
              <w:rPr>
                <w:rFonts w:ascii="DM Sans;sans-serif" w:hAnsi="DM Sans;sans-serif"/>
                <w:b/>
                <w:color w:val="FFFFFF"/>
                <w:sz w:val="14"/>
              </w:rPr>
              <w:t>Year</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0.4%</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83,756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442,164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9.1%</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139,749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315,791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147,534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873,436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15.0%</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693,615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370,512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10.8%</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95,684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379,294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6.2%</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98,214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177,751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8.3%</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87,328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212,180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9.0%</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89,280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4.2%</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105,181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446,574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8.7%</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105,872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419,893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9.0%</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Total</w:t>
            </w:r>
            <w:r>
              <w:rPr>
                <w:rFonts w:ascii="Times New Roman" w:hAnsi="Times New Roman"/>
                <w:color w:val="000000"/>
                <w:sz w:val="14"/>
              </w:rPr>
              <w:t> </w:t>
            </w:r>
            <w:r>
              <w:rPr>
                <w:rFonts w:ascii="DM Sans;sans-serif" w:hAnsi="DM Sans;sans-serif"/>
                <w:b/>
                <w:color w:val="000000"/>
                <w:sz w:val="9"/>
              </w:rPr>
              <w:t>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1,103,180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$30.69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551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4,430,924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$40.01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Anchor GLA Owned by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126,743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292,954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1,229,923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4,978,793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Leases currently under month to month or in process of renewal.</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Totals may not foot due to rounding.</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March 31, 2026 –</w:t>
            </w:r>
            <w:r>
              <w:rPr>
                <w:rFonts w:ascii="Times New Roman" w:hAnsi="Times New Roman"/>
                <w:color w:val="F73929"/>
                <w:sz w:val="16"/>
              </w:rPr>
              <w:t xml:space="preserve"> </w:t>
            </w:r>
            <w:r>
              <w:rPr>
                <w:rFonts w:ascii="PP Fragment;PP Fragment Sans Light;sans-serif" w:hAnsi="PP Fragment;PP Fragment Sans Light;sans-serif"/>
                <w:b w:val="false"/>
                <w:color w:val="F73929"/>
                <w:sz w:val="16"/>
              </w:rPr>
              <w:t>36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5" w:name="fund_overview"/>
      <w:bookmarkEnd w:id="35"/>
      <w:r>
        <w:rPr/>
        <w:t> </w:t>
      </w:r>
    </w:p>
    <w:tbl>
      <w:tblPr>
        <w:tblW w:w="2742" w:type="dxa"/>
        <w:jc w:val="left"/>
        <w:tblInd w:w="0" w:type="dxa"/>
        <w:tblLayout w:type="fixed"/>
        <w:tblCellMar>
          <w:top w:w="28" w:type="dxa"/>
          <w:left w:w="28" w:type="dxa"/>
          <w:bottom w:w="28" w:type="dxa"/>
          <w:right w:w="28" w:type="dxa"/>
        </w:tblCellMar>
      </w:tblPr>
      <w:tblGrid>
        <w:gridCol w:w="255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Fund Overview</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1427" w:type="dxa"/>
        <w:jc w:val="left"/>
        <w:tblInd w:w="0" w:type="dxa"/>
        <w:tblLayout w:type="fixed"/>
        <w:tblCellMar>
          <w:top w:w="28" w:type="dxa"/>
          <w:left w:w="28" w:type="dxa"/>
          <w:bottom w:w="28" w:type="dxa"/>
          <w:right w:w="28" w:type="dxa"/>
        </w:tblCellMar>
      </w:tblPr>
      <w:tblGrid>
        <w:gridCol w:w="1531"/>
        <w:gridCol w:w="146"/>
        <w:gridCol w:w="146"/>
        <w:gridCol w:w="211"/>
        <w:gridCol w:w="146"/>
        <w:gridCol w:w="571"/>
        <w:gridCol w:w="146"/>
        <w:gridCol w:w="465"/>
        <w:gridCol w:w="226"/>
        <w:gridCol w:w="146"/>
        <w:gridCol w:w="211"/>
        <w:gridCol w:w="146"/>
        <w:gridCol w:w="571"/>
        <w:gridCol w:w="146"/>
        <w:gridCol w:w="440"/>
        <w:gridCol w:w="251"/>
        <w:gridCol w:w="146"/>
        <w:gridCol w:w="211"/>
        <w:gridCol w:w="146"/>
        <w:gridCol w:w="571"/>
        <w:gridCol w:w="146"/>
        <w:gridCol w:w="440"/>
        <w:gridCol w:w="251"/>
        <w:gridCol w:w="146"/>
        <w:gridCol w:w="211"/>
        <w:gridCol w:w="146"/>
        <w:gridCol w:w="571"/>
        <w:gridCol w:w="146"/>
        <w:gridCol w:w="440"/>
        <w:gridCol w:w="251"/>
        <w:gridCol w:w="146"/>
        <w:gridCol w:w="211"/>
        <w:gridCol w:w="146"/>
        <w:gridCol w:w="721"/>
        <w:gridCol w:w="146"/>
        <w:gridCol w:w="421"/>
        <w:gridCol w:w="315"/>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 KEY METRICS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III</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IV</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V</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General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Vintage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Jun-2004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May-2007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May-2012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Aug-2016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9"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Fund 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DM Sans;sans-serif" w:hAnsi="DM Sans;sans-serif"/>
                <w:color w:val="000000"/>
                <w:sz w:val="16"/>
              </w:rPr>
              <w:t xml:space="preserve">Million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Acadia's Commitment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Acadia's Pro-Rata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 </w:t>
            </w:r>
            <w:r>
              <w:rPr>
                <w:rFonts w:ascii="DM Sans;sans-serif" w:hAnsi="DM Sans;sans-serif"/>
                <w:color w:val="000000"/>
                <w:sz w:val="11"/>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Acadia's Promoted Share </w:t>
            </w:r>
            <w:r>
              <w:rPr>
                <w:rFonts w:ascii="DM Sans;sans-serif" w:hAnsi="DM Sans;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Preferred Return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Current-Quarter, Fund-Level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Cumulative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DM Sans;sans-serif" w:hAnsi="DM Sans;sans-serif"/>
                <w:color w:val="000000"/>
                <w:sz w:val="16"/>
              </w:rPr>
              <w:t xml:space="preserve">Million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Cumulative Net Distributions </w:t>
            </w:r>
            <w:r>
              <w:rPr>
                <w:rFonts w:ascii="DM Sans;sans-serif" w:hAnsi="DM Sans;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Distributions/Contributions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Unfunded Commitment </w:t>
            </w:r>
            <w:r>
              <w:rPr>
                <w:rFonts w:ascii="DM Sans;sans-serif" w:hAnsi="DM Sans;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 Period Closes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Closed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Closed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Closed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Closed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Currently in a Promote Position? (Yes/No)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1" w:type="dxa"/>
            <w:gridSpan w:val="6"/>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II. FEES &amp; PRIORITY DISTRIBUTIONS EARNED BY ACADIA</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DM Sans;sans-serif" w:hAnsi="DM Sans;sans-serif"/>
                <w:b/>
                <w:color w:val="000000"/>
                <w:sz w:val="16"/>
              </w:rPr>
            </w:pPr>
            <w:r>
              <w:rPr>
                <w:rFonts w:ascii="DM Sans;sans-serif" w:hAnsi="DM Sans;sans-serif"/>
                <w:b/>
                <w:color w:val="000000"/>
                <w:sz w:val="16"/>
              </w:rPr>
              <w:t>Applicable to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Description</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Fund II &amp;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2" w:type="dxa"/>
            <w:gridSpan w:val="26"/>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0%</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Asset Management </w:t>
            </w:r>
            <w:r>
              <w:rPr>
                <w:rFonts w:ascii="DM Sans;sans-serif" w:hAnsi="DM Sans;sans-serif"/>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2" w:type="dxa"/>
            <w:gridSpan w:val="26"/>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0.75% of Implied Capital</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Asset Management </w:t>
            </w:r>
            <w:r>
              <w:rPr>
                <w:rFonts w:ascii="DM Sans;sans-serif" w:hAnsi="DM Sans;sans-serif"/>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2" w:type="dxa"/>
            <w:gridSpan w:val="26"/>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1.25% of Implied Capital</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Property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All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2" w:type="dxa"/>
            <w:gridSpan w:val="26"/>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4.0% of gross property revenues</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All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2" w:type="dxa"/>
            <w:gridSpan w:val="26"/>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Market-rate leasing commissions</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Construction/Project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All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2" w:type="dxa"/>
            <w:gridSpan w:val="26"/>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Market-rate fees</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Fund III, IV &amp;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2" w:type="dxa"/>
            <w:gridSpan w:val="26"/>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3.0% of total project costs</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Acadia’s “Promoted Share” reflects Acadia's share of fund profits after all partners (including Acadia) have received a full return of their cumulative contributions plus their preferred return. Acadia's Promoted Share equals a 20% promote plus Acadia's pro-rata share of the remaining 80% of profits.</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additional contributions to Fund II beyond its original Fund Size reflects prior-period distributions that were re-contributed in 2016, 2020, 2021 and 2022. These funds supported the on-going redevelopment of existing Fund II investments and included an incremental $172 million of capital contributed in connection with the City Point recapitalization. City Point is the sole remaining asset in Fund II.</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All returns and distributions referenced are presented net of fees and promote.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Unfunded Commitments are reserved for completing leasing and development activities at existing fund investments. These amounts may not equal the difference between Fund Size and Cumulative Contributions due to factors such as recallable distributions, the end of the investment period, or accelerated asset sales that result in released commitments.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Implied Capital refers to the Fund Size less capital allocated to investments that have been sold or released.</w:t>
      </w:r>
    </w:p>
    <w:tbl>
      <w:tblPr>
        <w:tblW w:w="7332" w:type="dxa"/>
        <w:jc w:val="left"/>
        <w:tblInd w:w="0" w:type="dxa"/>
        <w:tblLayout w:type="fixed"/>
        <w:tblCellMar>
          <w:top w:w="28" w:type="dxa"/>
          <w:left w:w="28" w:type="dxa"/>
          <w:bottom w:w="28" w:type="dxa"/>
          <w:right w:w="28" w:type="dxa"/>
        </w:tblCellMar>
      </w:tblPr>
      <w:tblGrid>
        <w:gridCol w:w="3641"/>
        <w:gridCol w:w="3691"/>
      </w:tblGrid>
      <w:tr>
        <w:trPr/>
        <w:tc>
          <w:tcPr>
            <w:tcW w:w="364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247900" cy="361950"/>
                          </a:xfrm>
                          <a:prstGeom prst="rect">
                            <a:avLst/>
                          </a:prstGeom>
                        </pic:spPr>
                      </pic:pic>
                    </a:graphicData>
                  </a:graphic>
                </wp:inline>
              </w:drawing>
            </w:r>
          </w:p>
        </w:tc>
        <w:tc>
          <w:tcPr>
            <w:tcW w:w="36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color w:val="F73929"/>
              </w:rPr>
              <w:t> </w:t>
            </w:r>
            <w:r>
              <w:rPr>
                <w:rFonts w:ascii="PP Fragment;PP Fragment Sans Light;sans-serif" w:hAnsi="PP Fragment;PP Fragment Sans Light;sans-serif"/>
                <w:b w:val="false"/>
                <w:color w:val="F73929"/>
                <w:sz w:val="16"/>
              </w:rPr>
              <w:t>Supplemental Report March 31, 2026 – 37</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655" w:type="dxa"/>
        <w:jc w:val="left"/>
        <w:tblInd w:w="0" w:type="dxa"/>
        <w:tblLayout w:type="fixed"/>
        <w:tblCellMar>
          <w:top w:w="28" w:type="dxa"/>
          <w:left w:w="28" w:type="dxa"/>
          <w:bottom w:w="28" w:type="dxa"/>
          <w:right w:w="28" w:type="dxa"/>
        </w:tblCellMar>
      </w:tblPr>
      <w:tblGrid>
        <w:gridCol w:w="3958"/>
        <w:gridCol w:w="4697"/>
      </w:tblGrid>
      <w:tr>
        <w:trPr/>
        <w:tc>
          <w:tcPr>
            <w:tcW w:w="3958" w:type="dxa"/>
            <w:tcBorders/>
            <w:vAlign w:val="center"/>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8655"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Investment Management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36" w:name="investment_management_properties"/>
      <w:bookmarkEnd w:id="36"/>
      <w:r>
        <w:rPr/>
        <w:t> </w:t>
      </w:r>
    </w:p>
    <w:p>
      <w:pPr>
        <w:pStyle w:val="TextBody"/>
        <w:bidi w:val="0"/>
        <w:jc w:val="left"/>
        <w:rPr/>
      </w:pPr>
      <w:r>
        <w:rPr/>
        <w:t> </w:t>
      </w:r>
    </w:p>
    <w:tbl>
      <w:tblPr>
        <w:tblW w:w="13575" w:type="dxa"/>
        <w:jc w:val="left"/>
        <w:tblInd w:w="0" w:type="dxa"/>
        <w:tblLayout w:type="fixed"/>
        <w:tblCellMar>
          <w:top w:w="28" w:type="dxa"/>
          <w:left w:w="28" w:type="dxa"/>
          <w:bottom w:w="28" w:type="dxa"/>
          <w:right w:w="28" w:type="dxa"/>
        </w:tblCellMar>
      </w:tblPr>
      <w:tblGrid>
        <w:gridCol w:w="1186"/>
        <w:gridCol w:w="146"/>
        <w:gridCol w:w="146"/>
        <w:gridCol w:w="751"/>
        <w:gridCol w:w="146"/>
        <w:gridCol w:w="886"/>
        <w:gridCol w:w="146"/>
        <w:gridCol w:w="691"/>
        <w:gridCol w:w="146"/>
        <w:gridCol w:w="691"/>
        <w:gridCol w:w="146"/>
        <w:gridCol w:w="691"/>
        <w:gridCol w:w="146"/>
        <w:gridCol w:w="691"/>
        <w:gridCol w:w="146"/>
        <w:gridCol w:w="556"/>
        <w:gridCol w:w="146"/>
        <w:gridCol w:w="691"/>
        <w:gridCol w:w="146"/>
        <w:gridCol w:w="541"/>
        <w:gridCol w:w="146"/>
        <w:gridCol w:w="511"/>
        <w:gridCol w:w="146"/>
        <w:gridCol w:w="901"/>
        <w:gridCol w:w="146"/>
        <w:gridCol w:w="1006"/>
        <w:gridCol w:w="146"/>
        <w:gridCol w:w="601"/>
        <w:gridCol w:w="146"/>
        <w:gridCol w:w="991"/>
      </w:tblGrid>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r>
      <w:tr>
        <w:trPr/>
        <w:tc>
          <w:tcPr>
            <w:tcW w:w="118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20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273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Ownership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Base Rent (ABR)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 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Key Tenants</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Fund II Portfolio Detail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 xml:space="preserve">City Point </w:t>
            </w:r>
            <w:r>
              <w:rPr>
                <w:rFonts w:ascii="DM Sans;sans-serif" w:hAnsi="DM Sans;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330,448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198,924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529,372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$21,321,023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Primark, Target, Sephora,</w:t>
              <w:br/>
              <w:t>Basis Schools, Warby Parker, Just Salad</w:t>
              <w:br/>
              <w:t xml:space="preserve">Alamo Drafthouse, </w:t>
              <w:br/>
              <w:t>Trader Joe's, Lululemon</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 Fund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330,448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198,924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529,372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$21,321,023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Fund IV Portfolio Detail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801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210 Bowery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27 East 61st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17 East 71st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2,138,742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The Row</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BOSTON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Restaurants at Fort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224,656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Santander Bank</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Rhode Island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650 Bald Hill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105,448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160,448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2,092,896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Dick's Sporting Goods, </w:t>
              <w:br/>
              <w:t>Burlington</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Georgia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Broughton Street Portfolio</w:t>
              <w:br/>
              <w:t>   (14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3,529,698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H&amp;M, Warby Parker,</w:t>
              <w:br/>
              <w:t>Kendra Scott, Starbucks, Lululemon</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128,073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105,448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288,521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$7,985,993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$33.96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u w:val="single"/>
              </w:rPr>
            </w:pPr>
            <w:r>
              <w:rPr>
                <w:rFonts w:ascii="DM Sans;sans-serif" w:hAnsi="DM Sans;sans-serif"/>
                <w:b/>
                <w:color w:val="000000"/>
                <w:sz w:val="13"/>
                <w:u w:val="single"/>
              </w:rPr>
              <w:t>Fund V Portfolio Detail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SOUTHWEST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New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Plaza Santa 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153,983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69,957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223,940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$4,343,255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TJ Maxx, Best Buy, </w:t>
              <w:br/>
              <w:t>Ross Dress for Less</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38</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655" w:type="dxa"/>
        <w:jc w:val="left"/>
        <w:tblInd w:w="0" w:type="dxa"/>
        <w:tblLayout w:type="fixed"/>
        <w:tblCellMar>
          <w:top w:w="28" w:type="dxa"/>
          <w:left w:w="28" w:type="dxa"/>
          <w:bottom w:w="28" w:type="dxa"/>
          <w:right w:w="28" w:type="dxa"/>
        </w:tblCellMar>
      </w:tblPr>
      <w:tblGrid>
        <w:gridCol w:w="3958"/>
        <w:gridCol w:w="4697"/>
      </w:tblGrid>
      <w:tr>
        <w:trPr/>
        <w:tc>
          <w:tcPr>
            <w:tcW w:w="3958" w:type="dxa"/>
            <w:tcBorders/>
            <w:vAlign w:val="center"/>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8655"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Investment Management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3125" w:type="dxa"/>
        <w:jc w:val="left"/>
        <w:tblInd w:w="0" w:type="dxa"/>
        <w:tblLayout w:type="fixed"/>
        <w:tblCellMar>
          <w:top w:w="28" w:type="dxa"/>
          <w:left w:w="28" w:type="dxa"/>
          <w:bottom w:w="28" w:type="dxa"/>
          <w:right w:w="28" w:type="dxa"/>
        </w:tblCellMar>
      </w:tblPr>
      <w:tblGrid>
        <w:gridCol w:w="1051"/>
        <w:gridCol w:w="146"/>
        <w:gridCol w:w="146"/>
        <w:gridCol w:w="751"/>
        <w:gridCol w:w="146"/>
        <w:gridCol w:w="886"/>
        <w:gridCol w:w="146"/>
        <w:gridCol w:w="556"/>
        <w:gridCol w:w="146"/>
        <w:gridCol w:w="691"/>
        <w:gridCol w:w="146"/>
        <w:gridCol w:w="691"/>
        <w:gridCol w:w="146"/>
        <w:gridCol w:w="691"/>
        <w:gridCol w:w="146"/>
        <w:gridCol w:w="556"/>
        <w:gridCol w:w="146"/>
        <w:gridCol w:w="691"/>
        <w:gridCol w:w="146"/>
        <w:gridCol w:w="541"/>
        <w:gridCol w:w="146"/>
        <w:gridCol w:w="481"/>
        <w:gridCol w:w="146"/>
        <w:gridCol w:w="901"/>
        <w:gridCol w:w="146"/>
        <w:gridCol w:w="916"/>
        <w:gridCol w:w="146"/>
        <w:gridCol w:w="511"/>
        <w:gridCol w:w="146"/>
        <w:gridCol w:w="1021"/>
      </w:tblGrid>
      <w:tr>
        <w:trPr/>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r>
      <w:tr>
        <w:trPr/>
        <w:tc>
          <w:tcPr>
            <w:tcW w:w="105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06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270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Ownership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Base Rent (ABR)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 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Key Tenants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Wood Ridge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4,726,080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Skechers, Diamonds Direct, Office Depot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La Frontera Village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310,762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223,679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534,441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8,234,263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Kohl's, Hobby Lobby, Burlington, Marshalls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New Towne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145,389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45,141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190,530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2,008,675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Kohl's, DSW</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Fairlane Green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109,952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160,235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5,049,350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TJ Maxx, Michaels, Burlington</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Frederick County (1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146,454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236,507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3,727,925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Lidl, Advance Auto, Starbucks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Connecticut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Tri-City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129,940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165,877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295,817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4,653,324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TJ Maxx, HomeGoods, ShopRite</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Shoppes at South Hills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416,804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512,908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4,550,156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ShopRite, </w:t>
              <w:br/>
              <w:t>Ashley Furniture</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Mohawk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330,874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68,324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399,198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5,839,574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Lowe's, Target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Monroe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263,376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108,276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4,462,057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Kohl's, Dick's </w:t>
              <w:br/>
              <w:t xml:space="preserve">Sporting Goods, </w:t>
              <w:br/>
              <w:t>Giant Food</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Rhode Island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Lincoln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305,534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460,813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5,558,352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Stop &amp; Shop (Ahold), Marshalls, </w:t>
              <w:br/>
              <w:t>HomeGoods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Vermont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color w:val="000000"/>
                <w:sz w:val="13"/>
              </w:rPr>
              <w:t xml:space="preserve">Maple Tree Place </w:t>
            </w:r>
            <w:r>
              <w:rPr>
                <w:rFonts w:ascii="DM Sans;sans-serif" w:hAnsi="DM Sans;sans-serif"/>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246,738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150,057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396,795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7,529,618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Shaw's, Dick's Sporting Goods, Best Buy, Old Navy</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Cypress Creek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167,978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71,681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239,659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4,947,531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Hobby Lobby, Total Wine, HomeGoods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Alabama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Trussville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366,010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463,681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4,060,420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Wal-Mart, Regal Cinemas</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39</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655" w:type="dxa"/>
        <w:jc w:val="left"/>
        <w:tblInd w:w="0" w:type="dxa"/>
        <w:tblLayout w:type="fixed"/>
        <w:tblCellMar>
          <w:top w:w="28" w:type="dxa"/>
          <w:left w:w="28" w:type="dxa"/>
          <w:bottom w:w="28" w:type="dxa"/>
          <w:right w:w="28" w:type="dxa"/>
        </w:tblCellMar>
      </w:tblPr>
      <w:tblGrid>
        <w:gridCol w:w="3958"/>
        <w:gridCol w:w="4697"/>
      </w:tblGrid>
      <w:tr>
        <w:trPr/>
        <w:tc>
          <w:tcPr>
            <w:tcW w:w="3958" w:type="dxa"/>
            <w:tcBorders/>
            <w:vAlign w:val="center"/>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8655"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Investment Management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3935" w:type="dxa"/>
        <w:jc w:val="left"/>
        <w:tblInd w:w="0" w:type="dxa"/>
        <w:tblLayout w:type="fixed"/>
        <w:tblCellMar>
          <w:top w:w="28" w:type="dxa"/>
          <w:left w:w="28" w:type="dxa"/>
          <w:bottom w:w="28" w:type="dxa"/>
          <w:right w:w="28" w:type="dxa"/>
        </w:tblCellMar>
      </w:tblPr>
      <w:tblGrid>
        <w:gridCol w:w="1201"/>
        <w:gridCol w:w="146"/>
        <w:gridCol w:w="146"/>
        <w:gridCol w:w="751"/>
        <w:gridCol w:w="146"/>
        <w:gridCol w:w="886"/>
        <w:gridCol w:w="146"/>
        <w:gridCol w:w="556"/>
        <w:gridCol w:w="146"/>
        <w:gridCol w:w="826"/>
        <w:gridCol w:w="146"/>
        <w:gridCol w:w="826"/>
        <w:gridCol w:w="146"/>
        <w:gridCol w:w="826"/>
        <w:gridCol w:w="146"/>
        <w:gridCol w:w="556"/>
        <w:gridCol w:w="146"/>
        <w:gridCol w:w="691"/>
        <w:gridCol w:w="146"/>
        <w:gridCol w:w="541"/>
        <w:gridCol w:w="146"/>
        <w:gridCol w:w="511"/>
        <w:gridCol w:w="146"/>
        <w:gridCol w:w="901"/>
        <w:gridCol w:w="146"/>
        <w:gridCol w:w="1006"/>
        <w:gridCol w:w="146"/>
        <w:gridCol w:w="601"/>
        <w:gridCol w:w="146"/>
        <w:gridCol w:w="1066"/>
      </w:tblGrid>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273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Ownership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Base Rent (ABR)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 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Key Tenants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Utah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Family Center at Riverdale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140,513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372,408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4,296,577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Target, Home Goods, </w:t>
              <w:br/>
              <w:t>Best Buy, Sierra Trading (TJX)</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 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3,119,033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2,066,752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5,185,785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$73,987,157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DDE8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DM Sans;sans-serif" w:hAnsi="DM Sans;sans-serif"/>
                <w:b/>
                <w:color w:val="000000"/>
                <w:sz w:val="13"/>
                <w:u w:val="single"/>
              </w:rPr>
              <w:t xml:space="preserve">Other Co-investment Vehicles Detail </w:t>
            </w:r>
            <w:r>
              <w:rPr>
                <w:rFonts w:ascii="DM Sans;sans-serif" w:hAnsi="DM Sans;sans-serif"/>
                <w:b/>
                <w:color w:val="000000"/>
                <w:sz w:val="9"/>
                <w:u w:val="single"/>
              </w:rPr>
              <w:t>4</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Shops at Grand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52,336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47,501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99,837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$3,206,092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Stop &amp; Shop (Ahold), Starbucks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Shops at Skyview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383,565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143,733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527,298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25,486,922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Target, BJ's Warehouse, Nike, Uniqlo, Burlington</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Midstate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122,466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392,889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7,382,795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ShopRite, Best Buy, DSW, PetSmart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Walk at Highwoods Preserve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80,894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56,862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137,756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2,639,527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HomeGoods, Michaels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Pinewood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4,856,056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TJ Maxx, Ross Dress for Less, Five Below</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Palm Coast Landing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73,241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171,721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3,647,675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TJ Maxx, PetSmart, </w:t>
              <w:br/>
              <w:t>Ross Dress for Less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Hickory 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266,584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380,565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4,714,677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Kohl's, Best Buy, Dick's Sporting Goods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Georgia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Avenue at West Cobb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230,421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254,446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4,741,005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Barnes &amp; Noble, Warby Parker, JCrew Factory, Jim N Nicks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Canton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132,569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215,397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347,966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6,298,932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Dick's Sporting Goods, TJ Maxx, Best Buy</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Hiram Pavilion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192,114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171,277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363,391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5,133,688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Kohl's, HomeGoods</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40</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655" w:type="dxa"/>
        <w:jc w:val="left"/>
        <w:tblInd w:w="0" w:type="dxa"/>
        <w:tblLayout w:type="fixed"/>
        <w:tblCellMar>
          <w:top w:w="28" w:type="dxa"/>
          <w:left w:w="28" w:type="dxa"/>
          <w:bottom w:w="28" w:type="dxa"/>
          <w:right w:w="28" w:type="dxa"/>
        </w:tblCellMar>
      </w:tblPr>
      <w:tblGrid>
        <w:gridCol w:w="3958"/>
        <w:gridCol w:w="4697"/>
      </w:tblGrid>
      <w:tr>
        <w:trPr/>
        <w:tc>
          <w:tcPr>
            <w:tcW w:w="3958" w:type="dxa"/>
            <w:tcBorders/>
            <w:vAlign w:val="center"/>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8655"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Investment Management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3890" w:type="dxa"/>
        <w:jc w:val="left"/>
        <w:tblInd w:w="0" w:type="dxa"/>
        <w:tblLayout w:type="fixed"/>
        <w:tblCellMar>
          <w:top w:w="28" w:type="dxa"/>
          <w:left w:w="28" w:type="dxa"/>
          <w:bottom w:w="28" w:type="dxa"/>
          <w:right w:w="28" w:type="dxa"/>
        </w:tblCellMar>
      </w:tblPr>
      <w:tblGrid>
        <w:gridCol w:w="1216"/>
        <w:gridCol w:w="146"/>
        <w:gridCol w:w="146"/>
        <w:gridCol w:w="751"/>
        <w:gridCol w:w="146"/>
        <w:gridCol w:w="886"/>
        <w:gridCol w:w="146"/>
        <w:gridCol w:w="691"/>
        <w:gridCol w:w="146"/>
        <w:gridCol w:w="826"/>
        <w:gridCol w:w="146"/>
        <w:gridCol w:w="826"/>
        <w:gridCol w:w="146"/>
        <w:gridCol w:w="826"/>
        <w:gridCol w:w="146"/>
        <w:gridCol w:w="556"/>
        <w:gridCol w:w="146"/>
        <w:gridCol w:w="691"/>
        <w:gridCol w:w="146"/>
        <w:gridCol w:w="541"/>
        <w:gridCol w:w="146"/>
        <w:gridCol w:w="481"/>
        <w:gridCol w:w="146"/>
        <w:gridCol w:w="901"/>
        <w:gridCol w:w="146"/>
        <w:gridCol w:w="1096"/>
        <w:gridCol w:w="146"/>
        <w:gridCol w:w="601"/>
        <w:gridCol w:w="146"/>
        <w:gridCol w:w="811"/>
      </w:tblGrid>
      <w:tr>
        <w:trPr/>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r>
      <w:tr>
        <w:trPr/>
        <w:tc>
          <w:tcPr>
            <w:tcW w:w="121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60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Gross Leasable Area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2707"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Economic Occupancy</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Leased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Annualized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3"/>
              </w:rPr>
            </w:pPr>
            <w:r>
              <w:rPr>
                <w:rFonts w:ascii="DM Sans;sans-serif" w:hAnsi="DM Sans;sans-serif"/>
                <w:b/>
                <w:color w:val="FFFFFF"/>
                <w:sz w:val="13"/>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Ownership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Occupancy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Base Rent (ABR)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ABR 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3"/>
              </w:rPr>
            </w:pPr>
            <w:r>
              <w:rPr>
                <w:rFonts w:ascii="DM Sans;sans-serif" w:hAnsi="DM Sans;sans-serif"/>
                <w:b/>
                <w:color w:val="FFFFFF"/>
                <w:sz w:val="13"/>
              </w:rPr>
              <w:t>Key Tenants</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LINQ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181,498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181,498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14,278,818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 xml:space="preserve">Yard House, </w:t>
              <w:br/>
              <w:t xml:space="preserve">Brooklyn Bowl, </w:t>
              <w:br/>
              <w:t>I Love Sugar, Starbucks,</w:t>
              <w:br/>
              <w:t xml:space="preserve">Welcome to Las Vegas, </w:t>
              <w:br/>
              <w:t>In-N-Out Burger, Magicians Room</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u w:val="single"/>
              </w:rPr>
            </w:pPr>
            <w:r>
              <w:rPr>
                <w:rFonts w:ascii="DM Sans;sans-serif" w:hAnsi="DM Sans;sans-serif"/>
                <w:color w:val="000000"/>
                <w:sz w:val="13"/>
                <w:u w:val="single"/>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Elk Grove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3"/>
              </w:rPr>
            </w:pPr>
            <w:r>
              <w:rPr>
                <w:rFonts w:ascii="DM Sans;sans-serif" w:hAnsi="DM Sans;sans-serif"/>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114,015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128,063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242,078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5,380,825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3"/>
              </w:rPr>
            </w:pPr>
            <w:r>
              <w:rPr>
                <w:rFonts w:ascii="DM Sans;sans-serif" w:hAnsi="DM Sans;sans-serif"/>
                <w:color w:val="000000"/>
                <w:sz w:val="13"/>
              </w:rPr>
              <w:t>Kohl's, HomeGoods</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 Other Co-investment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1,589,766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1,713,596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3,303,362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$87,767,013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3"/>
              </w:rPr>
            </w:pPr>
            <w:r>
              <w:rPr>
                <w:rFonts w:ascii="DM Sans;sans-serif" w:hAnsi="DM Sans;sans-serif"/>
                <w:color w:val="000000"/>
                <w:sz w:val="13"/>
              </w:rPr>
              <w:t>$27.96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TOTAL INVESTMENT MANAGEMENT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128,073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5,094,247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4,084,720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9,307,040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$191,061,186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1" w:type="dxa"/>
            <w:gridSpan w:val="6"/>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3"/>
              </w:rPr>
            </w:pPr>
            <w:r>
              <w:rPr>
                <w:rFonts w:ascii="DM Sans;sans-serif" w:hAnsi="DM Sans;sans-serif"/>
                <w:b/>
                <w:color w:val="000000"/>
                <w:sz w:val="13"/>
              </w:rPr>
              <w:t>Acadia Share of Total Investment Management Properties</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29,610</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1,168,985</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893,627</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2,092,222</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76.7%</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95.8%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82.8%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90.0%</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92.8%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$48,502,748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3"/>
              </w:rPr>
            </w:pPr>
            <w:r>
              <w:rPr>
                <w:rFonts w:ascii="DM Sans;sans-serif" w:hAnsi="DM Sans;sans-serif"/>
                <w:b/>
                <w:color w:val="000000"/>
                <w:sz w:val="13"/>
              </w:rPr>
              <w:t>$25.76</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Excludes properties currently under development. For details, refer to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000000"/>
        </w:rPr>
        <w:t xml:space="preserve"> </w:t>
      </w:r>
      <w:r>
        <w:rPr>
          <w:rFonts w:ascii="PP Fragment;PP Fragment Sans Light;sans-serif" w:hAnsi="PP Fragment;PP Fragment Sans Light;sans-serif"/>
          <w:b w:val="false"/>
          <w:color w:val="000000"/>
          <w:sz w:val="16"/>
        </w:rPr>
        <w:t>section of this Supplemental Report. The above economic occupancy and rent figures reflect only those retail spaces where leases have commenced. Leased occupancy includes both economic occupancy and signed leases that have not yet commenced. ABR and ABR per square foot are based on economic occupancy.</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Economic occupancy excludes short-term percentage rent.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Property also includes 93,259 square feet of office space. </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Ownership percentages for Fund properties reflect each Fund’s respective ownership interest, while ownership percentages for other co</w:t>
        <w:noBreakHyphen/>
        <w:t>investment vehicles reflect our pro</w:t>
        <w:noBreakHyphen/>
        <w:t xml:space="preserve">rata share.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41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347" w:type="dxa"/>
        <w:jc w:val="left"/>
        <w:tblInd w:w="0" w:type="dxa"/>
        <w:tblLayout w:type="fixed"/>
        <w:tblCellMar>
          <w:top w:w="28" w:type="dxa"/>
          <w:left w:w="28" w:type="dxa"/>
          <w:bottom w:w="28" w:type="dxa"/>
          <w:right w:w="28" w:type="dxa"/>
        </w:tblCellMar>
      </w:tblPr>
      <w:tblGrid>
        <w:gridCol w:w="7156"/>
        <w:gridCol w:w="191"/>
      </w:tblGrid>
      <w:tr>
        <w:trPr/>
        <w:tc>
          <w:tcPr>
            <w:tcW w:w="71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5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Investment Management Lease Expirations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715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bookmarkStart w:id="37" w:name="investment_mgt_lease_exp"/>
      <w:bookmarkEnd w:id="37"/>
      <w:r>
        <w:rPr/>
        <w:t> </w:t>
      </w:r>
    </w:p>
    <w:tbl>
      <w:tblPr>
        <w:tblW w:w="11308" w:type="dxa"/>
        <w:jc w:val="left"/>
        <w:tblInd w:w="0" w:type="dxa"/>
        <w:tblLayout w:type="fixed"/>
        <w:tblCellMar>
          <w:top w:w="28" w:type="dxa"/>
          <w:left w:w="28" w:type="dxa"/>
          <w:bottom w:w="28" w:type="dxa"/>
          <w:right w:w="28" w:type="dxa"/>
        </w:tblCellMar>
      </w:tblPr>
      <w:tblGrid>
        <w:gridCol w:w="1036"/>
        <w:gridCol w:w="146"/>
        <w:gridCol w:w="781"/>
        <w:gridCol w:w="146"/>
        <w:gridCol w:w="796"/>
        <w:gridCol w:w="146"/>
        <w:gridCol w:w="766"/>
        <w:gridCol w:w="146"/>
        <w:gridCol w:w="691"/>
        <w:gridCol w:w="146"/>
        <w:gridCol w:w="766"/>
        <w:gridCol w:w="146"/>
        <w:gridCol w:w="1021"/>
        <w:gridCol w:w="146"/>
        <w:gridCol w:w="781"/>
        <w:gridCol w:w="146"/>
        <w:gridCol w:w="796"/>
        <w:gridCol w:w="146"/>
        <w:gridCol w:w="766"/>
        <w:gridCol w:w="146"/>
        <w:gridCol w:w="691"/>
        <w:gridCol w:w="146"/>
        <w:gridCol w:w="81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78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FUND II</w:t>
            </w:r>
          </w:p>
        </w:tc>
        <w:tc>
          <w:tcPr>
            <w:tcW w:w="6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78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FUND IV</w:t>
            </w:r>
          </w:p>
        </w:tc>
        <w:tc>
          <w:tcPr>
            <w:tcW w:w="6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0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4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ABR</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M to M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M to M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12.0%</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97,232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147,871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324,802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Total</w:t>
            </w:r>
            <w:r>
              <w:rPr>
                <w:rFonts w:ascii="Times New Roman" w:hAnsi="Times New Roman"/>
                <w:color w:val="000000"/>
                <w:sz w:val="15"/>
              </w:rPr>
              <w:t>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51,196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77,521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Total Vacant </w:t>
            </w:r>
            <w:r>
              <w:rPr>
                <w:rFonts w:ascii="DM Sans;sans-serif" w:hAnsi="DM Sans;sans-serif"/>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Total Vacant </w:t>
            </w:r>
            <w:r>
              <w:rPr>
                <w:rFonts w:ascii="DM Sans;sans-serif" w:hAnsi="DM Sans;sans-serif"/>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402,323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Square Feet </w:t>
            </w:r>
            <w:r>
              <w:rPr>
                <w:rFonts w:ascii="DM Sans;sans-serif" w:hAnsi="DM Sans;sans-serif"/>
                <w:b/>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62,997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Square Feet </w:t>
            </w:r>
            <w:r>
              <w:rPr>
                <w:rFonts w:ascii="DM Sans;sans-serif" w:hAnsi="DM Sans;sans-serif"/>
                <w:b/>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78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FUND V</w:t>
            </w:r>
          </w:p>
        </w:tc>
        <w:tc>
          <w:tcPr>
            <w:tcW w:w="6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78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OTHER CO-INVESTMENT VEHICLES</w:t>
            </w:r>
          </w:p>
        </w:tc>
        <w:tc>
          <w:tcPr>
            <w:tcW w:w="6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0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GLA</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4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ABR</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M to M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M to M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0.1%</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117,834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85,068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13.3%</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129,848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152,969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22.2%</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39,751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7.6%</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31,898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11.6%</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900,730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606,001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89,551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Total Vacant </w:t>
            </w:r>
            <w:r>
              <w:rPr>
                <w:rFonts w:ascii="DM Sans;sans-serif" w:hAnsi="DM Sans;sans-serif"/>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Total Vacant </w:t>
            </w:r>
            <w:r>
              <w:rPr>
                <w:rFonts w:ascii="DM Sans;sans-serif" w:hAnsi="DM Sans;sans-serif"/>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990,281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Square Feet </w:t>
            </w:r>
            <w:r>
              <w:rPr>
                <w:rFonts w:ascii="DM Sans;sans-serif" w:hAnsi="DM Sans;sans-serif"/>
                <w:b/>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636,621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Square Feet </w:t>
            </w:r>
            <w:r>
              <w:rPr>
                <w:rFonts w:ascii="DM Sans;sans-serif" w:hAnsi="DM Sans;sans-serif"/>
                <w:b/>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42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347" w:type="dxa"/>
        <w:jc w:val="left"/>
        <w:tblInd w:w="0" w:type="dxa"/>
        <w:tblLayout w:type="fixed"/>
        <w:tblCellMar>
          <w:top w:w="28" w:type="dxa"/>
          <w:left w:w="28" w:type="dxa"/>
          <w:bottom w:w="28" w:type="dxa"/>
          <w:right w:w="28" w:type="dxa"/>
        </w:tblCellMar>
      </w:tblPr>
      <w:tblGrid>
        <w:gridCol w:w="7156"/>
        <w:gridCol w:w="191"/>
      </w:tblGrid>
      <w:tr>
        <w:trPr/>
        <w:tc>
          <w:tcPr>
            <w:tcW w:w="71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5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Investment Management Lease Expirations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715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8725" w:type="dxa"/>
        <w:jc w:val="left"/>
        <w:tblInd w:w="0" w:type="dxa"/>
        <w:tblLayout w:type="fixed"/>
        <w:tblCellMar>
          <w:top w:w="28" w:type="dxa"/>
          <w:left w:w="28" w:type="dxa"/>
          <w:bottom w:w="28" w:type="dxa"/>
          <w:right w:w="28" w:type="dxa"/>
        </w:tblCellMar>
      </w:tblPr>
      <w:tblGrid>
        <w:gridCol w:w="1036"/>
        <w:gridCol w:w="146"/>
        <w:gridCol w:w="811"/>
        <w:gridCol w:w="151"/>
        <w:gridCol w:w="998"/>
        <w:gridCol w:w="151"/>
        <w:gridCol w:w="1463"/>
        <w:gridCol w:w="277"/>
        <w:gridCol w:w="691"/>
        <w:gridCol w:w="146"/>
        <w:gridCol w:w="766"/>
        <w:gridCol w:w="146"/>
        <w:gridCol w:w="146"/>
        <w:gridCol w:w="146"/>
        <w:gridCol w:w="146"/>
        <w:gridCol w:w="146"/>
        <w:gridCol w:w="146"/>
        <w:gridCol w:w="146"/>
        <w:gridCol w:w="146"/>
        <w:gridCol w:w="146"/>
        <w:gridCol w:w="146"/>
        <w:gridCol w:w="146"/>
        <w:gridCol w:w="14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85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TOTAL INVESTMENT MANAGEMENT</w:t>
            </w:r>
          </w:p>
        </w:tc>
        <w:tc>
          <w:tcPr>
            <w:tcW w:w="6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612"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GLA</w:t>
            </w:r>
          </w:p>
        </w:tc>
        <w:tc>
          <w:tcPr>
            <w:tcW w:w="277"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0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Leases</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SF</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M to M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86,586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250,650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208,187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234,913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275,844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95,894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191,965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111,546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107,445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87,438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230,953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12.3%</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1,882,730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209,493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Total Vacant </w:t>
            </w:r>
            <w:r>
              <w:rPr>
                <w:rFonts w:ascii="DM Sans;sans-serif" w:hAnsi="DM Sans;sans-serif"/>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2,092,222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Square Feet </w:t>
            </w:r>
            <w:r>
              <w:rPr>
                <w:rFonts w:ascii="DM Sans;sans-serif" w:hAnsi="DM Sans;sans-serif"/>
                <w:b/>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Leases currently under month to month or in process of renewal.</w:t>
      </w:r>
    </w:p>
    <w:p>
      <w:pPr>
        <w:pStyle w:val="TextBody"/>
        <w:bidi w:val="0"/>
        <w:spacing w:before="0" w:after="0"/>
        <w:jc w:val="both"/>
        <w:rPr>
          <w:rFonts w:ascii="PP Fragment Sans Light" w:hAnsi="PP Fragment Sans Light"/>
          <w:b w:val="false"/>
          <w:color w:val="000000"/>
          <w:sz w:val="16"/>
        </w:rPr>
      </w:pPr>
      <w:r>
        <w:rPr>
          <w:rFonts w:ascii="PP Fragment Sans Light" w:hAnsi="PP Fragment Sans Light"/>
          <w:b w:val="false"/>
          <w:color w:val="000000"/>
          <w:sz w:val="16"/>
        </w:rPr>
        <w:t>2.</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Totals may not foot due to rounding.</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43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Important Notes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8"/>
        </w:rPr>
      </w:pPr>
      <w:bookmarkStart w:id="38" w:name="imp_notes"/>
      <w:bookmarkEnd w:id="38"/>
      <w:r>
        <w:rPr>
          <w:rFonts w:ascii="PP Fragment;PP Fragment Sans Light;sans-serif" w:hAnsi="PP Fragment;PP Fragment Sans Light;sans-serif"/>
          <w:b w:val="false"/>
          <w:color w:val="000000"/>
          <w:sz w:val="18"/>
        </w:rPr>
        <w:t>SPECIAL NOTE REGARDING FORWARD-LOOKING STATEMENTS</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Certain statements contained in this supplemental disclosure may contain forward-looking statements within the meaning of Section 27A of the Securities Act of 1933 and Section 21E of the Securities and Exchange Act of 1934 and as such may involve known and unknown risks, uncertainties and other factors which may cause the Company’s actual results, performance or achievements to be materially different from future results, performance or achievements expressed or implied by such forward-looking statements. Forward-looking statements, which are based on certain assumptions and describe the Company’s future plans, strategies and expectations are generally identifiable by use of the words “may,” “will,” “should,” “expect,” “anticipate,” “estimate,” “believe,” “intend” or “project” or the negative thereof or other variations thereon or comparable terminology. Factors which could have a material adverse effect on the operations and future prospects of the Company include, but are not limited to those set forth under the heading “Risk Factors” in the Company’s Annual Report on Form 10-K. These risks and uncertainties should be considered in evaluating any forward-looking statements contained or incorporated by reference herein.</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NON-GAAP FINANCIAL MEASURES</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The Company uses certain non-GAAP performance measures, in addition to the primary GAAP presentations, as management believes these measures improve the understanding of the Company’s operational results. We continually evaluate the usefulness, relevance, limitations, and calculation of our reported non-GAAP performance measures to determine how best to provide relevant information to the investing public, and thus such reported measures are subject to change. The Company’s non-GAAP performance measures have limitations as they do not include all items of income and expense that affect operations, and accordingly, should always be considered as supplemental financial results. Additionally, the Company’s computation of non-GAAP measures may not be comparable to similarly titled non-GAAP metrics reported by other real estate investment trusts (“REITs”) or real estate companies that define these metrics differently, and, as a result, it is important to understand the manner in which the Company defines and calculates each of its non-GAAP metrics. Quantitative reconciliations of the differences between the most directly comparable GAAP financial measures and the non-GAAP financial measures presented are provided within this Supplemental package.</w:t>
      </w:r>
    </w:p>
    <w:p>
      <w:pPr>
        <w:pStyle w:val="TextBody"/>
        <w:bidi w:val="0"/>
        <w:jc w:val="both"/>
        <w:rPr/>
      </w:pPr>
      <w:r>
        <w:rPr/>
        <w:t> </w:t>
      </w:r>
    </w:p>
    <w:p>
      <w:pPr>
        <w:pStyle w:val="TextBody"/>
        <w:bidi w:val="0"/>
        <w:jc w:val="left"/>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The following non-GAAP measures are commonly used by the Company and its investors to understand and evaluate its operating results and performance:</w:t>
      </w:r>
    </w:p>
    <w:p>
      <w:pPr>
        <w:pStyle w:val="TextBody"/>
        <w:bidi w:val="0"/>
        <w:jc w:val="left"/>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Funds From Operations (“FFO”)</w:t>
      </w:r>
      <w:r>
        <w:rPr>
          <w:rFonts w:ascii="PP Fragment;PP Fragment Sans Light;sans-serif" w:hAnsi="PP Fragment;PP Fragment Sans Light;sans-serif"/>
          <w:b w:val="false"/>
          <w:color w:val="000000"/>
          <w:sz w:val="18"/>
        </w:rPr>
        <w:t>: The Company considers FFO as defined by the National Association of Real Estate Investment Trusts (“NAREIT”) to be an appropriate supplemental disclosure of operating performance for an equity REIT due to its widespread acceptance and use within the REIT and analyst communities. FFO is presented to assist investors in analyzing the performance of the Company. It is helpful as it excludes various items included in net income that are not indicative of the operating performance, such as gains (or losses) from sales of property and depreciation and amortization. Consistent with the NAREIT definition, the Company defines FFO as net income (computed in accordance with GAAP), excluding (i) gains (or losses) from sales of depreciated properties; (ii) depreciation and amortization; (iii) impairment of real estate assets related to the Company’s main business and land held for the development of property for its operating portfolio; (iv) gains (losses) from change in control and (v) after adjustments for unconsolidated partnerships and joint ventures. Also consistent with NAREIT’s definition of FFO, the Company has elected to include the impact of the unrealized holding gains (losses) incidental to its main business. FFO does not represent cash generated from operations as defined by GAAP and are not indicative of cash available to fund all cash needs, including distributions, and should not be considered as an alternative to net income for the purpose of evaluating the Company’s performance or to cash flows as a measure of liquidity.</w:t>
      </w:r>
    </w:p>
    <w:p>
      <w:pPr>
        <w:pStyle w:val="TextBody"/>
        <w:bidi w:val="0"/>
        <w:jc w:val="both"/>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Adjusted FFO (“AFFO”)</w:t>
      </w:r>
      <w:r>
        <w:rPr>
          <w:rFonts w:ascii="PP Fragment;PP Fragment Sans Light;sans-serif" w:hAnsi="PP Fragment;PP Fragment Sans Light;sans-serif"/>
          <w:b w:val="false"/>
          <w:color w:val="000000"/>
          <w:sz w:val="18"/>
        </w:rPr>
        <w:t>: The Company also provides another supplemental disclosure of operating performance, AFFO. The Company defines AFFO as FFO adjusted for (i) straight line rent, (ii) non-real estate depreciation, (iii) stock-based compensation, (iv) amortization of finance costs and costs of management contracts, (v) tenant improvements, (vi) leasing commissions and (vii) capital expenditures.</w:t>
      </w:r>
      <w:r>
        <w:rPr>
          <w:rFonts w:ascii="Times New Roman" w:hAnsi="Times New Roman"/>
          <w:color w:val="000000"/>
          <w:sz w:val="20"/>
        </w:rPr>
        <w:t xml:space="preserve">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44</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Important Notes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FFO As Adjusted</w:t>
      </w:r>
      <w:r>
        <w:rPr>
          <w:rFonts w:ascii="PP Fragment;PP Fragment Sans Light;sans-serif" w:hAnsi="PP Fragment;PP Fragment Sans Light;sans-serif"/>
          <w:b w:val="false"/>
          <w:color w:val="000000"/>
          <w:sz w:val="18"/>
        </w:rPr>
        <w:t>: The Company believes that introducing a new supplemental measure beginning with FY 2026 is useful for evaluating operating performance and comparing historical financial periods. The Company defines FFO As Adjusted as FFO adjusted for items that management believes are not reflective of ongoing core operating results, including non-comparable revenues, expenses, gains, and losses (including impairment losses related to the Company’s investment in Fifth Wall). While these adjustments may be subject to fluctuations from period to period, with both positive and negative short-term impacts, management believes that the removal of the impacts of these items enhances our understanding of the operating performance of our properties. The Company’s method of calculating FFO As Adjusted may be different from methods used by other REITs and, accordingly, may not be comparable to such other REITs.</w:t>
      </w:r>
    </w:p>
    <w:p>
      <w:pPr>
        <w:pStyle w:val="TextBody"/>
        <w:bidi w:val="0"/>
        <w:jc w:val="left"/>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Net Operating Income (“NOI”):</w:t>
      </w:r>
      <w:r>
        <w:rPr>
          <w:rFonts w:ascii="Times New Roman" w:hAnsi="Times New Roman"/>
          <w:color w:val="000000"/>
          <w:sz w:val="20"/>
        </w:rPr>
        <w:t xml:space="preserve"> </w:t>
      </w:r>
      <w:r>
        <w:rPr>
          <w:rFonts w:ascii="PP Fragment;PP Fragment Sans Light;sans-serif" w:hAnsi="PP Fragment;PP Fragment Sans Light;sans-serif"/>
          <w:b w:val="false"/>
          <w:color w:val="000000"/>
          <w:sz w:val="18"/>
        </w:rPr>
        <w:t>The Company uses NOI to make investment and capital allocation decisions and management believes NOI is useful to investors as a performance measure because, when compared across periods, NOI reflects the impact on operations from trends in occupancy rates, rental rates, operating costs, and acquisition and disposition activity on an unleveraged basis, providing perspective not immediately apparent from net income. The Company computes NOI by taking the difference between Property Revenues and Property Expenses as detailed in this reporting supplement. Management does not believe NOI is a meaningful measures for its Investment Management investments as Investment Management invests primarily in properties that typically require significant leasing and development and is primarily comprised of finite-life investment vehicles.</w:t>
      </w:r>
    </w:p>
    <w:p>
      <w:pPr>
        <w:pStyle w:val="TextBody"/>
        <w:bidi w:val="0"/>
        <w:jc w:val="both"/>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Same-Property:</w:t>
      </w:r>
      <w:r>
        <w:rPr>
          <w:rFonts w:ascii="Times New Roman" w:hAnsi="Times New Roman"/>
          <w:color w:val="000000"/>
          <w:sz w:val="20"/>
        </w:rPr>
        <w:t xml:space="preserve"> </w:t>
      </w:r>
      <w:r>
        <w:rPr>
          <w:rFonts w:ascii="PP Fragment;PP Fragment Sans Light;sans-serif" w:hAnsi="PP Fragment;PP Fragment Sans Light;sans-serif"/>
          <w:b w:val="false"/>
          <w:color w:val="000000"/>
          <w:sz w:val="18"/>
        </w:rPr>
        <w:t>In the Company’s analysis of NOI, particularly to make comparisons of NOI between periods meaningful, it is important to provide information for properties that were in-service and owned by the Company throughout each period presented. The Company refers to properties acquired or placed in-service prior to the beginning of the earliest period presented and owned by the Company through the end of the latest period presented as “Same-Property.” “Same-Property” therefore exclude properties placed in-service, acquired, repositioned or in or held for development or redevelopment after the beginning of the earliest period presented or disposed of prior to the end of the latest period presented.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EBITDA</w:t>
      </w:r>
      <w:r>
        <w:rPr>
          <w:rFonts w:ascii="PP Fragment;PP Fragment Sans Light;sans-serif" w:hAnsi="PP Fragment;PP Fragment Sans Light;sans-serif"/>
          <w:b w:val="false"/>
          <w:color w:val="000000"/>
          <w:sz w:val="18"/>
        </w:rPr>
        <w:t>: The Company defines EBITDA as net income (loss) attributable to Company shareholders, adjusted to exclude the impact of interest expense, income taxes, depreciation, and amortization. EBITDA is intended to represent a GAAP-based operating performance measure that isolates earnings before the effects of capital structure, tax position, and non-cash depreciation and amortization. Consistent with industry practice, the Company further adjusts GAAP net income to remove certain items that do not relate to, or are not indicative of, our core operating performance. These include above- or below-market lease amortization, gains or losses on the disposition of properties, unrealized holding gains or losses on investments, impairment charges, realized gains, and the impact of changes in control or other non-recurring items. These additional adjustments are applied after the determination of GAAP EBITDA and are included in the calculation of Adjusted EBITDA, a supplemental non-GAAP measure used in evaluating operational performance.</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rPr>
        <w:t>The Company also presents certain non-GAAP financial measures on a “Pro-Rata Share” basis. These amounts are calculated as the consolidated amount determined in accordance with GAAP, adjusted to include the Company’s proportionate share of amounts from its unconsolidated joint ventures (based on the Company’s ownership interest and, in some cases, after priority allocations), and to exclude the partners’ share of results from the Company’s consolidated joint ventures (based on the partners’ ownership percentages).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Management believes this presentation provides useful information to investors regarding the Company’s financial condition and operating results because the Company participates in several significant joint ventures. In certain cases, the Company exercises significant influence but does not control the joint venture, requiring GAAP to apply the equity method of accounting, which results in non-consolidation for financial reporting purposes. In other cases, GAAP requires consolidation even though the Company’s partner(s) hold a substantial ownership interest. Accordingly, management believes that presenting these measures on a Pro-Rata Share basis helps investors better understand the Company’s financial condition and operating performance after considering its true economic interest in these joint ventures. The Company cautions that ownership percentages used in these calculations may not fully reflect all legal and economic implications of holding an interest in a consolidated or unconsolidated joint venture, which arrangements often include varying provisions related to decision-making rights, distributions, transferability of interests, financing and guarantees, liquidations, and other matters. Accordingly, these measures should be considered supplemental and not a substitute for the Company’s GAAP financial information.</w:t>
      </w:r>
    </w:p>
    <w:p>
      <w:pPr>
        <w:pStyle w:val="TextBody"/>
        <w:bidi w:val="0"/>
        <w:jc w:val="both"/>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45</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Important Notes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The Company also presents certain operating metrics, such as occupancy and leased percentages, on a Pro-Rata Share basis. These amounts combine the Company’s consolidated portfolio square footage with its share of square footage from unconsolidated joint ventures (based on ownership interest), net of partners’ share from consolidated ventures.</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3641"/>
        <w:gridCol w:w="3631"/>
      </w:tblGrid>
      <w:tr>
        <w:trPr/>
        <w:tc>
          <w:tcPr>
            <w:tcW w:w="364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247900" cy="361950"/>
                          </a:xfrm>
                          <a:prstGeom prst="rect">
                            <a:avLst/>
                          </a:prstGeom>
                        </pic:spPr>
                      </pic:pic>
                    </a:graphicData>
                  </a:graphic>
                </wp:inline>
              </w:drawing>
            </w:r>
          </w:p>
        </w:tc>
        <w:tc>
          <w:tcPr>
            <w:tcW w:w="363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PP Fragment;PP Fragment Sans Light;sans-serif" w:hAnsi="PP Fragment;PP Fragment Sans Light;sans-serif"/>
                <w:b w:val="false"/>
                <w:color w:val="F73929"/>
                <w:sz w:val="16"/>
              </w:rPr>
            </w:pPr>
            <w:r>
              <w:rPr>
                <w:rFonts w:ascii="PP Fragment;PP Fragment Sans Light;sans-serif" w:hAnsi="PP Fragment;PP Fragment Sans Light;sans-serif"/>
                <w:b w:val="false"/>
                <w:color w:val="F73929"/>
                <w:sz w:val="16"/>
              </w:rPr>
              <w:t>Supplemental Report March 31, 2026 – 46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PP Fragment">
    <w:altName w:val="PP Fragment Sans"/>
    <w:charset w:val="01"/>
    <w:family w:val="auto"/>
    <w:pitch w:val="default"/>
  </w:font>
  <w:font w:name="PP Fragment">
    <w:altName w:val="PP Fragment Sans Light"/>
    <w:charset w:val="01"/>
    <w:family w:val="auto"/>
    <w:pitch w:val="default"/>
  </w:font>
  <w:font w:name="DM Sans">
    <w:altName w:val="sans-serif"/>
    <w:charset w:val="01"/>
    <w:family w:val="auto"/>
    <w:pitch w:val="default"/>
  </w:font>
  <w:font w:name="PP Fragment Sans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14481</Words>
  <Characters>81883</Characters>
  <CharactersWithSpaces>105132</CharactersWithSpaces>
  <Paragraphs>20915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