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Spitz William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ACADIA REALTY TRUST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411 THEODORE FREMD AVE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RYE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ACADIA REALTY TRUST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AKR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2"/>
        <w:gridCol w:w="901"/>
        <w:gridCol w:w="771"/>
        <w:gridCol w:w="598"/>
        <w:gridCol w:w="347"/>
        <w:gridCol w:w="886"/>
        <w:gridCol w:w="453"/>
        <w:gridCol w:w="752"/>
        <w:gridCol w:w="1160"/>
        <w:gridCol w:w="995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of Beneficial Interest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21.46</w:t>
            </w:r>
            <w:r>
              <w:rPr/>
              <w:t xml:space="preserve"> 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113,248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grant was awarded in connection with the payment of annual Trustee fees. These shares shall vest according to the following schedule: one-third shall vest on May 9, 2027, one-third shall vest on May 9, 2028 and the remaining third shall vest on May 9,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Spitz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1029" TargetMode="External"/><Relationship Id="rId5" Type="http://schemas.openxmlformats.org/officeDocument/2006/relationships/hyperlink" Target="http://www.sec.gov/cgi-bin/browse-edgar?action=getcompany&amp;CIK=00008996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611</Words>
  <Characters>3280</Characters>
  <CharactersWithSpaces>3831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