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Acadia Realty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15,530,098.00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20,149,944.00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20,149,944.00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14.13 %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Capital Management,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15,530,098.00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20,149,944.00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20,149,944.00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14.13 %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UK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Asia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Ireland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IRELAND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4"/>
        <w:gridCol w:w="8926"/>
        <w:gridCol w:w="155"/>
      </w:tblGrid>
      <w:tr>
        <w:trPr/>
        <w:tc>
          <w:tcPr>
            <w:tcW w:w="1124" w:type="dxa"/>
            <w:tcBorders/>
            <w:vAlign w:val="center"/>
          </w:tcPr>
          <w:p>
            <w:pPr>
              <w:pStyle w:val="TableContents"/>
              <w:bidi w:val="0"/>
              <w:spacing w:before="0" w:after="283"/>
              <w:jc w:val="left"/>
              <w:rPr/>
            </w:pPr>
            <w:r>
              <w:rPr/>
              <w:t>Item 1.</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issuer: </w:t>
            </w:r>
          </w:p>
          <w:p>
            <w:pPr>
              <w:pStyle w:val="TableContents"/>
              <w:bidi w:val="0"/>
              <w:spacing w:before="0" w:after="0"/>
              <w:jc w:val="left"/>
              <w:rPr/>
            </w:pPr>
            <w:r>
              <w:rPr/>
              <w:t>Acadia Realty Trust</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411 Theodore Fremd Avenue Suite 300, Rye, NY 10580</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2.</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Cohen &amp; Steers, Inc. Cohen &amp; Steers Capital Management, Inc. Cohen &amp; Steers UK Ltd Cohen &amp; Steers Asia Ltd Cohen &amp; Steers Ireland Ltd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principal address for Cohen &amp; Steers, Inc. and Cohen &amp; Steers Capital Management, Inc. is: 1166 Avenue of the Americas, 30th Floor New York, NY 10036 The principal address for Cohen &amp; Steers UK Ltd. is: The Burlian, 2nd Floor 3 Dering Street, London W1S 1AA United Kingdom The principal address for Cohen &amp; Steers Asia Ltd. is: Unit 3301B, 33rd Floor The Henderson 2 Murray Road Central, Hong Kong The principal address for Cohen &amp; Steers Ireland Ltd. is: Suite G01 81 Merrion Square South Dublin 2, D02 NR12 Ireland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Cohen &amp; Steers, Inc: Delaware corporation Cohen &amp; Steers Capital Management, Inc: New York corporation Cohen &amp; Steers UK Ltd: United Kingdom Private Limited Company Cohen &amp; Steers Asia Ltd: Asia Private Limited Company Cohen &amp; Steers Ireland Ltd: Ireland Private Limited Company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3.</w:t>
            </w:r>
          </w:p>
        </w:tc>
        <w:tc>
          <w:tcPr>
            <w:tcW w:w="892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(f)</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(g)</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(h)</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(j)</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(k)</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9081" w:type="dxa"/>
            <w:gridSpan w:val="2"/>
            <w:tcBorders/>
            <w:vAlign w:val="center"/>
          </w:tcPr>
          <w:p>
            <w:pPr>
              <w:pStyle w:val="TableContents"/>
              <w:bidi w:val="0"/>
              <w:spacing w:before="0" w:after="0"/>
              <w:jc w:val="left"/>
              <w:rPr/>
            </w:pPr>
            <w:r>
              <w:rPr/>
              <w:t>Corporation</w:t>
            </w:r>
          </w:p>
        </w:tc>
      </w:tr>
      <w:tr>
        <w:trPr/>
        <w:tc>
          <w:tcPr>
            <w:tcW w:w="1124" w:type="dxa"/>
            <w:tcBorders/>
            <w:vAlign w:val="center"/>
          </w:tcPr>
          <w:p>
            <w:pPr>
              <w:pStyle w:val="TableContents"/>
              <w:bidi w:val="0"/>
              <w:spacing w:before="0" w:after="283"/>
              <w:jc w:val="left"/>
              <w:rPr/>
            </w:pPr>
            <w:r>
              <w:rPr/>
              <w:t>Item 4.</w:t>
            </w:r>
          </w:p>
        </w:tc>
        <w:tc>
          <w:tcPr>
            <w:tcW w:w="892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20,149,944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14.13%  %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15,530,098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15,530,098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5.</w:t>
            </w:r>
          </w:p>
        </w:tc>
        <w:tc>
          <w:tcPr>
            <w:tcW w:w="892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6.</w:t>
            </w:r>
          </w:p>
        </w:tc>
        <w:tc>
          <w:tcPr>
            <w:tcW w:w="892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Each of Cohen &amp; Steers Capital Management, Inc., Cohen &amp; Steers UK Ltd., Cohen &amp; Steers Asia Ltd. and Cohen &amp; Steers Ireland Ltd. holds the securities of the Issuer to which this statement relates for the benefit of their respective account holders. Such account holders have the right to receive or the power to direct the receipt of dividends from, or proceeds from the sale of, the securities of the Issuer that are held on their behalf.</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7.</w:t>
            </w:r>
          </w:p>
        </w:tc>
        <w:tc>
          <w:tcPr>
            <w:tcW w:w="892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Cohen &amp; Steers, Inc. holds a 100% interest in Cohen &amp; Steers Capital Management, Inc., Cohen &amp; Steers UK Ltd., Cohen &amp; Steers Asia Ltd. (investment advisors registered under Section 203 of the Investment Advisers Act) and Cohen &amp; Steers Ireland Ltd. (a non-US institution).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8.</w:t>
            </w:r>
          </w:p>
        </w:tc>
        <w:tc>
          <w:tcPr>
            <w:tcW w:w="892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9.</w:t>
            </w:r>
          </w:p>
        </w:tc>
        <w:tc>
          <w:tcPr>
            <w:tcW w:w="892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Cohen &amp; Steers, Inc.</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Nargis Hilal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SVP, Global Chief Compliance Officer &amp; Associate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Cohen &amp; Steers Capital Management, Inc.</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Nargis Hilal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SVP, Global Chief Compliance Officer &amp; Associate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Cohen &amp; Steers UK Limited</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Natalie Okorie</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Cohen &amp; Steers Asia Limited</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Catherine Cheng</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Cohen &amp; Steers Ireland Limited</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3"/>
        <w:gridCol w:w="4432"/>
      </w:tblGrid>
      <w:tr>
        <w:trPr/>
        <w:tc>
          <w:tcPr>
            <w:tcW w:w="57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Alan Cooper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1686</Words>
  <Characters>8510</Characters>
  <CharactersWithSpaces>10108</CharactersWithSpaces>
  <Paragraphs>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