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Date of Report (Date of Earliest Event Reported): May 18, 2001</w:t>
      </w:r>
    </w:p>
    <w:p>
      <w:pPr>
        <w:spacing w:after="0" w:line="3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sectPr>
      </w:pPr>
    </w:p>
    <w:p>
      <w:pPr>
        <w:spacing w:after="0" w:line="3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(State or other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1-12002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23-2715194</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00" w:space="420"/>
            <w:col w:w="1260" w:space="720"/>
            <w:col w:w="5239"/>
          </w:cols>
          <w:pgMar w:left="220" w:top="395" w:right="1440" w:bottom="1440" w:gutter="0" w:footer="0" w:header="0"/>
          <w:type w:val="continuous"/>
        </w:sectPr>
      </w:pPr>
    </w:p>
    <w:p>
      <w:pPr>
        <w:spacing w:after="0" w:line="138"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20 Soundview Marketplace</w:t>
      </w:r>
    </w:p>
    <w:p>
      <w:pPr>
        <w:spacing w:after="0" w:line="7" w:lineRule="exact"/>
        <w:rPr>
          <w:sz w:val="24"/>
          <w:szCs w:val="24"/>
          <w:color w:val="auto"/>
        </w:rPr>
      </w:pPr>
    </w:p>
    <w:p>
      <w:pPr>
        <w:ind w:left="2160"/>
        <w:spacing w:after="0"/>
        <w:tabs>
          <w:tab w:leader="none" w:pos="5080" w:val="left"/>
        </w:tabs>
        <w:rPr>
          <w:sz w:val="20"/>
          <w:szCs w:val="20"/>
          <w:color w:val="auto"/>
        </w:rPr>
      </w:pPr>
      <w:r>
        <w:rPr>
          <w:rFonts w:ascii="Courier New" w:cs="Courier New" w:eastAsia="Courier New" w:hAnsi="Courier New"/>
          <w:sz w:val="14"/>
          <w:szCs w:val="14"/>
          <w:color w:val="auto"/>
        </w:rPr>
        <w:t>Port Washington, New York</w:t>
      </w:r>
      <w:r>
        <w:rPr>
          <w:sz w:val="20"/>
          <w:szCs w:val="20"/>
          <w:color w:val="auto"/>
        </w:rPr>
        <w:tab/>
      </w:r>
      <w:r>
        <w:rPr>
          <w:rFonts w:ascii="Courier New" w:cs="Courier New" w:eastAsia="Courier New" w:hAnsi="Courier New"/>
          <w:sz w:val="14"/>
          <w:szCs w:val="14"/>
          <w:color w:val="auto"/>
        </w:rPr>
        <w:t>11050</w:t>
      </w:r>
    </w:p>
    <w:p>
      <w:pPr>
        <w:sectPr>
          <w:pgSz w:w="11900" w:h="16838" w:orient="portrait"/>
          <w:cols w:equalWidth="0" w:num="1">
            <w:col w:w="10239"/>
          </w:cols>
          <w:pgMar w:left="220" w:top="395" w:right="1440" w:bottom="1440" w:gutter="0" w:footer="0" w:header="0"/>
          <w:type w:val="continuous"/>
        </w:sectPr>
      </w:pP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(516) 767-8830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0" w:lineRule="exact"/>
        <w:rPr>
          <w:sz w:val="24"/>
          <w:szCs w:val="24"/>
          <w:color w:val="auto"/>
        </w:rPr>
      </w:pPr>
    </w:p>
    <w:p>
      <w:pPr>
        <w:spacing w:after="0" w:line="30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(Former name or former address, if changed since last report)</w:t>
      </w:r>
    </w:p>
    <w:p>
      <w:pPr>
        <w:sectPr>
          <w:pgSz w:w="11900" w:h="16838" w:orient="portrait"/>
          <w:cols w:equalWidth="0" w:num="1">
            <w:col w:w="10239"/>
          </w:cols>
          <w:pgMar w:left="220" w:top="39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7. Financial Statements, Pro Forma Financial Information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 Quarterly Supplemental Disclosure - March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Regulation FD Disclosure</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Registrant, Acadia Realty Trust, hereby makes available as an exhibit to this filing, supplemental information concerning the ownership, operations and portfolio of the Registrant as of March 31, 2001. The information included in this Current Report on Form 8-K (including the exhibit hereto) is furnished pursuant to Item 9 and shall not be deemed to be "filed" for the purposes of Section 18 of the Securities Exchange Act of 1934, as amended, or otherwise subject to the liabilities of that Section or Sections 11 and 12(a)</w:t>
      </w:r>
    </w:p>
    <w:p>
      <w:pPr>
        <w:spacing w:after="0" w:line="3" w:lineRule="exact"/>
        <w:rPr>
          <w:sz w:val="20"/>
          <w:szCs w:val="20"/>
          <w:color w:val="auto"/>
        </w:rPr>
      </w:pPr>
    </w:p>
    <w:p>
      <w:pPr>
        <w:ind w:right="3679" w:firstLine="8"/>
        <w:spacing w:after="0" w:line="252" w:lineRule="auto"/>
        <w:tabs>
          <w:tab w:leader="none" w:pos="34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Securities Act of 1933, as amended. This Report (including the exhibit hereto) will not be deemed an admission as to the materiality of any information required to be disclosed solely to satisfy the requirements of Regulation FD.</w:t>
      </w:r>
    </w:p>
    <w:p>
      <w:pPr>
        <w:spacing w:after="0" w:line="200" w:lineRule="exact"/>
        <w:rPr>
          <w:sz w:val="20"/>
          <w:szCs w:val="20"/>
          <w:color w:val="auto"/>
        </w:rPr>
      </w:pPr>
    </w:p>
    <w:p>
      <w:pPr>
        <w:spacing w:after="0" w:line="29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18,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Kenneth F. Bernstein</w:t>
      </w:r>
    </w:p>
    <w:p>
      <w:pPr>
        <w:spacing w:after="0" w:line="173" w:lineRule="exact"/>
        <w:rPr>
          <w:sz w:val="20"/>
          <w:szCs w:val="20"/>
          <w:color w:val="auto"/>
        </w:rPr>
      </w:pPr>
    </w:p>
    <w:p>
      <w:pPr>
        <w:sectPr>
          <w:pgSz w:w="11900" w:h="16838" w:orient="portrait"/>
          <w:cols w:equalWidth="0" w:num="2">
            <w:col w:w="1960" w:space="720"/>
            <w:col w:w="7559"/>
          </w:cols>
          <w:pgMar w:left="220" w:top="782" w:right="1440" w:bottom="1440" w:gutter="0" w:footer="0" w:header="0"/>
          <w:type w:val="continuous"/>
        </w:sect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Name:</w:t>
        <w:tab/>
        <w:t>Kenneth F. Bernstein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 Chief Executive Officer and President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type w:val="continuous"/>
        </w:sectPr>
      </w:pPr>
    </w:p>
    <w:bookmarkStart w:id="2" w:name="page3"/>
    <w:bookmarkEnd w:id="2"/>
    <w:p>
      <w:pPr>
        <w:jc w:val="right"/>
        <w:ind w:right="333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1000" w:type="dxa"/>
            <w:vAlign w:val="bottom"/>
          </w:tcPr>
          <w:p>
            <w:pPr>
              <w:spacing w:after="0"/>
              <w:rPr>
                <w:sz w:val="14"/>
                <w:szCs w:val="14"/>
                <w:color w:val="auto"/>
              </w:rPr>
            </w:pPr>
          </w:p>
        </w:tc>
      </w:tr>
      <w:tr>
        <w:trPr>
          <w:trHeight w:val="331"/>
        </w:trPr>
        <w:tc>
          <w:tcPr>
            <w:tcW w:w="5900" w:type="dxa"/>
            <w:vAlign w:val="bottom"/>
          </w:tcPr>
          <w:p>
            <w:pPr>
              <w:ind w:left="2760"/>
              <w:spacing w:after="0"/>
              <w:rPr>
                <w:sz w:val="20"/>
                <w:szCs w:val="20"/>
                <w:color w:val="auto"/>
              </w:rPr>
            </w:pPr>
            <w:r>
              <w:rPr>
                <w:rFonts w:ascii="Courier New" w:cs="Courier New" w:eastAsia="Courier New" w:hAnsi="Courier New"/>
                <w:sz w:val="14"/>
                <w:szCs w:val="14"/>
                <w:color w:val="auto"/>
              </w:rPr>
              <w:t>Table of Contents</w:t>
            </w:r>
          </w:p>
        </w:tc>
        <w:tc>
          <w:tcPr>
            <w:tcW w:w="1000" w:type="dxa"/>
            <w:vAlign w:val="bottom"/>
          </w:tcPr>
          <w:p>
            <w:pPr>
              <w:spacing w:after="0"/>
              <w:rPr>
                <w:sz w:val="24"/>
                <w:szCs w:val="24"/>
                <w:color w:val="auto"/>
              </w:rPr>
            </w:pPr>
          </w:p>
        </w:tc>
      </w:tr>
      <w:tr>
        <w:trPr>
          <w:trHeight w:val="331"/>
        </w:trPr>
        <w:tc>
          <w:tcPr>
            <w:tcW w:w="59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0"/>
              <w:spacing w:after="0"/>
              <w:rPr>
                <w:sz w:val="20"/>
                <w:szCs w:val="20"/>
                <w:color w:val="auto"/>
              </w:rPr>
            </w:pPr>
            <w:r>
              <w:rPr>
                <w:rFonts w:ascii="Courier New" w:cs="Courier New" w:eastAsia="Courier New" w:hAnsi="Courier New"/>
                <w:sz w:val="14"/>
                <w:szCs w:val="14"/>
                <w:color w:val="auto"/>
              </w:rPr>
              <w:t>Section I - Overview</w:t>
            </w:r>
          </w:p>
        </w:tc>
        <w:tc>
          <w:tcPr>
            <w:tcW w:w="1000" w:type="dxa"/>
            <w:vAlign w:val="bottom"/>
          </w:tcPr>
          <w:p>
            <w:pPr>
              <w:spacing w:after="0"/>
              <w:rPr>
                <w:sz w:val="14"/>
                <w:szCs w:val="14"/>
                <w:color w:val="auto"/>
              </w:rPr>
            </w:pPr>
          </w:p>
        </w:tc>
      </w:tr>
      <w:tr>
        <w:trPr>
          <w:trHeight w:val="497"/>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Company Information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Quarterly Highlights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Portfolio Snapshot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Organizational Chart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Executive Management Team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5900" w:type="dxa"/>
            <w:vAlign w:val="bottom"/>
          </w:tcPr>
          <w:p>
            <w:pPr>
              <w:ind w:left="1980"/>
              <w:spacing w:after="0"/>
              <w:rPr>
                <w:sz w:val="20"/>
                <w:szCs w:val="20"/>
                <w:color w:val="auto"/>
              </w:rPr>
            </w:pPr>
            <w:r>
              <w:rPr>
                <w:rFonts w:ascii="Courier New" w:cs="Courier New" w:eastAsia="Courier New" w:hAnsi="Courier New"/>
                <w:sz w:val="14"/>
                <w:szCs w:val="14"/>
                <w:color w:val="auto"/>
              </w:rPr>
              <w:t>Section II - Net Asset Valuation(1)</w:t>
            </w:r>
          </w:p>
        </w:tc>
        <w:tc>
          <w:tcPr>
            <w:tcW w:w="100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Asset Value Summary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Asset Value Calculation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5900" w:type="dxa"/>
            <w:vAlign w:val="bottom"/>
          </w:tcPr>
          <w:p>
            <w:pPr>
              <w:ind w:left="1980"/>
              <w:spacing w:after="0"/>
              <w:rPr>
                <w:sz w:val="20"/>
                <w:szCs w:val="20"/>
                <w:color w:val="auto"/>
              </w:rPr>
            </w:pPr>
            <w:r>
              <w:rPr>
                <w:rFonts w:ascii="Courier New" w:cs="Courier New" w:eastAsia="Courier New" w:hAnsi="Courier New"/>
                <w:sz w:val="14"/>
                <w:szCs w:val="14"/>
                <w:color w:val="auto"/>
              </w:rPr>
              <w:t>Section III - Financial Information</w:t>
            </w:r>
          </w:p>
        </w:tc>
        <w:tc>
          <w:tcPr>
            <w:tcW w:w="100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Market Capitalization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Shareholder Information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Operating Statements - Including Joint Venture Activity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Operating Statements - by Segment (Retail &amp; Multi-Family)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Operating Income - Same Property Performance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497"/>
        </w:trPr>
        <w:tc>
          <w:tcPr>
            <w:tcW w:w="59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Balance Sheets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Selected Operating Ratios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Debt Analysis - Wholly Owned and Unconsolidated Subsidiaries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Debt Maturity Schedule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Unencumbered Properties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5900" w:type="dxa"/>
            <w:vAlign w:val="bottom"/>
          </w:tcPr>
          <w:p>
            <w:pPr>
              <w:ind w:left="1980"/>
              <w:spacing w:after="0"/>
              <w:rPr>
                <w:sz w:val="20"/>
                <w:szCs w:val="20"/>
                <w:color w:val="auto"/>
              </w:rPr>
            </w:pPr>
            <w:r>
              <w:rPr>
                <w:rFonts w:ascii="Courier New" w:cs="Courier New" w:eastAsia="Courier New" w:hAnsi="Courier New"/>
                <w:sz w:val="14"/>
                <w:szCs w:val="14"/>
                <w:color w:val="auto"/>
              </w:rPr>
              <w:t>Section IV - Portfolio information</w:t>
            </w:r>
          </w:p>
        </w:tc>
        <w:tc>
          <w:tcPr>
            <w:tcW w:w="1000" w:type="dxa"/>
            <w:vAlign w:val="bottom"/>
          </w:tcPr>
          <w:p>
            <w:pPr>
              <w:spacing w:after="0"/>
              <w:rPr>
                <w:sz w:val="24"/>
                <w:szCs w:val="24"/>
                <w:color w:val="auto"/>
              </w:rPr>
            </w:pP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Portfolio Overview  - By Region and Property Type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Commercial Properties by Region - Summary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Commercial Properties by Region - Detail</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Top 25 Tenants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Anchor Tenant Summary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Lease Expirations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Residential Properties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Properties under Redevelopment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170" w:lineRule="exact"/>
        <w:rPr>
          <w:sz w:val="20"/>
          <w:szCs w:val="20"/>
          <w:color w:val="auto"/>
        </w:rPr>
      </w:pPr>
    </w:p>
    <w:p>
      <w:pPr>
        <w:ind w:left="360" w:right="3339" w:hanging="352"/>
        <w:spacing w:after="0" w:line="252"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enclosed Net Asset Value ("NAV") calculation is computed as of December 31, 2000. NAV is computed at the end of each year and will be updated during the year only if a significant change in any of the determinants of NAV occurs.</w:t>
      </w:r>
    </w:p>
    <w:p>
      <w:pPr>
        <w:spacing w:after="0" w:line="16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SPECIAL NOTE REGARDING FORWARD-LOOKING STATEMENTS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Certain statements contained in this Annual Supplementary Disclosure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307" w:right="1440" w:bottom="0" w:gutter="0" w:footer="0" w:header="0"/>
        </w:sectPr>
      </w:pPr>
    </w:p>
    <w:bookmarkStart w:id="3" w:name="page4"/>
    <w:bookmarkEnd w:id="3"/>
    <w:p>
      <w:pPr>
        <w:jc w:val="right"/>
        <w:ind w:right="74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Company Information</w:t>
      </w:r>
    </w:p>
    <w:p>
      <w:pPr>
        <w:spacing w:after="0" w:line="173" w:lineRule="exact"/>
        <w:rPr>
          <w:sz w:val="20"/>
          <w:szCs w:val="20"/>
          <w:color w:val="auto"/>
        </w:rPr>
      </w:pPr>
    </w:p>
    <w:p>
      <w:pPr>
        <w:ind w:right="740"/>
        <w:spacing w:after="0" w:line="251" w:lineRule="auto"/>
        <w:rPr>
          <w:sz w:val="20"/>
          <w:szCs w:val="20"/>
          <w:color w:val="auto"/>
        </w:rPr>
      </w:pPr>
      <w:r>
        <w:rPr>
          <w:rFonts w:ascii="Courier New" w:cs="Courier New" w:eastAsia="Courier New" w:hAnsi="Courier New"/>
          <w:sz w:val="14"/>
          <w:szCs w:val="14"/>
          <w:color w:val="auto"/>
        </w:rPr>
        <w:t>Acadia Realty Trust ("Acadia"), is a fully integrated and self-managed real estate investment trust focused primarily on the ownership, acquisition, redevelopment and management of neighborhood and community shopping centers. All of Acadia's assets are held by, and all its operations are conducted through, Acadia Realty Limited Partnership (the "Operating Partnership") which was 81% controlled by Acadia as of March 31, 2001.</w:t>
      </w:r>
    </w:p>
    <w:p>
      <w:pPr>
        <w:spacing w:after="0" w:line="164" w:lineRule="exact"/>
        <w:rPr>
          <w:sz w:val="20"/>
          <w:szCs w:val="20"/>
          <w:color w:val="auto"/>
        </w:rPr>
      </w:pPr>
    </w:p>
    <w:p>
      <w:pPr>
        <w:ind w:right="740"/>
        <w:spacing w:after="0" w:line="251" w:lineRule="auto"/>
        <w:rPr>
          <w:sz w:val="20"/>
          <w:szCs w:val="20"/>
          <w:color w:val="auto"/>
        </w:rPr>
      </w:pPr>
      <w:r>
        <w:rPr>
          <w:rFonts w:ascii="Courier New" w:cs="Courier New" w:eastAsia="Courier New" w:hAnsi="Courier New"/>
          <w:sz w:val="14"/>
          <w:szCs w:val="14"/>
          <w:color w:val="auto"/>
        </w:rPr>
        <w:t>As of March 31, 2001, Acadia owns or has an ownership interest in fifty-seven properties, consisting of fifty neighborhood and community shopping centers, one enclosed mall, one mixed-use property (a retail/residential property) and five multi-family properties, all located in the Eastern and Midwestern regions of the United States. Four of the above shopping centers are currently under redevelopment.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Corporate Headquarters</w:t>
            </w: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20 Soundview Marketplace</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Research</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Coverage</w:t>
            </w:r>
          </w:p>
        </w:tc>
      </w:tr>
      <w:tr>
        <w:trPr>
          <w:trHeight w:val="166"/>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Port Washington, NY 11050-2221</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Symbol AKR</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Web Site</w:t>
            </w:r>
          </w:p>
        </w:tc>
        <w:tc>
          <w:tcPr>
            <w:tcW w:w="1560" w:type="dxa"/>
            <w:vAlign w:val="bottom"/>
          </w:tcPr>
          <w:p>
            <w:pPr>
              <w:spacing w:after="0"/>
              <w:rPr>
                <w:sz w:val="24"/>
                <w:szCs w:val="24"/>
                <w:color w:val="auto"/>
              </w:rPr>
            </w:pP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www.acadiarealty.com</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Investor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Relations</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Raiman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892-2380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 Grisham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right="80" w:firstLine="3"/>
        <w:spacing w:after="0" w:line="255" w:lineRule="auto"/>
        <w:tabs>
          <w:tab w:leader="none" w:pos="51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767-7550 jgrisham@acadiarealty.com</w:t>
      </w:r>
    </w:p>
    <w:p>
      <w:pPr>
        <w:sectPr>
          <w:pgSz w:w="11900" w:h="16838" w:orient="portrait"/>
          <w:cols w:equalWidth="0" w:num="2">
            <w:col w:w="7640" w:space="720"/>
            <w:col w:w="2240"/>
          </w:cols>
          <w:pgMar w:left="220" w:top="451" w:right="1079" w:bottom="1440" w:gutter="0" w:footer="0" w:header="0"/>
        </w:sectPr>
      </w:pPr>
    </w:p>
    <w:bookmarkStart w:id="4" w:name="page5"/>
    <w:bookmarkEnd w:id="4"/>
    <w:p>
      <w:pPr>
        <w:jc w:val="right"/>
        <w:ind w:right="333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Highlights</w:t>
      </w:r>
    </w:p>
    <w:p>
      <w:pPr>
        <w:spacing w:after="0" w:line="173" w:lineRule="exact"/>
        <w:rPr>
          <w:sz w:val="20"/>
          <w:szCs w:val="20"/>
          <w:color w:val="auto"/>
        </w:rPr>
      </w:pPr>
    </w:p>
    <w:p>
      <w:pPr>
        <w:ind w:left="360" w:right="3519"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FFO for the quarter ended March 31, 2001 was $7.1 million, or $0.20 per share (both basic and fully diluted), compared with $7.6 million, or $0.21 per share, for the quarter ended March 31, 2000. Net income for the first quarter 2001 was $1.6 million, or $0.06 per share, compared with $1.9 million, or $0.07 per share for first quarter 2000.</w:t>
      </w:r>
    </w:p>
    <w:p>
      <w:pPr>
        <w:spacing w:after="0" w:line="164"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portfolio occupancy (including the Company's joint venture property) increased 60 basis points to 90.3% for the first quarter 2001, compared to 89.7% for year-end 2000.</w:t>
      </w:r>
    </w:p>
    <w:p>
      <w:pPr>
        <w:spacing w:after="0" w:line="162"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leasing and redevelopment accomplishments during the quarter included Home Depot taking over 105,000 square feet which was formerly occupied by Bradlees at the Crescent Plaza located in Brockton, Massachusetts. Upon opening, Home Depot will join the existing anchors, a Shaws supermarket and CVS drugstore at the center, resulting in a 99% occupancy rate at the shopping center.</w:t>
      </w:r>
    </w:p>
    <w:p>
      <w:pPr>
        <w:spacing w:after="0" w:line="164"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inception of the program in June 1999, Acadia has repurchased a total of 1.8 million shares for $10.1 million. As previously announced, the Company is authorized to repurchase up to a total of $20 million of its currently outstanding common shares on the open market. The program may be discontinued or extended at any time and there is no assurance that the Company will purchase the full amount authorized.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51" w:right="1440" w:bottom="1440" w:gutter="0" w:footer="0" w:header="0"/>
        </w:sectPr>
      </w:pPr>
    </w:p>
    <w:bookmarkStart w:id="5" w:name="page6"/>
    <w:bookmarkEnd w:id="5"/>
    <w:p>
      <w:pPr>
        <w:jc w:val="right"/>
        <w:ind w:right="3339"/>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Portfolio Snapshot</w:t>
      </w:r>
    </w:p>
    <w:p>
      <w:pPr>
        <w:sectPr>
          <w:pgSz w:w="11900" w:h="16838" w:orient="portrait"/>
          <w:cols w:equalWidth="0" w:num="1">
            <w:col w:w="10239"/>
          </w:cols>
          <w:pgMar w:left="220" w:top="45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Dayton, OH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Wilkes-Barre, 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Woonsocket, 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[MAP OMITTED]</w:t>
      </w:r>
    </w:p>
    <w:p>
      <w:pPr>
        <w:spacing w:after="0" w:line="338" w:lineRule="exact"/>
        <w:rPr>
          <w:sz w:val="20"/>
          <w:szCs w:val="20"/>
          <w:color w:val="auto"/>
        </w:rPr>
      </w:pPr>
    </w:p>
    <w:p>
      <w:pPr>
        <w:sectPr>
          <w:pgSz w:w="11900" w:h="16838" w:orient="portrait"/>
          <w:cols w:equalWidth="0" w:num="2">
            <w:col w:w="2740" w:space="720"/>
            <w:col w:w="677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Headquarters -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Columbia, SC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Headquarters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Offices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 -Family Properties</w:t>
      </w:r>
    </w:p>
    <w:p>
      <w:pPr>
        <w:spacing w:after="0" w:line="338"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52 retail and 5 multi-family properties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Approximately 10.7 million square feet of GLA</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19 Eastern and Midwestern states represented</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5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[LOGO]</w:t>
            </w: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2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QUARTERLY SUPPLEMENTAL</w:t>
            </w:r>
          </w:p>
        </w:tc>
        <w:tc>
          <w:tcPr>
            <w:tcW w:w="19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w w:val="99"/>
              </w:rPr>
              <w:t>DISCLOSURE</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 2001</w:t>
            </w: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23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Management Team</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828"/>
        </w:trPr>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left="748"/>
              <w:spacing w:after="0"/>
              <w:rPr>
                <w:sz w:val="20"/>
                <w:szCs w:val="20"/>
                <w:color w:val="auto"/>
              </w:rPr>
            </w:pPr>
            <w:r>
              <w:rPr>
                <w:rFonts w:ascii="Courier New" w:cs="Courier New" w:eastAsia="Courier New" w:hAnsi="Courier New"/>
                <w:sz w:val="14"/>
                <w:szCs w:val="14"/>
                <w:color w:val="auto"/>
              </w:rPr>
              <w:t>Ross Dworman</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Chairman</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3"/>
          </w:tcPr>
          <w:p>
            <w:pPr>
              <w:jc w:val="center"/>
              <w:ind w:right="908"/>
              <w:spacing w:after="0"/>
              <w:rPr>
                <w:sz w:val="20"/>
                <w:szCs w:val="20"/>
                <w:color w:val="auto"/>
              </w:rPr>
            </w:pPr>
            <w:r>
              <w:rPr>
                <w:rFonts w:ascii="Courier New" w:cs="Courier New" w:eastAsia="Courier New" w:hAnsi="Courier New"/>
                <w:sz w:val="14"/>
                <w:szCs w:val="14"/>
                <w:color w:val="auto"/>
              </w:rPr>
              <w:t>Kenneth F. Bernstein</w:t>
            </w: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3"/>
          </w:tcPr>
          <w:p>
            <w:pPr>
              <w:jc w:val="center"/>
              <w:ind w:right="1008"/>
              <w:spacing w:after="0"/>
              <w:rPr>
                <w:sz w:val="20"/>
                <w:szCs w:val="20"/>
                <w:color w:val="auto"/>
              </w:rPr>
            </w:pPr>
            <w:r>
              <w:rPr>
                <w:rFonts w:ascii="Courier New" w:cs="Courier New" w:eastAsia="Courier New" w:hAnsi="Courier New"/>
                <w:sz w:val="14"/>
                <w:szCs w:val="14"/>
                <w:color w:val="auto"/>
              </w:rPr>
              <w:t>Chief Executive Officer and</w:t>
            </w: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President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6"/>
        </w:trPr>
        <w:tc>
          <w:tcPr>
            <w:tcW w:w="11120" w:type="dxa"/>
            <w:vAlign w:val="bottom"/>
            <w:gridSpan w:val="9"/>
          </w:tcPr>
          <w:p>
            <w:pPr>
              <w:ind w:left="78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64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64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Acquisitions</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Retail Leasing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Retail</w:t>
            </w:r>
          </w:p>
        </w:tc>
        <w:tc>
          <w:tcPr>
            <w:tcW w:w="440" w:type="dxa"/>
            <w:vAlign w:val="bottom"/>
          </w:tcPr>
          <w:p>
            <w:pPr>
              <w:spacing w:after="0"/>
              <w:rPr>
                <w:sz w:val="14"/>
                <w:szCs w:val="14"/>
                <w:color w:val="auto"/>
              </w:rPr>
            </w:pPr>
          </w:p>
        </w:tc>
        <w:tc>
          <w:tcPr>
            <w:tcW w:w="2580" w:type="dxa"/>
            <w:vAlign w:val="bottom"/>
          </w:tcPr>
          <w:p>
            <w:pPr>
              <w:ind w:left="780"/>
              <w:spacing w:after="0"/>
              <w:rPr>
                <w:sz w:val="20"/>
                <w:szCs w:val="20"/>
                <w:color w:val="auto"/>
              </w:rPr>
            </w:pPr>
            <w:r>
              <w:rPr>
                <w:rFonts w:ascii="Courier New" w:cs="Courier New" w:eastAsia="Courier New" w:hAnsi="Courier New"/>
                <w:sz w:val="14"/>
                <w:szCs w:val="14"/>
                <w:color w:val="auto"/>
              </w:rPr>
              <w:t>Construction and</w:t>
            </w:r>
          </w:p>
        </w:tc>
      </w:tr>
      <w:tr>
        <w:trPr>
          <w:trHeight w:val="166"/>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4"/>
                <w:szCs w:val="14"/>
                <w:color w:val="auto"/>
              </w:rPr>
              <w:t>Management</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Development</w:t>
            </w:r>
          </w:p>
        </w:tc>
      </w:tr>
      <w:tr>
        <w:trPr>
          <w:trHeight w:val="166"/>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Joel Braun</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Timothy J. Bruce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Joseph Napolitano</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Joseph W. Hogan</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Sr. VP, Acquisitions</w:t>
            </w:r>
          </w:p>
        </w:tc>
        <w:tc>
          <w:tcPr>
            <w:tcW w:w="2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Sr. VP, Dir. of Leasing</w:t>
            </w:r>
          </w:p>
        </w:tc>
        <w:tc>
          <w:tcPr>
            <w:tcW w:w="220" w:type="dxa"/>
            <w:vAlign w:val="bottom"/>
          </w:tcPr>
          <w:p>
            <w:pPr>
              <w:spacing w:after="0"/>
              <w:rPr>
                <w:sz w:val="14"/>
                <w:szCs w:val="14"/>
                <w:color w:val="auto"/>
              </w:rPr>
            </w:pPr>
          </w:p>
        </w:tc>
        <w:tc>
          <w:tcPr>
            <w:tcW w:w="382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Sr. VP, Retail Mgt.</w:t>
            </w:r>
          </w:p>
        </w:tc>
        <w:tc>
          <w:tcPr>
            <w:tcW w:w="440" w:type="dxa"/>
            <w:vAlign w:val="bottom"/>
          </w:tcPr>
          <w:p>
            <w:pPr>
              <w:spacing w:after="0"/>
              <w:rPr>
                <w:sz w:val="14"/>
                <w:szCs w:val="1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Sr. VP, Dir. of Construction</w:t>
            </w:r>
          </w:p>
        </w:tc>
      </w:tr>
      <w:tr>
        <w:trPr>
          <w:trHeight w:val="166"/>
        </w:trPr>
        <w:tc>
          <w:tcPr>
            <w:tcW w:w="1980" w:type="dxa"/>
            <w:vAlign w:val="bottom"/>
          </w:tcPr>
          <w:p>
            <w:pPr>
              <w:spacing w:after="0"/>
              <w:rPr>
                <w:sz w:val="14"/>
                <w:szCs w:val="14"/>
                <w:color w:val="auto"/>
              </w:rPr>
            </w:pP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Redevelopment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64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spacing w:after="0"/>
              <w:rPr>
                <w:sz w:val="14"/>
                <w:szCs w:val="14"/>
                <w:color w:val="auto"/>
              </w:rPr>
            </w:pP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64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spacing w:after="0"/>
              <w:rPr>
                <w:sz w:val="14"/>
                <w:szCs w:val="14"/>
                <w:color w:val="auto"/>
              </w:rPr>
            </w:pP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64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spacing w:after="0"/>
              <w:rPr>
                <w:sz w:val="14"/>
                <w:szCs w:val="14"/>
                <w:color w:val="auto"/>
              </w:rPr>
            </w:pP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88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93"/>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Gerard Thibodeaux</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Joseph Povinelli</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Robert Scholem</w:t>
            </w: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780"/>
              <w:spacing w:after="0"/>
              <w:rPr>
                <w:sz w:val="20"/>
                <w:szCs w:val="20"/>
                <w:color w:val="auto"/>
              </w:rPr>
            </w:pPr>
            <w:r>
              <w:rPr>
                <w:rFonts w:ascii="Courier New" w:cs="Courier New" w:eastAsia="Courier New" w:hAnsi="Courier New"/>
                <w:sz w:val="14"/>
                <w:szCs w:val="14"/>
                <w:color w:val="auto"/>
              </w:rPr>
              <w:t>Ronald Johnston</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VP, Southeast Leasing</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VP, Leasing</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VP, Property Mgt.</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780"/>
              <w:spacing w:after="0"/>
              <w:rPr>
                <w:sz w:val="20"/>
                <w:szCs w:val="20"/>
                <w:color w:val="auto"/>
              </w:rPr>
            </w:pPr>
            <w:r>
              <w:rPr>
                <w:rFonts w:ascii="Courier New" w:cs="Courier New" w:eastAsia="Courier New" w:hAnsi="Courier New"/>
                <w:sz w:val="14"/>
                <w:szCs w:val="14"/>
                <w:color w:val="auto"/>
              </w:rPr>
              <w:t>VP, Construction</w:t>
            </w:r>
          </w:p>
        </w:tc>
      </w:tr>
      <w:tr>
        <w:trPr>
          <w:trHeight w:val="166"/>
        </w:trPr>
        <w:tc>
          <w:tcPr>
            <w:tcW w:w="1980" w:type="dxa"/>
            <w:vAlign w:val="bottom"/>
          </w:tcPr>
          <w:p>
            <w:pPr>
              <w:spacing w:after="0"/>
              <w:rPr>
                <w:sz w:val="14"/>
                <w:szCs w:val="14"/>
                <w:color w:val="auto"/>
              </w:rPr>
            </w:pPr>
          </w:p>
        </w:tc>
        <w:tc>
          <w:tcPr>
            <w:tcW w:w="19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8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940"/>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Supervisors</w:t>
            </w: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Richard Brock</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Daniel Evangelista</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David Bourgery</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Kathleen Covert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2 Individuals</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Sr. Leasing Rep.</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Sr. Leasing Rep.</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Regional Prop. Mgr.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Regional Prop. Mgr.</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258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Harry Harmon</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Karalynn Maurer</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Peter Crumback</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Julia Namutka</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Leasing Rep.</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Leasing Rep.</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Regional Prop. Mgr.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Regional Prop. Mgr.</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Edward Cartas</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Thomas Donohue</w:t>
            </w:r>
          </w:p>
        </w:tc>
        <w:tc>
          <w:tcPr>
            <w:tcW w:w="25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Onsite Property Mgrs. |</w:t>
            </w:r>
          </w:p>
        </w:tc>
        <w:tc>
          <w:tcPr>
            <w:tcW w:w="25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90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CAD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Regional Prop. Mgr.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2 Individuals</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2580" w:type="dxa"/>
            <w:vAlign w:val="bottom"/>
          </w:tcPr>
          <w:p>
            <w:pPr>
              <w:spacing w:after="0"/>
              <w:rPr>
                <w:sz w:val="14"/>
                <w:szCs w:val="14"/>
                <w:color w:val="auto"/>
              </w:rPr>
            </w:pPr>
          </w:p>
        </w:tc>
      </w:tr>
    </w:tbl>
    <w:p>
      <w:pPr>
        <w:sectPr>
          <w:pgSz w:w="11900" w:h="16838" w:orient="portrait"/>
          <w:cols w:equalWidth="0" w:num="1">
            <w:col w:w="11120"/>
          </w:cols>
          <w:pgMar w:left="220" w:top="451" w:right="5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[RESTUBBED]</w:t>
            </w: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28"/>
        </w:trPr>
        <w:tc>
          <w:tcPr>
            <w:tcW w:w="7420" w:type="dxa"/>
            <w:vAlign w:val="bottom"/>
            <w:gridSpan w:val="6"/>
          </w:tcPr>
          <w:p>
            <w:pPr>
              <w:ind w:left="6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Residential</w:t>
            </w: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8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Finance and</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Management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Legal</w:t>
            </w:r>
          </w:p>
        </w:tc>
        <w:tc>
          <w:tcPr>
            <w:tcW w:w="1160" w:type="dxa"/>
            <w:vAlign w:val="bottom"/>
          </w:tcPr>
          <w:p>
            <w:pPr>
              <w:spacing w:after="0"/>
              <w:rPr>
                <w:sz w:val="14"/>
                <w:szCs w:val="14"/>
                <w:color w:val="auto"/>
              </w:rPr>
            </w:pPr>
          </w:p>
        </w:tc>
        <w:tc>
          <w:tcPr>
            <w:tcW w:w="268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Asset Management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Robert Masters</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Perry Kamerman</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Sr. VP, General Counsel</w:t>
            </w:r>
          </w:p>
        </w:tc>
        <w:tc>
          <w:tcPr>
            <w:tcW w:w="1160" w:type="dxa"/>
            <w:vAlign w:val="bottom"/>
          </w:tcPr>
          <w:p>
            <w:pPr>
              <w:ind w:left="740"/>
              <w:spacing w:after="0"/>
              <w:rPr>
                <w:sz w:val="20"/>
                <w:szCs w:val="20"/>
                <w:color w:val="auto"/>
              </w:rPr>
            </w:pPr>
            <w:r>
              <w:rPr>
                <w:rFonts w:ascii="Courier New" w:cs="Courier New" w:eastAsia="Courier New" w:hAnsi="Courier New"/>
                <w:sz w:val="5"/>
                <w:szCs w:val="5"/>
                <w:color w:val="auto"/>
                <w:w w:val="70"/>
              </w:rPr>
              <w:t>-------------------</w:t>
            </w:r>
          </w:p>
        </w:tc>
        <w:tc>
          <w:tcPr>
            <w:tcW w:w="3540" w:type="dxa"/>
            <w:vAlign w:val="bottom"/>
            <w:gridSpan w:val="3"/>
          </w:tcPr>
          <w:p>
            <w:pPr>
              <w:ind w:left="1220"/>
              <w:spacing w:after="0"/>
              <w:rPr>
                <w:sz w:val="20"/>
                <w:szCs w:val="20"/>
                <w:color w:val="auto"/>
              </w:rPr>
            </w:pPr>
            <w:r>
              <w:rPr>
                <w:rFonts w:ascii="Courier New" w:cs="Courier New" w:eastAsia="Courier New" w:hAnsi="Courier New"/>
                <w:sz w:val="14"/>
                <w:szCs w:val="14"/>
                <w:color w:val="auto"/>
              </w:rPr>
              <w:t>Sr. VP, Chief Financial</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Officer</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2"/>
          </w:tcPr>
          <w:p>
            <w:pPr>
              <w:ind w:left="600"/>
              <w:spacing w:after="0"/>
              <w:rPr>
                <w:sz w:val="20"/>
                <w:szCs w:val="20"/>
                <w:color w:val="auto"/>
              </w:rPr>
            </w:pPr>
            <w:r>
              <w:rPr>
                <w:rFonts w:ascii="Courier New" w:cs="Courier New" w:eastAsia="Courier New" w:hAnsi="Courier New"/>
                <w:sz w:val="7"/>
                <w:szCs w:val="7"/>
                <w:color w:val="auto"/>
                <w:w w:val="77"/>
              </w:rPr>
              <w:t>---------------------------------------------------------------</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Greg Sauter</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Carol Smrek</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Arnold Wachsberger</w:t>
            </w:r>
          </w:p>
        </w:tc>
        <w:tc>
          <w:tcPr>
            <w:tcW w:w="19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Maggie Hul</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Jon Grisham</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VP, Residential Mgt.</w:t>
            </w: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VP &amp; Counsel</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VP, Finance</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VP, Controller</w:t>
            </w:r>
          </w:p>
        </w:tc>
        <w:tc>
          <w:tcPr>
            <w:tcW w:w="1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VP, Dir. of</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Financial Reporting</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On-site Property</w:t>
            </w: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Managers</w:t>
            </w: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Karen Yamrus</w:t>
            </w:r>
          </w:p>
        </w:tc>
        <w:tc>
          <w:tcPr>
            <w:tcW w:w="2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Joseph Ginex</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Richard</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Hartmann</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Mardi Cezveci</w:t>
            </w:r>
          </w:p>
        </w:tc>
      </w:tr>
      <w:tr>
        <w:trPr>
          <w:trHeight w:val="166"/>
        </w:trPr>
        <w:tc>
          <w:tcPr>
            <w:tcW w:w="1300" w:type="dxa"/>
            <w:vAlign w:val="bottom"/>
          </w:tcPr>
          <w:p>
            <w:pPr>
              <w:spacing w:after="0"/>
              <w:rPr>
                <w:sz w:val="14"/>
                <w:szCs w:val="14"/>
                <w:color w:val="auto"/>
              </w:rPr>
            </w:pPr>
          </w:p>
        </w:tc>
        <w:tc>
          <w:tcPr>
            <w:tcW w:w="22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Asst. VP, Sr. Paralegal</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Associate</w:t>
            </w:r>
          </w:p>
        </w:tc>
        <w:tc>
          <w:tcPr>
            <w:tcW w:w="156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Assistant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Controller</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Mgmt Information</w:t>
            </w: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Systems</w:t>
            </w: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Paralegals</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2 Individuals</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Accountants</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Senior Lease Admin.</w:t>
            </w:r>
          </w:p>
        </w:tc>
        <w:tc>
          <w:tcPr>
            <w:tcW w:w="13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4 Individuals</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 Individuals</w:t>
            </w:r>
          </w:p>
        </w:tc>
        <w:tc>
          <w:tcPr>
            <w:tcW w:w="1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380"/>
          </w:cols>
          <w:pgMar w:left="220" w:top="451"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[LOGO]</w:t>
            </w:r>
          </w:p>
        </w:tc>
      </w:tr>
      <w:tr>
        <w:trPr>
          <w:trHeight w:val="166"/>
        </w:trPr>
        <w:tc>
          <w:tcPr>
            <w:tcW w:w="194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QUARTERLY SUPPLEMENTAL DISCLOSURE</w:t>
            </w:r>
          </w:p>
        </w:tc>
        <w:tc>
          <w:tcPr>
            <w:tcW w:w="63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3060" w:type="dxa"/>
            <w:vAlign w:val="bottom"/>
          </w:tcPr>
          <w:p>
            <w:pPr>
              <w:ind w:left="920"/>
              <w:spacing w:after="0"/>
              <w:rPr>
                <w:sz w:val="20"/>
                <w:szCs w:val="20"/>
                <w:color w:val="auto"/>
              </w:rPr>
            </w:pPr>
            <w:r>
              <w:rPr>
                <w:rFonts w:ascii="Courier New" w:cs="Courier New" w:eastAsia="Courier New" w:hAnsi="Courier New"/>
                <w:sz w:val="14"/>
                <w:szCs w:val="14"/>
                <w:color w:val="auto"/>
              </w:rPr>
              <w:t>MARCH 31, 2001</w:t>
            </w:r>
          </w:p>
        </w:tc>
        <w:tc>
          <w:tcPr>
            <w:tcW w:w="6300" w:type="dxa"/>
            <w:vAlign w:val="bottom"/>
          </w:tcPr>
          <w:p>
            <w:pPr>
              <w:spacing w:after="0"/>
              <w:rPr>
                <w:sz w:val="14"/>
                <w:szCs w:val="14"/>
                <w:color w:val="auto"/>
              </w:rPr>
            </w:pPr>
          </w:p>
        </w:tc>
      </w:tr>
      <w:tr>
        <w:trPr>
          <w:trHeight w:val="331"/>
        </w:trPr>
        <w:tc>
          <w:tcPr>
            <w:tcW w:w="1940" w:type="dxa"/>
            <w:vAlign w:val="bottom"/>
          </w:tcPr>
          <w:p>
            <w:pPr>
              <w:spacing w:after="0"/>
              <w:rPr>
                <w:sz w:val="24"/>
                <w:szCs w:val="24"/>
                <w:color w:val="auto"/>
              </w:rPr>
            </w:pP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Executive Management Team</w:t>
            </w:r>
          </w:p>
        </w:tc>
        <w:tc>
          <w:tcPr>
            <w:tcW w:w="6300" w:type="dxa"/>
            <w:vAlign w:val="bottom"/>
          </w:tcPr>
          <w:p>
            <w:pPr>
              <w:spacing w:after="0"/>
              <w:rPr>
                <w:sz w:val="24"/>
                <w:szCs w:val="24"/>
                <w:color w:val="auto"/>
              </w:rPr>
            </w:pPr>
          </w:p>
        </w:tc>
      </w:tr>
      <w:tr>
        <w:trPr>
          <w:trHeight w:val="663"/>
        </w:trPr>
        <w:tc>
          <w:tcPr>
            <w:tcW w:w="1940" w:type="dxa"/>
            <w:vAlign w:val="bottom"/>
          </w:tcPr>
          <w:p>
            <w:pPr>
              <w:spacing w:after="0"/>
              <w:rPr>
                <w:sz w:val="20"/>
                <w:szCs w:val="20"/>
                <w:color w:val="auto"/>
              </w:rPr>
            </w:pPr>
            <w:r>
              <w:rPr>
                <w:rFonts w:ascii="Courier New" w:cs="Courier New" w:eastAsia="Courier New" w:hAnsi="Courier New"/>
                <w:sz w:val="14"/>
                <w:szCs w:val="14"/>
                <w:color w:val="auto"/>
              </w:rPr>
              <w:t>Ross Dworman</w:t>
            </w:r>
          </w:p>
        </w:tc>
        <w:tc>
          <w:tcPr>
            <w:tcW w:w="30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Chairman of the Board</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Dworman assists with long-term strategic planning for the Company.</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Dworman was President and Chief Executive Officer of RD Capital,</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Inc. from 1987 until the merger of RD Capital with Mark Centers Trust in</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August of 1998, forming Acadia Realty Trust. From 1984 to 1987, Mr.</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Dworman was an associate at Odyssey Partners, L.P., a hedge fund engaged</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 leveraged buy-outs and real estate investment, and from 1981 until</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1984, he was a Financial Analyst for Salomon, Inc. Mr. Dworman received</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his Bachelor of Arts Degree from the University of Pennsylvania.</w:t>
            </w:r>
          </w:p>
        </w:tc>
      </w:tr>
      <w:tr>
        <w:trPr>
          <w:trHeight w:val="497"/>
        </w:trPr>
        <w:tc>
          <w:tcPr>
            <w:tcW w:w="1940" w:type="dxa"/>
            <w:vAlign w:val="bottom"/>
          </w:tcPr>
          <w:p>
            <w:pPr>
              <w:spacing w:after="0"/>
              <w:rPr>
                <w:sz w:val="20"/>
                <w:szCs w:val="20"/>
                <w:color w:val="auto"/>
              </w:rPr>
            </w:pPr>
            <w:r>
              <w:rPr>
                <w:rFonts w:ascii="Courier New" w:cs="Courier New" w:eastAsia="Courier New" w:hAnsi="Courier New"/>
                <w:sz w:val="14"/>
                <w:szCs w:val="14"/>
                <w:color w:val="auto"/>
              </w:rPr>
              <w:t>Kenneth F. Bernstein</w:t>
            </w:r>
          </w:p>
        </w:tc>
        <w:tc>
          <w:tcPr>
            <w:tcW w:w="30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Chief Executive Officer and</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Bernstein is responsible for strategic planning as well as</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overseeing all day to day activities of the Company including</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operations, acquisitions and capital markets. Mr. Bernstein served as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the Chief Operating Officer of RD Capital, Inc. from 1990 until the</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merger of RD Capital with Mark Centers Trust in August of 1998, forming</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Acadia Realty Trust. In such capacity, he was responsible for overseeing</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the day-to-day operations of RD Capital and its management companies,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Acadia Management Company LLC and Sound View Management LLC. Prior to</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joining RD Capital, Mr. Bernstein was an associate with the New York law</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firm of Battle Fowler, LLP, from 1986 to 1990. Mr. Bernstein received</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his Bachelor of Arts Degree from the University of Vermont and his Juris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Doctorate from Boston University School of Law.</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Joel Braun</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Senior Vice 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Braun is responsible for the sourcing and financial analysis of</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Acquisitions</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acquisition properties for Acadia. Previously, Mr. Braun was Director of</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Acquisitions and Finance for Rosenshein Associates, a regional shopping</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center developer based in New Rochelle, New York. During this time, Mr.</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Braun was instrumental in the initiation and formation of Kranzco Realty</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Trust, a publicly traded REIT. Mr. Braun holds a Bachelor's in Business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Administration from Boston University and a Master's Degree in Planning</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from John Hopkins University.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Timothy J. Bruce</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Senior Vice 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Bruce joined Acadia Realty Trust in December 1998 as Senior Vice</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Director of Leasing</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President, Director of Leasing. Mr. Bruce has more than 14 years of</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redevelopment and leasing experience. From April 1996 until joining</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Acadia Realty in December 1998, Mr. Bruce served as Vice President of</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the Strip Center Leasing Department at Pennsylvania Real Estate Trust</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where he was responsible for coordinating all leasing activity for the</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4.5 million square foot strip center portfolio. From 1985 to 1996, Mr.</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Bruce was with Equity Properties and Development, L.P. as Senior Vice</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President, Real Estate, his responsibilities included the management of</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the day-to-day activities of the Real Estate, Construction, and Merchant</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Coordination Departments. Mr. Bruce received a Bachelor of Arts Degree</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from the University of Illinois at Chicago School of Architecture and a</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Masters of Management from the J. L. Kellogg Graduate School of Business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at Northwestern University.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Joseph Hogan</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Senior Vice 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Most recently, Mr. Hogan served as Vice President with Kimco Realty</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Director of Construction</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Corporation (NYSE:KIM), where he was responsible for business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development and management of all retail and commercial construction</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projects for Kimco, in addition to outside customers and development</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companies. Prior to joining Kimco, he was with Konover Construction</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Company, a subsidiary of Konover &amp; Associates located in West Hartford,</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Connecticut, where he was responsible for construction projects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throughout the eastern half of the United States.</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Perry Kamerman</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Senior Vice 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Kamerman oversees all the financial activities and asset management</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Chief Financial Officer</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functions. Previously, he was the Chief Financial Officer of RD Capital,</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Inc. and its affiliates from 1995 until the merger of RD Capital with</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Mark Centers Trust in August of 1998, forming Acadia Realty Trust. From</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1984 to 1994, Mr. Kamerman served as the Controller and the Director of</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Asset Management for the American Continental Properties Group, an</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international real estate investment and development firm whose assets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exceeded $1 billion. Prior to this, he was an audit manager at E&amp;Y</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Kenneth Leventhal Real Estate Group. Mr. Kamerman is a Certified Public</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Accountant and received a Bachelor of Science in Accounting from the</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City University of New York in 1977.</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Robert Masters, Esq.</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Senior Vice 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Prior to joining Acadia in December 1994, Mr. Masters was General</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General Counsel,</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Counsel for API Asset Management for over five years, Senior Vice</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Corporate Secretary</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President Deputy General Counsel for European American Bank from 1985 to</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1990, and Vice President and Counsel for National Westminster Bank from</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1977 to 1985. Mr. Masters received his Bachelor of Arts from the City</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University of New York and a J.D. from New York University Law School.</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Masters is also a member of the New York Bar.</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Joseph M. Napolitano,</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Senior Vice President,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Mr. Napolitano is responsible for overseeing the retail property</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CPM</w:t>
            </w:r>
          </w:p>
        </w:tc>
        <w:tc>
          <w:tcPr>
            <w:tcW w:w="3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Director of Retail</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management department for Acadia Realty Trust. Prior to joining Acadia</w:t>
            </w:r>
          </w:p>
        </w:tc>
      </w:tr>
      <w:tr>
        <w:trPr>
          <w:trHeight w:val="166"/>
        </w:trPr>
        <w:tc>
          <w:tcPr>
            <w:tcW w:w="1940" w:type="dxa"/>
            <w:vAlign w:val="bottom"/>
          </w:tcPr>
          <w:p>
            <w:pPr>
              <w:spacing w:after="0"/>
              <w:rPr>
                <w:sz w:val="14"/>
                <w:szCs w:val="14"/>
                <w:color w:val="auto"/>
              </w:rPr>
            </w:pPr>
          </w:p>
        </w:tc>
        <w:tc>
          <w:tcPr>
            <w:tcW w:w="30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Property Management</w:t>
            </w: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 1995, Mr. Napolitano was employed by Rosen Associates Management</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Corp. as a Senior Property Manager overseeing a national portfolio of</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community shopping centers, and Roebling Management Co. as a Property</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Manager responsible for neighborhood and community shopping centers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nationally. Mr. Napolitano holds a Bachelor's in Business Administration</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from Adelphi University, Garden City, NY; and is a Certified Property</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Manager by the Institute of Property Management (IREM). Mr. Napolitano</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is also a member of the New York State Association of Realtors (NYSAR)</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International Council of Shopping Center (ICSC), Commercial Investment</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Real Estate Institute (CIREI), and the Building Owners and Managers</w:t>
            </w:r>
          </w:p>
        </w:tc>
      </w:tr>
      <w:tr>
        <w:trPr>
          <w:trHeight w:val="166"/>
        </w:trPr>
        <w:tc>
          <w:tcPr>
            <w:tcW w:w="1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Courier New" w:cs="Courier New" w:eastAsia="Courier New" w:hAnsi="Courier New"/>
                <w:sz w:val="14"/>
                <w:szCs w:val="14"/>
                <w:color w:val="auto"/>
              </w:rPr>
              <w:t>Institute (BOMI).</w:t>
            </w:r>
          </w:p>
        </w:tc>
      </w:tr>
    </w:tbl>
    <w:p>
      <w:pPr>
        <w:sectPr>
          <w:pgSz w:w="11900" w:h="16838" w:orient="portrait"/>
          <w:cols w:equalWidth="0" w:num="1">
            <w:col w:w="11300"/>
          </w:cols>
          <w:pgMar w:left="220" w:top="451" w:right="379" w:bottom="0" w:gutter="0" w:footer="0" w:header="0"/>
        </w:sectPr>
      </w:pPr>
    </w:p>
    <w:bookmarkStart w:id="9" w:name="page10"/>
    <w:bookmarkEnd w:id="9"/>
    <w:p>
      <w:pPr>
        <w:jc w:val="center"/>
        <w:ind w:right="259"/>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9019"/>
          </w:cols>
          <w:pgMar w:left="1440" w:top="307" w:right="1440" w:bottom="1440" w:gutter="0" w:footer="0" w:header="0"/>
        </w:sectPr>
      </w:pPr>
    </w:p>
    <w:bookmarkStart w:id="10" w:name="page11"/>
    <w:bookmarkEnd w:id="10"/>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ANNUAL SUPPLEMENTAL DISCLOSURE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2000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jc w:val="right"/>
              <w:ind w:right="15"/>
              <w:spacing w:after="0"/>
              <w:rPr>
                <w:sz w:val="20"/>
                <w:szCs w:val="20"/>
                <w:color w:val="auto"/>
              </w:rPr>
            </w:pPr>
            <w:r>
              <w:rPr>
                <w:rFonts w:ascii="Courier New" w:cs="Courier New" w:eastAsia="Courier New" w:hAnsi="Courier New"/>
                <w:sz w:val="14"/>
                <w:szCs w:val="14"/>
                <w:color w:val="auto"/>
              </w:rPr>
              <w:t>PORTFOLIO</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BREAKDOWN AND</w:t>
            </w: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gridSpan w:val="4"/>
          </w:tcPr>
          <w:p>
            <w:pPr>
              <w:ind w:left="2080"/>
              <w:spacing w:after="0"/>
              <w:rPr>
                <w:sz w:val="20"/>
                <w:szCs w:val="20"/>
                <w:color w:val="auto"/>
              </w:rPr>
            </w:pPr>
            <w:r>
              <w:rPr>
                <w:rFonts w:ascii="Courier New" w:cs="Courier New" w:eastAsia="Courier New" w:hAnsi="Courier New"/>
                <w:sz w:val="14"/>
                <w:szCs w:val="14"/>
                <w:color w:val="auto"/>
              </w:rPr>
              <w:t>NET ASSET VALUE ('NAV') ANALYSIS</w:t>
            </w: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Private Basis</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8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Number</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340" w:type="dxa"/>
            <w:vAlign w:val="bottom"/>
          </w:tcPr>
          <w:p>
            <w:pPr>
              <w:spacing w:after="0"/>
              <w:rPr>
                <w:sz w:val="14"/>
                <w:szCs w:val="14"/>
                <w:color w:val="auto"/>
              </w:rPr>
            </w:pPr>
          </w:p>
        </w:tc>
        <w:tc>
          <w:tcPr>
            <w:tcW w:w="294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Composite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Properties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 GLA</w:t>
            </w:r>
          </w:p>
        </w:tc>
        <w:tc>
          <w:tcPr>
            <w:tcW w:w="294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Cap Rate Range(B)</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GAV</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NAV</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 of Debt</w:t>
            </w:r>
          </w:p>
        </w:tc>
      </w:tr>
      <w:tr>
        <w:trPr>
          <w:trHeight w:val="166"/>
        </w:trPr>
        <w:tc>
          <w:tcPr>
            <w:tcW w:w="2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Core Retail Portfolio</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Stabilized</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26</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9.50%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10.50%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62%</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Redevelopments(C)</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spacing w:after="0"/>
              <w:rPr>
                <w:sz w:val="24"/>
                <w:szCs w:val="2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r>
      <w:tr>
        <w:trPr>
          <w:trHeight w:val="166"/>
        </w:trPr>
        <w:tc>
          <w:tcPr>
            <w:tcW w:w="2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134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Total Core Portfolio</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30</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9.50%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10.50%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77%</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64%</w:t>
            </w:r>
          </w:p>
        </w:tc>
      </w:tr>
      <w:tr>
        <w:trPr>
          <w:trHeight w:val="166"/>
        </w:trPr>
        <w:tc>
          <w:tcPr>
            <w:tcW w:w="2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134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Non-Core Portfolio</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22</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12.00%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13.00%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16%</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8.50%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9.50%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134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Total Non-Core Portfolio(A)</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10.00%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11.00%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2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134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Portfolio</w:t>
            </w:r>
          </w:p>
        </w:tc>
        <w:tc>
          <w:tcPr>
            <w:tcW w:w="6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57</w:t>
            </w:r>
          </w:p>
        </w:tc>
        <w:tc>
          <w:tcPr>
            <w:tcW w:w="56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9.75%</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10.75%</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68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44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 =========== ============ ============</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Equivalent Public Basis</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10.76%</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11.87%</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4560"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core portfolio ("Core Portfolio") is comprised of 26 stabilized and four redevelopment retail properties located in the Northeast, Midwest and Mid-Atlantic regions. The remaining 22 retail and five multi-family assets are considered non-core ("Non-Core Portfolio') and are either currently being marketed or are slated for future disposition.</w:t>
      </w:r>
    </w:p>
    <w:p>
      <w:pPr>
        <w:spacing w:after="0" w:line="164" w:lineRule="exact"/>
        <w:rPr>
          <w:rFonts w:ascii="Courier New" w:cs="Courier New" w:eastAsia="Courier New" w:hAnsi="Courier New"/>
          <w:sz w:val="14"/>
          <w:szCs w:val="14"/>
          <w:color w:val="auto"/>
        </w:rPr>
      </w:pPr>
    </w:p>
    <w:p>
      <w:pPr>
        <w:ind w:left="360" w:right="4480"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capitalization rates are based on private-basis NOI's. Private-basis NOI's are equal to public-basis NOI's less: (1) straight-line rents, (2) structural reserves of $0.15 per square foot for retail properties and $300 per unit reserve for residential properties and (3) 4% imputed management fees on effective rents. The above capitalization rates are based on those currently in place and are subject to future changes.</w:t>
      </w:r>
    </w:p>
    <w:p>
      <w:pPr>
        <w:spacing w:after="0" w:line="164" w:lineRule="exact"/>
        <w:rPr>
          <w:rFonts w:ascii="Courier New" w:cs="Courier New" w:eastAsia="Courier New" w:hAnsi="Courier New"/>
          <w:sz w:val="14"/>
          <w:szCs w:val="14"/>
          <w:color w:val="auto"/>
        </w:rPr>
      </w:pPr>
    </w:p>
    <w:p>
      <w:pPr>
        <w:ind w:left="360" w:right="4560" w:hanging="352"/>
        <w:spacing w:after="0" w:line="25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Redevelopment properties (reference page 41) are valued at 110% of net book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page 8 for additional notes related to portfolio valuation.</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380"/>
          </w:cols>
          <w:pgMar w:left="220" w:top="451" w:right="299" w:bottom="1440" w:gutter="0" w:footer="0" w:header="0"/>
        </w:sectPr>
      </w:pPr>
    </w:p>
    <w:bookmarkStart w:id="11" w:name="page12"/>
    <w:bookmarkEnd w:id="11"/>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ANNUAL SUPPLEMENTAL DISCLOSURE</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DECEMBER 31, 2000(1)</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Net Asset Value ('NAV') Calculation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ind w:left="2500"/>
              <w:spacing w:after="0"/>
              <w:rPr>
                <w:sz w:val="20"/>
                <w:szCs w:val="20"/>
                <w:color w:val="auto"/>
              </w:rPr>
            </w:pPr>
            <w:r>
              <w:rPr>
                <w:rFonts w:ascii="Courier New" w:cs="Courier New" w:eastAsia="Courier New" w:hAnsi="Courier New"/>
                <w:sz w:val="14"/>
                <w:szCs w:val="14"/>
                <w:color w:val="auto"/>
              </w:rPr>
              <w:t>(amounts 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97"/>
        </w:trPr>
        <w:tc>
          <w:tcPr>
            <w:tcW w:w="7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All</w:t>
            </w:r>
          </w:p>
        </w:tc>
        <w:tc>
          <w:tcPr>
            <w:tcW w:w="760" w:type="dxa"/>
            <w:vAlign w:val="bottom"/>
          </w:tcPr>
          <w:p>
            <w:pPr>
              <w:spacing w:after="0"/>
              <w:rPr>
                <w:sz w:val="24"/>
                <w:szCs w:val="2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Notes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Properties</w:t>
            </w:r>
          </w:p>
        </w:tc>
        <w:tc>
          <w:tcPr>
            <w:tcW w:w="76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331"/>
        </w:trPr>
        <w:tc>
          <w:tcPr>
            <w:tcW w:w="7580" w:type="dxa"/>
            <w:vAlign w:val="bottom"/>
          </w:tcPr>
          <w:p>
            <w:pPr>
              <w:ind w:left="5520"/>
              <w:spacing w:after="0"/>
              <w:rPr>
                <w:sz w:val="20"/>
                <w:szCs w:val="20"/>
                <w:color w:val="auto"/>
              </w:rPr>
            </w:pPr>
            <w:r>
              <w:rPr>
                <w:rFonts w:ascii="Courier New" w:cs="Courier New" w:eastAsia="Courier New" w:hAnsi="Courier New"/>
                <w:sz w:val="14"/>
                <w:szCs w:val="14"/>
                <w:color w:val="auto"/>
              </w:rPr>
              <w:t>Number of Properties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57</w:t>
            </w:r>
          </w:p>
        </w:tc>
        <w:tc>
          <w:tcPr>
            <w:tcW w:w="760" w:type="dxa"/>
            <w:vAlign w:val="bottom"/>
          </w:tcPr>
          <w:p>
            <w:pPr>
              <w:spacing w:after="0"/>
              <w:rPr>
                <w:sz w:val="24"/>
                <w:szCs w:val="2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Net Operating income ("NOI") for the quarter ended December 31, 2000 ("Quarterly NOI"):</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7580" w:type="dxa"/>
            <w:vAlign w:val="bottom"/>
          </w:tcPr>
          <w:p>
            <w:pPr>
              <w:ind w:left="360"/>
              <w:spacing w:after="0"/>
              <w:rPr>
                <w:sz w:val="20"/>
                <w:szCs w:val="20"/>
                <w:color w:val="auto"/>
              </w:rPr>
            </w:pPr>
            <w:r>
              <w:rPr>
                <w:rFonts w:ascii="Courier New" w:cs="Courier New" w:eastAsia="Courier New" w:hAnsi="Courier New"/>
                <w:sz w:val="14"/>
                <w:szCs w:val="14"/>
                <w:color w:val="auto"/>
              </w:rPr>
              <w:t>Consolidated Properties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$ 15,476</w:t>
            </w:r>
          </w:p>
        </w:tc>
        <w:tc>
          <w:tcPr>
            <w:tcW w:w="760" w:type="dxa"/>
            <w:vAlign w:val="bottom"/>
          </w:tcPr>
          <w:p>
            <w:pPr>
              <w:spacing w:after="0"/>
              <w:rPr>
                <w:sz w:val="24"/>
                <w:szCs w:val="24"/>
                <w:color w:val="auto"/>
              </w:rPr>
            </w:pPr>
          </w:p>
        </w:tc>
      </w:tr>
      <w:tr>
        <w:trPr>
          <w:trHeight w:val="166"/>
        </w:trPr>
        <w:tc>
          <w:tcPr>
            <w:tcW w:w="7580" w:type="dxa"/>
            <w:vAlign w:val="bottom"/>
          </w:tcPr>
          <w:p>
            <w:pPr>
              <w:ind w:left="360"/>
              <w:spacing w:after="0"/>
              <w:rPr>
                <w:sz w:val="20"/>
                <w:szCs w:val="20"/>
                <w:color w:val="auto"/>
              </w:rPr>
            </w:pPr>
            <w:r>
              <w:rPr>
                <w:rFonts w:ascii="Courier New" w:cs="Courier New" w:eastAsia="Courier New" w:hAnsi="Courier New"/>
                <w:sz w:val="14"/>
                <w:szCs w:val="14"/>
                <w:color w:val="auto"/>
              </w:rPr>
              <w:t>Unconsolidated Joint Ventures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686</w:t>
            </w:r>
          </w:p>
        </w:tc>
        <w:tc>
          <w:tcPr>
            <w:tcW w:w="76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7580" w:type="dxa"/>
            <w:vAlign w:val="bottom"/>
          </w:tcPr>
          <w:p>
            <w:pPr>
              <w:ind w:left="3800"/>
              <w:spacing w:after="0"/>
              <w:rPr>
                <w:sz w:val="20"/>
                <w:szCs w:val="20"/>
                <w:color w:val="auto"/>
              </w:rPr>
            </w:pPr>
            <w:r>
              <w:rPr>
                <w:rFonts w:ascii="Courier New" w:cs="Courier New" w:eastAsia="Courier New" w:hAnsi="Courier New"/>
                <w:sz w:val="14"/>
                <w:szCs w:val="14"/>
                <w:color w:val="auto"/>
              </w:rPr>
              <w:t>Total Quarterly NOI</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16,162</w:t>
            </w:r>
          </w:p>
        </w:tc>
        <w:tc>
          <w:tcPr>
            <w:tcW w:w="76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Less adjustments to Quarterly NOI:</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7580" w:type="dxa"/>
            <w:vAlign w:val="bottom"/>
          </w:tcPr>
          <w:p>
            <w:pPr>
              <w:ind w:left="180"/>
              <w:spacing w:after="0"/>
              <w:rPr>
                <w:sz w:val="20"/>
                <w:szCs w:val="20"/>
                <w:color w:val="auto"/>
              </w:rPr>
            </w:pPr>
            <w:r>
              <w:rPr>
                <w:rFonts w:ascii="Courier New" w:cs="Courier New" w:eastAsia="Courier New" w:hAnsi="Courier New"/>
                <w:sz w:val="14"/>
                <w:szCs w:val="14"/>
                <w:color w:val="auto"/>
              </w:rPr>
              <w:t>(a) Current quarter disposition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(926)</w:t>
            </w:r>
          </w:p>
        </w:tc>
        <w:tc>
          <w:tcPr>
            <w:tcW w:w="760" w:type="dxa"/>
            <w:vAlign w:val="bottom"/>
          </w:tcPr>
          <w:p>
            <w:pPr>
              <w:spacing w:after="0"/>
              <w:rPr>
                <w:sz w:val="14"/>
                <w:szCs w:val="14"/>
                <w:color w:val="auto"/>
              </w:rPr>
            </w:pPr>
          </w:p>
        </w:tc>
      </w:tr>
      <w:tr>
        <w:trPr>
          <w:trHeight w:val="166"/>
        </w:trPr>
        <w:tc>
          <w:tcPr>
            <w:tcW w:w="7580" w:type="dxa"/>
            <w:vAlign w:val="bottom"/>
          </w:tcPr>
          <w:p>
            <w:pPr>
              <w:ind w:left="180"/>
              <w:spacing w:after="0"/>
              <w:rPr>
                <w:sz w:val="20"/>
                <w:szCs w:val="20"/>
                <w:color w:val="auto"/>
              </w:rPr>
            </w:pPr>
            <w:r>
              <w:rPr>
                <w:rFonts w:ascii="Courier New" w:cs="Courier New" w:eastAsia="Courier New" w:hAnsi="Courier New"/>
                <w:sz w:val="14"/>
                <w:szCs w:val="14"/>
                <w:color w:val="auto"/>
              </w:rPr>
              <w:t>(b) Redevelopment properties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(512)</w:t>
            </w:r>
          </w:p>
        </w:tc>
        <w:tc>
          <w:tcPr>
            <w:tcW w:w="760" w:type="dxa"/>
            <w:vAlign w:val="bottom"/>
          </w:tcPr>
          <w:p>
            <w:pPr>
              <w:spacing w:after="0"/>
              <w:rPr>
                <w:sz w:val="14"/>
                <w:szCs w:val="14"/>
                <w:color w:val="auto"/>
              </w:rPr>
            </w:pPr>
          </w:p>
        </w:tc>
      </w:tr>
      <w:tr>
        <w:trPr>
          <w:trHeight w:val="166"/>
        </w:trPr>
        <w:tc>
          <w:tcPr>
            <w:tcW w:w="7580" w:type="dxa"/>
            <w:vAlign w:val="bottom"/>
          </w:tcPr>
          <w:p>
            <w:pPr>
              <w:ind w:left="180"/>
              <w:spacing w:after="0"/>
              <w:rPr>
                <w:sz w:val="20"/>
                <w:szCs w:val="20"/>
                <w:color w:val="auto"/>
              </w:rPr>
            </w:pPr>
            <w:r>
              <w:rPr>
                <w:rFonts w:ascii="Courier New" w:cs="Courier New" w:eastAsia="Courier New" w:hAnsi="Courier New"/>
                <w:sz w:val="14"/>
                <w:szCs w:val="14"/>
                <w:color w:val="auto"/>
              </w:rPr>
              <w:t>(c) Other adjustments to quarterly NOI</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(574)</w:t>
            </w:r>
          </w:p>
        </w:tc>
        <w:tc>
          <w:tcPr>
            <w:tcW w:w="76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Adjusted quarterly  NOI</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14,150</w:t>
            </w:r>
          </w:p>
        </w:tc>
        <w:tc>
          <w:tcPr>
            <w:tcW w:w="760" w:type="dxa"/>
            <w:vAlign w:val="bottom"/>
          </w:tcPr>
          <w:p>
            <w:pPr>
              <w:spacing w:after="0"/>
              <w:rPr>
                <w:sz w:val="24"/>
                <w:szCs w:val="2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x 4</w:t>
            </w:r>
          </w:p>
        </w:tc>
        <w:tc>
          <w:tcPr>
            <w:tcW w:w="76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PUBLIC BASIS ANNUALIZED NOI (Excluding S/L rents, dispostions and redevelopments)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56,600</w:t>
            </w:r>
          </w:p>
        </w:tc>
        <w:tc>
          <w:tcPr>
            <w:tcW w:w="76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Structural reserves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(1,872)</w:t>
            </w:r>
          </w:p>
        </w:tc>
        <w:tc>
          <w:tcPr>
            <w:tcW w:w="760" w:type="dxa"/>
            <w:vAlign w:val="bottom"/>
          </w:tcPr>
          <w:p>
            <w:pPr>
              <w:spacing w:after="0"/>
              <w:rPr>
                <w:sz w:val="24"/>
                <w:szCs w:val="24"/>
                <w:color w:val="auto"/>
              </w:rPr>
            </w:pP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Imputed management fees (4%)</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(3,447)</w:t>
            </w:r>
          </w:p>
        </w:tc>
        <w:tc>
          <w:tcPr>
            <w:tcW w:w="76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497"/>
        </w:trPr>
        <w:tc>
          <w:tcPr>
            <w:tcW w:w="7580" w:type="dxa"/>
            <w:vAlign w:val="bottom"/>
          </w:tcPr>
          <w:p>
            <w:pPr>
              <w:spacing w:after="0"/>
              <w:rPr>
                <w:sz w:val="20"/>
                <w:szCs w:val="20"/>
                <w:color w:val="auto"/>
              </w:rPr>
            </w:pPr>
            <w:r>
              <w:rPr>
                <w:rFonts w:ascii="Courier New" w:cs="Courier New" w:eastAsia="Courier New" w:hAnsi="Courier New"/>
                <w:sz w:val="14"/>
                <w:szCs w:val="14"/>
                <w:color w:val="auto"/>
              </w:rPr>
              <w:t>PRIVATE BASIS ANNUALIZED NOI (Excluding S/L rents, dispostions and redevelopments)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$ 51,281</w:t>
            </w:r>
          </w:p>
        </w:tc>
        <w:tc>
          <w:tcPr>
            <w:tcW w:w="760" w:type="dxa"/>
            <w:vAlign w:val="bottom"/>
          </w:tcPr>
          <w:p>
            <w:pPr>
              <w:spacing w:after="0"/>
              <w:rPr>
                <w:sz w:val="24"/>
                <w:szCs w:val="24"/>
                <w:color w:val="auto"/>
              </w:rPr>
            </w:pP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828"/>
        </w:trPr>
        <w:tc>
          <w:tcPr>
            <w:tcW w:w="7580" w:type="dxa"/>
            <w:vAlign w:val="bottom"/>
          </w:tcPr>
          <w:p>
            <w:pPr>
              <w:spacing w:after="0"/>
              <w:rPr>
                <w:sz w:val="20"/>
                <w:szCs w:val="20"/>
                <w:color w:val="auto"/>
              </w:rPr>
            </w:pPr>
            <w:r>
              <w:rPr>
                <w:rFonts w:ascii="Courier New" w:cs="Courier New" w:eastAsia="Courier New" w:hAnsi="Courier New"/>
                <w:sz w:val="14"/>
                <w:szCs w:val="14"/>
                <w:color w:val="auto"/>
              </w:rPr>
              <w:t>CAP RATE RANGES USED FOR VALUATION (Excluding Redevelopments):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7580" w:type="dxa"/>
            <w:vAlign w:val="bottom"/>
          </w:tcPr>
          <w:p>
            <w:pPr>
              <w:ind w:left="260"/>
              <w:spacing w:after="0"/>
              <w:rPr>
                <w:sz w:val="20"/>
                <w:szCs w:val="20"/>
                <w:color w:val="auto"/>
              </w:rPr>
            </w:pPr>
            <w:r>
              <w:rPr>
                <w:rFonts w:ascii="Courier New" w:cs="Courier New" w:eastAsia="Courier New" w:hAnsi="Courier New"/>
                <w:sz w:val="14"/>
                <w:szCs w:val="14"/>
                <w:color w:val="auto"/>
              </w:rPr>
              <w:t>Private Basis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10.75%</w:t>
            </w:r>
          </w:p>
        </w:tc>
        <w:tc>
          <w:tcPr>
            <w:tcW w:w="1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7580" w:type="dxa"/>
            <w:vAlign w:val="bottom"/>
          </w:tcPr>
          <w:p>
            <w:pPr>
              <w:ind w:left="260"/>
              <w:spacing w:after="0"/>
              <w:rPr>
                <w:sz w:val="20"/>
                <w:szCs w:val="20"/>
                <w:color w:val="auto"/>
              </w:rPr>
            </w:pPr>
            <w:r>
              <w:rPr>
                <w:rFonts w:ascii="Courier New" w:cs="Courier New" w:eastAsia="Courier New" w:hAnsi="Courier New"/>
                <w:sz w:val="14"/>
                <w:szCs w:val="14"/>
                <w:color w:val="auto"/>
              </w:rPr>
              <w:t>Equivalent Public Basis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11.87%</w:t>
            </w:r>
          </w:p>
        </w:tc>
        <w:tc>
          <w:tcPr>
            <w:tcW w:w="1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10.76%</w:t>
            </w: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Gross market value of real estate (excluding redevelopments)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477,033</w:t>
            </w:r>
          </w:p>
        </w:tc>
        <w:tc>
          <w:tcPr>
            <w:tcW w:w="1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525,959</w:t>
            </w: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Redevelopment properties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35,000</w:t>
            </w:r>
          </w:p>
        </w:tc>
        <w:tc>
          <w:tcPr>
            <w:tcW w:w="1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35,000</w:t>
            </w: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Value of other net assets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21,186</w:t>
            </w:r>
          </w:p>
        </w:tc>
        <w:tc>
          <w:tcPr>
            <w:tcW w:w="1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21,186</w:t>
            </w: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GROSS MARKET VALUE OF ASSETS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533,219</w:t>
            </w:r>
          </w:p>
        </w:tc>
        <w:tc>
          <w:tcPr>
            <w:tcW w:w="1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582,145</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Mortgage debt - Consolidated properties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(277,113)</w:t>
            </w:r>
          </w:p>
        </w:tc>
        <w:tc>
          <w:tcPr>
            <w:tcW w:w="1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(277,113)</w:t>
            </w:r>
          </w:p>
        </w:tc>
      </w:tr>
      <w:tr>
        <w:trPr>
          <w:trHeight w:val="166"/>
        </w:trPr>
        <w:tc>
          <w:tcPr>
            <w:tcW w:w="7580" w:type="dxa"/>
            <w:vAlign w:val="bottom"/>
          </w:tcPr>
          <w:p>
            <w:pPr>
              <w:ind w:left="1220"/>
              <w:spacing w:after="0"/>
              <w:rPr>
                <w:sz w:val="20"/>
                <w:szCs w:val="20"/>
                <w:color w:val="auto"/>
              </w:rPr>
            </w:pPr>
            <w:r>
              <w:rPr>
                <w:rFonts w:ascii="Courier New" w:cs="Courier New" w:eastAsia="Courier New" w:hAnsi="Courier New"/>
                <w:sz w:val="14"/>
                <w:szCs w:val="14"/>
                <w:color w:val="auto"/>
              </w:rPr>
              <w:t>- Unconsolidated Joint Ventures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(16,974)</w:t>
            </w:r>
          </w:p>
        </w:tc>
        <w:tc>
          <w:tcPr>
            <w:tcW w:w="1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(16,974)</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Preferred equity and Minority interest in majority owned partnerships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(4,712)</w:t>
            </w:r>
          </w:p>
        </w:tc>
        <w:tc>
          <w:tcPr>
            <w:tcW w:w="1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(4,712)</w:t>
            </w: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NET MARKET VALUE OF ASSETS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234,420</w:t>
            </w:r>
          </w:p>
        </w:tc>
        <w:tc>
          <w:tcPr>
            <w:tcW w:w="1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283,346</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Common shares and units outstanding as of December 31, 2000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34,955</w:t>
            </w:r>
          </w:p>
        </w:tc>
        <w:tc>
          <w:tcPr>
            <w:tcW w:w="1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34,955</w:t>
            </w: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NAV PER COMMON SHARE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w:t>
            </w:r>
          </w:p>
        </w:tc>
      </w:tr>
      <w:tr>
        <w:trPr>
          <w:trHeight w:val="166"/>
        </w:trPr>
        <w:tc>
          <w:tcPr>
            <w:tcW w:w="7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200"/>
          </w:cols>
          <w:pgMar w:left="220" w:top="451" w:right="47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Core Properties</w:t>
            </w:r>
          </w:p>
        </w:tc>
        <w:tc>
          <w:tcPr>
            <w:tcW w:w="120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354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tcPr>
          <w:p>
            <w:pPr>
              <w:ind w:left="5520"/>
              <w:spacing w:after="0"/>
              <w:rPr>
                <w:sz w:val="20"/>
                <w:szCs w:val="20"/>
                <w:color w:val="auto"/>
              </w:rPr>
            </w:pPr>
            <w:r>
              <w:rPr>
                <w:rFonts w:ascii="Courier New" w:cs="Courier New" w:eastAsia="Courier New" w:hAnsi="Courier New"/>
                <w:sz w:val="14"/>
                <w:szCs w:val="14"/>
                <w:color w:val="auto"/>
              </w:rPr>
              <w:t>Number of Properties</w:t>
            </w:r>
          </w:p>
        </w:tc>
        <w:tc>
          <w:tcPr>
            <w:tcW w:w="62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spacing w:after="0"/>
              <w:rPr>
                <w:sz w:val="24"/>
                <w:szCs w:val="2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Net Operating income ("NOI") for the quarter ended December 31, 2000 ("Quarterly NOI"):</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Stabilized</w:t>
            </w:r>
          </w:p>
        </w:tc>
        <w:tc>
          <w:tcPr>
            <w:tcW w:w="232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Redevelopments</w:t>
            </w:r>
          </w:p>
        </w:tc>
      </w:tr>
      <w:tr>
        <w:trPr>
          <w:trHeight w:val="166"/>
        </w:trPr>
        <w:tc>
          <w:tcPr>
            <w:tcW w:w="7580" w:type="dxa"/>
            <w:vAlign w:val="bottom"/>
          </w:tcPr>
          <w:p>
            <w:pPr>
              <w:spacing w:after="0"/>
              <w:rPr>
                <w:sz w:val="14"/>
                <w:szCs w:val="14"/>
                <w:color w:val="auto"/>
              </w:rPr>
            </w:pPr>
          </w:p>
        </w:tc>
        <w:tc>
          <w:tcPr>
            <w:tcW w:w="122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9"/>
              </w:rPr>
              <w:t>----------</w:t>
            </w:r>
          </w:p>
        </w:tc>
        <w:tc>
          <w:tcPr>
            <w:tcW w:w="232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7580" w:type="dxa"/>
            <w:vAlign w:val="bottom"/>
          </w:tcPr>
          <w:p>
            <w:pPr>
              <w:ind w:left="360"/>
              <w:spacing w:after="0"/>
              <w:rPr>
                <w:sz w:val="20"/>
                <w:szCs w:val="20"/>
                <w:color w:val="auto"/>
              </w:rPr>
            </w:pPr>
            <w:r>
              <w:rPr>
                <w:rFonts w:ascii="Courier New" w:cs="Courier New" w:eastAsia="Courier New" w:hAnsi="Courier New"/>
                <w:sz w:val="14"/>
                <w:szCs w:val="14"/>
                <w:color w:val="auto"/>
              </w:rPr>
              <w:t>Consolidated Properties</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8,886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$ 512</w:t>
            </w:r>
          </w:p>
        </w:tc>
        <w:tc>
          <w:tcPr>
            <w:tcW w:w="1200" w:type="dxa"/>
            <w:vAlign w:val="bottom"/>
          </w:tcPr>
          <w:p>
            <w:pPr>
              <w:spacing w:after="0"/>
              <w:rPr>
                <w:sz w:val="14"/>
                <w:szCs w:val="14"/>
                <w:color w:val="auto"/>
              </w:rPr>
            </w:pPr>
          </w:p>
        </w:tc>
      </w:tr>
      <w:tr>
        <w:trPr>
          <w:trHeight w:val="166"/>
        </w:trPr>
        <w:tc>
          <w:tcPr>
            <w:tcW w:w="7580" w:type="dxa"/>
            <w:vAlign w:val="bottom"/>
          </w:tcPr>
          <w:p>
            <w:pPr>
              <w:ind w:left="360"/>
              <w:spacing w:after="0"/>
              <w:rPr>
                <w:sz w:val="20"/>
                <w:szCs w:val="20"/>
                <w:color w:val="auto"/>
              </w:rPr>
            </w:pPr>
            <w:r>
              <w:rPr>
                <w:rFonts w:ascii="Courier New" w:cs="Courier New" w:eastAsia="Courier New" w:hAnsi="Courier New"/>
                <w:sz w:val="14"/>
                <w:szCs w:val="14"/>
                <w:color w:val="auto"/>
              </w:rPr>
              <w:t>Unconsolidated Joint Ventures</w:t>
            </w:r>
          </w:p>
        </w:tc>
        <w:tc>
          <w:tcPr>
            <w:tcW w:w="6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7580" w:type="dxa"/>
            <w:vAlign w:val="bottom"/>
          </w:tcPr>
          <w:p>
            <w:pPr>
              <w:ind w:left="3800"/>
              <w:spacing w:after="0"/>
              <w:rPr>
                <w:sz w:val="20"/>
                <w:szCs w:val="20"/>
                <w:color w:val="auto"/>
              </w:rPr>
            </w:pPr>
            <w:r>
              <w:rPr>
                <w:rFonts w:ascii="Courier New" w:cs="Courier New" w:eastAsia="Courier New" w:hAnsi="Courier New"/>
                <w:sz w:val="14"/>
                <w:szCs w:val="14"/>
                <w:color w:val="auto"/>
              </w:rPr>
              <w:t>Total Quarterly NOI</w:t>
            </w:r>
          </w:p>
        </w:tc>
        <w:tc>
          <w:tcPr>
            <w:tcW w:w="6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w:t>
            </w:r>
          </w:p>
        </w:tc>
        <w:tc>
          <w:tcPr>
            <w:tcW w:w="120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Less adjustments to Quarterly NOI:</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7580" w:type="dxa"/>
            <w:vAlign w:val="bottom"/>
          </w:tcPr>
          <w:p>
            <w:pPr>
              <w:ind w:left="180"/>
              <w:spacing w:after="0"/>
              <w:rPr>
                <w:sz w:val="20"/>
                <w:szCs w:val="20"/>
                <w:color w:val="auto"/>
              </w:rPr>
            </w:pPr>
            <w:r>
              <w:rPr>
                <w:rFonts w:ascii="Courier New" w:cs="Courier New" w:eastAsia="Courier New" w:hAnsi="Courier New"/>
                <w:sz w:val="14"/>
                <w:szCs w:val="14"/>
                <w:color w:val="auto"/>
              </w:rPr>
              <w:t>(a) Current quarter disposition</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580" w:type="dxa"/>
            <w:vAlign w:val="bottom"/>
          </w:tcPr>
          <w:p>
            <w:pPr>
              <w:ind w:left="180"/>
              <w:spacing w:after="0"/>
              <w:rPr>
                <w:sz w:val="20"/>
                <w:szCs w:val="20"/>
                <w:color w:val="auto"/>
              </w:rPr>
            </w:pPr>
            <w:r>
              <w:rPr>
                <w:rFonts w:ascii="Courier New" w:cs="Courier New" w:eastAsia="Courier New" w:hAnsi="Courier New"/>
                <w:sz w:val="14"/>
                <w:szCs w:val="14"/>
                <w:color w:val="auto"/>
              </w:rPr>
              <w:t>(b) Redevelopment properties</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w:t>
            </w:r>
          </w:p>
        </w:tc>
        <w:tc>
          <w:tcPr>
            <w:tcW w:w="1200" w:type="dxa"/>
            <w:vAlign w:val="bottom"/>
          </w:tcPr>
          <w:p>
            <w:pPr>
              <w:spacing w:after="0"/>
              <w:rPr>
                <w:sz w:val="14"/>
                <w:szCs w:val="14"/>
                <w:color w:val="auto"/>
              </w:rPr>
            </w:pPr>
          </w:p>
        </w:tc>
      </w:tr>
      <w:tr>
        <w:trPr>
          <w:trHeight w:val="166"/>
        </w:trPr>
        <w:tc>
          <w:tcPr>
            <w:tcW w:w="7580" w:type="dxa"/>
            <w:vAlign w:val="bottom"/>
          </w:tcPr>
          <w:p>
            <w:pPr>
              <w:ind w:left="180"/>
              <w:spacing w:after="0"/>
              <w:rPr>
                <w:sz w:val="20"/>
                <w:szCs w:val="20"/>
                <w:color w:val="auto"/>
              </w:rPr>
            </w:pPr>
            <w:r>
              <w:rPr>
                <w:rFonts w:ascii="Courier New" w:cs="Courier New" w:eastAsia="Courier New" w:hAnsi="Courier New"/>
                <w:sz w:val="14"/>
                <w:szCs w:val="14"/>
                <w:color w:val="auto"/>
              </w:rPr>
              <w:t>(c) Other adjustments to quarterly NOI</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Adjusted quarterly  NOI</w:t>
            </w:r>
          </w:p>
        </w:tc>
        <w:tc>
          <w:tcPr>
            <w:tcW w:w="62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9,158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4"/>
                <w:szCs w:val="24"/>
                <w:color w:val="auto"/>
              </w:rPr>
            </w:pPr>
          </w:p>
        </w:tc>
      </w:tr>
      <w:tr>
        <w:trPr>
          <w:trHeight w:val="166"/>
        </w:trPr>
        <w:tc>
          <w:tcPr>
            <w:tcW w:w="7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x 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PUBLIC BASIS ANNUALIZED NOI (Excluding S/L rents, dispostions and redevelopments)</w:t>
            </w:r>
          </w:p>
        </w:tc>
        <w:tc>
          <w:tcPr>
            <w:tcW w:w="6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36,632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Structural reserves</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4"/>
                <w:szCs w:val="24"/>
                <w:color w:val="auto"/>
              </w:rPr>
            </w:pP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Imputed management fees (4%)</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(2,165)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75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497"/>
        </w:trPr>
        <w:tc>
          <w:tcPr>
            <w:tcW w:w="7580" w:type="dxa"/>
            <w:vAlign w:val="bottom"/>
          </w:tcPr>
          <w:p>
            <w:pPr>
              <w:spacing w:after="0"/>
              <w:rPr>
                <w:sz w:val="20"/>
                <w:szCs w:val="20"/>
                <w:color w:val="auto"/>
              </w:rPr>
            </w:pPr>
            <w:r>
              <w:rPr>
                <w:rFonts w:ascii="Courier New" w:cs="Courier New" w:eastAsia="Courier New" w:hAnsi="Courier New"/>
                <w:sz w:val="14"/>
                <w:szCs w:val="14"/>
                <w:color w:val="auto"/>
              </w:rPr>
              <w:t>PRIVATE BASIS ANNUALIZED NOI (Excluding S/L rents, dispostions and redevelopments)</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33,745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24"/>
                <w:szCs w:val="24"/>
                <w:color w:val="auto"/>
              </w:rPr>
            </w:pPr>
          </w:p>
        </w:tc>
      </w:tr>
      <w:tr>
        <w:trPr>
          <w:trHeight w:val="166"/>
        </w:trPr>
        <w:tc>
          <w:tcPr>
            <w:tcW w:w="75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497"/>
        </w:trPr>
        <w:tc>
          <w:tcPr>
            <w:tcW w:w="7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Non-Core Properties</w:t>
            </w:r>
          </w:p>
        </w:tc>
      </w:tr>
      <w:tr>
        <w:trPr>
          <w:trHeight w:val="166"/>
        </w:trPr>
        <w:tc>
          <w:tcPr>
            <w:tcW w:w="7580" w:type="dxa"/>
            <w:vAlign w:val="bottom"/>
          </w:tcPr>
          <w:p>
            <w:pPr>
              <w:spacing w:after="0"/>
              <w:rPr>
                <w:sz w:val="14"/>
                <w:szCs w:val="14"/>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580" w:type="dxa"/>
            <w:vAlign w:val="bottom"/>
          </w:tcPr>
          <w:p>
            <w:pPr>
              <w:ind w:left="5520"/>
              <w:spacing w:after="0"/>
              <w:rPr>
                <w:sz w:val="20"/>
                <w:szCs w:val="20"/>
                <w:color w:val="auto"/>
              </w:rPr>
            </w:pPr>
            <w:r>
              <w:rPr>
                <w:rFonts w:ascii="Courier New" w:cs="Courier New" w:eastAsia="Courier New" w:hAnsi="Courier New"/>
                <w:sz w:val="14"/>
                <w:szCs w:val="14"/>
                <w:color w:val="auto"/>
              </w:rPr>
              <w:t>Number of Properties</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spacing w:after="0"/>
              <w:rPr>
                <w:sz w:val="14"/>
                <w:szCs w:val="14"/>
                <w:color w:val="auto"/>
              </w:rPr>
            </w:pPr>
          </w:p>
        </w:tc>
      </w:tr>
      <w:tr>
        <w:trPr>
          <w:trHeight w:val="331"/>
        </w:trPr>
        <w:tc>
          <w:tcPr>
            <w:tcW w:w="7580" w:type="dxa"/>
            <w:vAlign w:val="bottom"/>
          </w:tcPr>
          <w:p>
            <w:pPr>
              <w:spacing w:after="0"/>
              <w:rPr>
                <w:sz w:val="20"/>
                <w:szCs w:val="20"/>
                <w:color w:val="auto"/>
              </w:rPr>
            </w:pPr>
            <w:r>
              <w:rPr>
                <w:rFonts w:ascii="Courier New" w:cs="Courier New" w:eastAsia="Courier New" w:hAnsi="Courier New"/>
                <w:sz w:val="14"/>
                <w:szCs w:val="14"/>
                <w:color w:val="auto"/>
              </w:rPr>
              <w:t>Net Operating income ("NOI") for the quarter ended December 31, 2000 ("Quarterly NOI"):</w:t>
            </w:r>
          </w:p>
        </w:tc>
        <w:tc>
          <w:tcPr>
            <w:tcW w:w="12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Retail</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Residential</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Sold in 2000</w:t>
            </w:r>
          </w:p>
        </w:tc>
      </w:tr>
      <w:tr>
        <w:trPr>
          <w:trHeight w:val="166"/>
        </w:trPr>
        <w:tc>
          <w:tcPr>
            <w:tcW w:w="7580" w:type="dxa"/>
            <w:vAlign w:val="bottom"/>
          </w:tcPr>
          <w:p>
            <w:pPr>
              <w:spacing w:after="0"/>
              <w:rPr>
                <w:sz w:val="14"/>
                <w:szCs w:val="14"/>
                <w:color w:val="auto"/>
              </w:rPr>
            </w:pPr>
          </w:p>
        </w:tc>
        <w:tc>
          <w:tcPr>
            <w:tcW w:w="12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ind w:left="360"/>
              <w:spacing w:after="0"/>
              <w:rPr>
                <w:sz w:val="20"/>
                <w:szCs w:val="20"/>
                <w:color w:val="auto"/>
              </w:rPr>
            </w:pPr>
            <w:r>
              <w:rPr>
                <w:rFonts w:ascii="Courier New" w:cs="Courier New" w:eastAsia="Courier New" w:hAnsi="Courier New"/>
                <w:sz w:val="14"/>
                <w:szCs w:val="14"/>
                <w:color w:val="auto"/>
              </w:rPr>
              <w:t>Consolidated Properties</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2,826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$ 2,326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w:t>
            </w:r>
          </w:p>
        </w:tc>
      </w:tr>
      <w:tr>
        <w:trPr>
          <w:trHeight w:val="166"/>
        </w:trPr>
        <w:tc>
          <w:tcPr>
            <w:tcW w:w="7380" w:type="dxa"/>
            <w:vAlign w:val="bottom"/>
          </w:tcPr>
          <w:p>
            <w:pPr>
              <w:ind w:left="360"/>
              <w:spacing w:after="0"/>
              <w:rPr>
                <w:sz w:val="20"/>
                <w:szCs w:val="20"/>
                <w:color w:val="auto"/>
              </w:rPr>
            </w:pPr>
            <w:r>
              <w:rPr>
                <w:rFonts w:ascii="Courier New" w:cs="Courier New" w:eastAsia="Courier New" w:hAnsi="Courier New"/>
                <w:sz w:val="14"/>
                <w:szCs w:val="14"/>
                <w:color w:val="auto"/>
              </w:rPr>
              <w:t>Unconsolidated Joint Ventures</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ind w:left="3800"/>
              <w:spacing w:after="0"/>
              <w:rPr>
                <w:sz w:val="20"/>
                <w:szCs w:val="20"/>
                <w:color w:val="auto"/>
              </w:rPr>
            </w:pPr>
            <w:r>
              <w:rPr>
                <w:rFonts w:ascii="Courier New" w:cs="Courier New" w:eastAsia="Courier New" w:hAnsi="Courier New"/>
                <w:sz w:val="14"/>
                <w:szCs w:val="14"/>
                <w:color w:val="auto"/>
              </w:rPr>
              <w:t>Total Quarterly NOI</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2,326</w:t>
            </w:r>
          </w:p>
        </w:tc>
        <w:tc>
          <w:tcPr>
            <w:tcW w:w="5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w:t>
            </w:r>
          </w:p>
        </w:tc>
      </w:tr>
      <w:tr>
        <w:trPr>
          <w:trHeight w:val="331"/>
        </w:trPr>
        <w:tc>
          <w:tcPr>
            <w:tcW w:w="7380" w:type="dxa"/>
            <w:vAlign w:val="bottom"/>
          </w:tcPr>
          <w:p>
            <w:pPr>
              <w:spacing w:after="0"/>
              <w:rPr>
                <w:sz w:val="20"/>
                <w:szCs w:val="20"/>
                <w:color w:val="auto"/>
              </w:rPr>
            </w:pPr>
            <w:r>
              <w:rPr>
                <w:rFonts w:ascii="Courier New" w:cs="Courier New" w:eastAsia="Courier New" w:hAnsi="Courier New"/>
                <w:sz w:val="14"/>
                <w:szCs w:val="14"/>
                <w:color w:val="auto"/>
              </w:rPr>
              <w:t>Less adjustments to Quarterly NOI:</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7380" w:type="dxa"/>
            <w:vAlign w:val="bottom"/>
          </w:tcPr>
          <w:p>
            <w:pPr>
              <w:ind w:left="180"/>
              <w:spacing w:after="0"/>
              <w:rPr>
                <w:sz w:val="20"/>
                <w:szCs w:val="20"/>
                <w:color w:val="auto"/>
              </w:rPr>
            </w:pPr>
            <w:r>
              <w:rPr>
                <w:rFonts w:ascii="Courier New" w:cs="Courier New" w:eastAsia="Courier New" w:hAnsi="Courier New"/>
                <w:sz w:val="14"/>
                <w:szCs w:val="14"/>
                <w:color w:val="auto"/>
              </w:rPr>
              <w:t>(a) Current quarter disposition</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6"/>
        </w:trPr>
        <w:tc>
          <w:tcPr>
            <w:tcW w:w="7380" w:type="dxa"/>
            <w:vAlign w:val="bottom"/>
          </w:tcPr>
          <w:p>
            <w:pPr>
              <w:ind w:left="180"/>
              <w:spacing w:after="0"/>
              <w:rPr>
                <w:sz w:val="20"/>
                <w:szCs w:val="20"/>
                <w:color w:val="auto"/>
              </w:rPr>
            </w:pPr>
            <w:r>
              <w:rPr>
                <w:rFonts w:ascii="Courier New" w:cs="Courier New" w:eastAsia="Courier New" w:hAnsi="Courier New"/>
                <w:sz w:val="14"/>
                <w:szCs w:val="14"/>
                <w:color w:val="auto"/>
              </w:rPr>
              <w:t>(b) Redevelopment properties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380" w:type="dxa"/>
            <w:vAlign w:val="bottom"/>
          </w:tcPr>
          <w:p>
            <w:pPr>
              <w:ind w:left="180"/>
              <w:spacing w:after="0"/>
              <w:rPr>
                <w:sz w:val="20"/>
                <w:szCs w:val="20"/>
                <w:color w:val="auto"/>
              </w:rPr>
            </w:pPr>
            <w:r>
              <w:rPr>
                <w:rFonts w:ascii="Courier New" w:cs="Courier New" w:eastAsia="Courier New" w:hAnsi="Courier New"/>
                <w:sz w:val="14"/>
                <w:szCs w:val="14"/>
                <w:color w:val="auto"/>
              </w:rPr>
              <w:t>(c) Other adjustments to quarterly NOI</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380" w:type="dxa"/>
            <w:vAlign w:val="bottom"/>
          </w:tcPr>
          <w:p>
            <w:pPr>
              <w:spacing w:after="0"/>
              <w:rPr>
                <w:sz w:val="20"/>
                <w:szCs w:val="20"/>
                <w:color w:val="auto"/>
              </w:rPr>
            </w:pPr>
            <w:r>
              <w:rPr>
                <w:rFonts w:ascii="Courier New" w:cs="Courier New" w:eastAsia="Courier New" w:hAnsi="Courier New"/>
                <w:sz w:val="14"/>
                <w:szCs w:val="14"/>
                <w:color w:val="auto"/>
              </w:rPr>
              <w:t>Adjusted quarterly  NOI</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2,329</w:t>
            </w:r>
          </w:p>
        </w:tc>
        <w:tc>
          <w:tcPr>
            <w:tcW w:w="520" w:type="dxa"/>
            <w:vAlign w:val="bottom"/>
          </w:tcPr>
          <w:p>
            <w:pPr>
              <w:spacing w:after="0"/>
              <w:rPr>
                <w:sz w:val="24"/>
                <w:szCs w:val="2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x 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x 4</w:t>
            </w:r>
          </w:p>
        </w:tc>
        <w:tc>
          <w:tcPr>
            <w:tcW w:w="5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20"/>
                <w:szCs w:val="20"/>
                <w:color w:val="auto"/>
              </w:rPr>
            </w:pPr>
            <w:r>
              <w:rPr>
                <w:rFonts w:ascii="Courier New" w:cs="Courier New" w:eastAsia="Courier New" w:hAnsi="Courier New"/>
                <w:sz w:val="14"/>
                <w:szCs w:val="14"/>
                <w:color w:val="auto"/>
              </w:rPr>
              <w:t>PUBLIC BASIS ANNUALIZED NOI (Excluding S/L rents, dispostions and redevelopments)</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10,652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9,316</w:t>
            </w:r>
          </w:p>
        </w:tc>
        <w:tc>
          <w:tcPr>
            <w:tcW w:w="5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380" w:type="dxa"/>
            <w:vAlign w:val="bottom"/>
          </w:tcPr>
          <w:p>
            <w:pPr>
              <w:spacing w:after="0"/>
              <w:rPr>
                <w:sz w:val="20"/>
                <w:szCs w:val="20"/>
                <w:color w:val="auto"/>
              </w:rPr>
            </w:pPr>
            <w:r>
              <w:rPr>
                <w:rFonts w:ascii="Courier New" w:cs="Courier New" w:eastAsia="Courier New" w:hAnsi="Courier New"/>
                <w:sz w:val="14"/>
                <w:szCs w:val="14"/>
                <w:color w:val="auto"/>
              </w:rPr>
              <w:t>Structural reserves</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(682)</w:t>
            </w:r>
          </w:p>
        </w:tc>
        <w:tc>
          <w:tcPr>
            <w:tcW w:w="520" w:type="dxa"/>
            <w:vAlign w:val="bottom"/>
          </w:tcPr>
          <w:p>
            <w:pPr>
              <w:spacing w:after="0"/>
              <w:rPr>
                <w:sz w:val="24"/>
                <w:szCs w:val="2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20"/>
                <w:szCs w:val="20"/>
                <w:color w:val="auto"/>
              </w:rPr>
            </w:pPr>
            <w:r>
              <w:rPr>
                <w:rFonts w:ascii="Courier New" w:cs="Courier New" w:eastAsia="Courier New" w:hAnsi="Courier New"/>
                <w:sz w:val="14"/>
                <w:szCs w:val="14"/>
                <w:color w:val="auto"/>
              </w:rPr>
              <w:t>Imputed management fees (4%)</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(659)</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(623)</w:t>
            </w:r>
          </w:p>
        </w:tc>
        <w:tc>
          <w:tcPr>
            <w:tcW w:w="5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7380" w:type="dxa"/>
            <w:vAlign w:val="bottom"/>
          </w:tcPr>
          <w:p>
            <w:pPr>
              <w:spacing w:after="0"/>
              <w:rPr>
                <w:sz w:val="20"/>
                <w:szCs w:val="20"/>
                <w:color w:val="auto"/>
              </w:rPr>
            </w:pPr>
            <w:r>
              <w:rPr>
                <w:rFonts w:ascii="Courier New" w:cs="Courier New" w:eastAsia="Courier New" w:hAnsi="Courier New"/>
                <w:sz w:val="14"/>
                <w:szCs w:val="14"/>
                <w:color w:val="auto"/>
              </w:rPr>
              <w:t>PRIVATE BASIS ANNUALIZED NOI (Excluding S/L rents, dispostions and redevelopments)</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$ 9,525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$ 8,011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38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120"/>
          </w:cols>
          <w:pgMar w:left="220" w:top="948" w:right="55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3339" w:hanging="352"/>
        <w:spacing w:after="0" w:line="252"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enclosed Net Asset Value ("NAV") calculation is computed as of December 31, 2000. NAV is computed at the end of each year and will be updated during the year only if a significant change in any determinant of NAV occurs.</w:t>
      </w:r>
    </w:p>
    <w:p>
      <w:pPr>
        <w:spacing w:after="0" w:line="162" w:lineRule="exact"/>
        <w:rPr>
          <w:rFonts w:ascii="Courier New" w:cs="Courier New" w:eastAsia="Courier New" w:hAnsi="Courier New"/>
          <w:sz w:val="14"/>
          <w:szCs w:val="14"/>
          <w:color w:val="auto"/>
        </w:rPr>
      </w:pPr>
    </w:p>
    <w:p>
      <w:pPr>
        <w:ind w:left="360" w:right="4199"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NOI's exclude an aggreagate $321 of straight-line rents and $35 of non-recurring items.</w:t>
      </w:r>
    </w:p>
    <w:p>
      <w:pPr>
        <w:spacing w:after="0" w:line="159"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Structural reserves represent a $0.15 per square foot replacement reserve for retail properties and $300 per unit reserve for residential properties.</w:t>
      </w:r>
    </w:p>
    <w:p>
      <w:pPr>
        <w:spacing w:after="0" w:line="159"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values exclude the value of third party management contracts, anticipated profits from redevelopments and any transaction costs associated with liquidating the properties. Transaction costs associated with the disposition of non-core properties are estimated to range from $0.10 to $0.15 per share</w:t>
      </w:r>
    </w:p>
    <w:p>
      <w:pPr>
        <w:spacing w:after="0" w:line="164"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capitalization rates are based on those currently in place and are subject to future changes.</w:t>
      </w:r>
    </w:p>
    <w:p>
      <w:pPr>
        <w:spacing w:after="0" w:line="159"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Redevelopment properties (reference page 41) are valued at 110% of their net book value</w:t>
      </w:r>
    </w:p>
    <w:p>
      <w:pPr>
        <w:spacing w:after="0" w:line="159" w:lineRule="exact"/>
        <w:rPr>
          <w:rFonts w:ascii="Courier New" w:cs="Courier New" w:eastAsia="Courier New" w:hAnsi="Courier New"/>
          <w:sz w:val="14"/>
          <w:szCs w:val="14"/>
          <w:color w:val="auto"/>
        </w:rPr>
      </w:pPr>
    </w:p>
    <w:p>
      <w:pPr>
        <w:ind w:left="360" w:right="4199"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annualization of 4th quarter NOI, adjusted downward for seasonality and certain non-recurring items.</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other net assets is comprised of the following:</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5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$ 22,167</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Cash in escrow</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5,213</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Rents receivable, net of allowance and unbilled (straight-line)</w:t>
            </w:r>
          </w:p>
        </w:tc>
        <w:tc>
          <w:tcPr>
            <w:tcW w:w="920" w:type="dxa"/>
            <w:vAlign w:val="bottom"/>
          </w:tcPr>
          <w:p>
            <w:pPr>
              <w:spacing w:after="0"/>
              <w:rPr>
                <w:sz w:val="14"/>
                <w:szCs w:val="14"/>
                <w:color w:val="auto"/>
              </w:rPr>
            </w:pP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rent of $4,098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5,569</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2,905</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Other Assets (Less Furn. &amp; Fixt. And other intangible)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1,568</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Due to related parties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(7,705)</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Distributions payable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(4,241)</w:t>
            </w:r>
          </w:p>
        </w:tc>
      </w:tr>
      <w:tr>
        <w:trPr>
          <w:trHeight w:val="166"/>
        </w:trPr>
        <w:tc>
          <w:tcPr>
            <w:tcW w:w="55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(4,179)</w:t>
            </w:r>
          </w:p>
        </w:tc>
      </w:tr>
      <w:tr>
        <w:trPr>
          <w:trHeight w:val="166"/>
        </w:trPr>
        <w:tc>
          <w:tcPr>
            <w:tcW w:w="5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$ 21,186</w:t>
            </w:r>
          </w:p>
        </w:tc>
      </w:tr>
      <w:tr>
        <w:trPr>
          <w:trHeight w:val="166"/>
        </w:trPr>
        <w:tc>
          <w:tcPr>
            <w:tcW w:w="5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40" w:type="dxa"/>
            <w:vAlign w:val="bottom"/>
          </w:tcPr>
          <w:p>
            <w:pPr>
              <w:ind w:left="2840"/>
              <w:spacing w:after="0"/>
              <w:rPr>
                <w:sz w:val="20"/>
                <w:szCs w:val="20"/>
                <w:color w:val="auto"/>
              </w:rPr>
            </w:pPr>
            <w:r>
              <w:rPr>
                <w:rFonts w:ascii="Courier New" w:cs="Courier New" w:eastAsia="Courier New" w:hAnsi="Courier New"/>
                <w:sz w:val="14"/>
                <w:szCs w:val="14"/>
                <w:color w:val="auto"/>
              </w:rPr>
              <w:t>Page 1</w:t>
            </w:r>
          </w:p>
        </w:tc>
        <w:tc>
          <w:tcPr>
            <w:tcW w:w="9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[LOGO]</w:t>
            </w:r>
          </w:p>
        </w:tc>
        <w:tc>
          <w:tcPr>
            <w:tcW w:w="1360" w:type="dxa"/>
            <w:vAlign w:val="bottom"/>
          </w:tcPr>
          <w:p>
            <w:pPr>
              <w:spacing w:after="0"/>
              <w:rPr>
                <w:sz w:val="14"/>
                <w:szCs w:val="14"/>
                <w:color w:val="auto"/>
              </w:rPr>
            </w:pPr>
          </w:p>
        </w:tc>
      </w:tr>
      <w:tr>
        <w:trPr>
          <w:trHeight w:val="331"/>
        </w:trPr>
        <w:tc>
          <w:tcPr>
            <w:tcW w:w="5100" w:type="dxa"/>
            <w:vAlign w:val="bottom"/>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5100" w:type="dxa"/>
            <w:vAlign w:val="bottom"/>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1"/>
        </w:trPr>
        <w:tc>
          <w:tcPr>
            <w:tcW w:w="5100" w:type="dxa"/>
            <w:vAlign w:val="bottom"/>
          </w:tcPr>
          <w:p>
            <w:pPr>
              <w:ind w:left="2340"/>
              <w:spacing w:after="0"/>
              <w:rPr>
                <w:sz w:val="20"/>
                <w:szCs w:val="20"/>
                <w:color w:val="auto"/>
              </w:rPr>
            </w:pPr>
            <w:r>
              <w:rPr>
                <w:rFonts w:ascii="Courier New" w:cs="Courier New" w:eastAsia="Courier New" w:hAnsi="Courier New"/>
                <w:sz w:val="14"/>
                <w:szCs w:val="14"/>
                <w:color w:val="auto"/>
              </w:rPr>
              <w:t>Total Market Capitalization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7"/>
        </w:trPr>
        <w:tc>
          <w:tcPr>
            <w:tcW w:w="5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51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Percent of</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Total Market</w:t>
            </w:r>
          </w:p>
        </w:tc>
      </w:tr>
      <w:tr>
        <w:trPr>
          <w:trHeight w:val="166"/>
        </w:trPr>
        <w:tc>
          <w:tcPr>
            <w:tcW w:w="5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Total Equity</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Capitalization</w:t>
            </w:r>
          </w:p>
        </w:tc>
      </w:tr>
      <w:tr>
        <w:trPr>
          <w:trHeight w:val="166"/>
        </w:trPr>
        <w:tc>
          <w:tcPr>
            <w:tcW w:w="5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Common Shares Outstanding</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79.8%</w:t>
            </w:r>
          </w:p>
        </w:tc>
        <w:tc>
          <w:tcPr>
            <w:tcW w:w="48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28,011,672(1)</w:t>
            </w:r>
          </w:p>
        </w:tc>
        <w:tc>
          <w:tcPr>
            <w:tcW w:w="1360" w:type="dxa"/>
            <w:vAlign w:val="bottom"/>
          </w:tcPr>
          <w:p>
            <w:pPr>
              <w:spacing w:after="0"/>
              <w:rPr>
                <w:sz w:val="24"/>
                <w:szCs w:val="2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Common O.P. Units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w:t>
            </w:r>
          </w:p>
        </w:tc>
        <w:tc>
          <w:tcPr>
            <w:tcW w:w="4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6,804,144</w:t>
            </w:r>
          </w:p>
        </w:tc>
        <w:tc>
          <w:tcPr>
            <w:tcW w:w="1360" w:type="dxa"/>
            <w:vAlign w:val="bottom"/>
          </w:tcPr>
          <w:p>
            <w:pPr>
              <w:spacing w:after="0"/>
              <w:rPr>
                <w:sz w:val="14"/>
                <w:szCs w:val="14"/>
                <w:color w:val="auto"/>
              </w:rPr>
            </w:pPr>
          </w:p>
        </w:tc>
      </w:tr>
      <w:tr>
        <w:trPr>
          <w:trHeight w:val="166"/>
        </w:trPr>
        <w:tc>
          <w:tcPr>
            <w:tcW w:w="5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Combined Common Shares and O.P. Units</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34,815,816</w:t>
            </w:r>
          </w:p>
        </w:tc>
        <w:tc>
          <w:tcPr>
            <w:tcW w:w="1360" w:type="dxa"/>
            <w:vAlign w:val="bottom"/>
          </w:tcPr>
          <w:p>
            <w:pPr>
              <w:spacing w:after="0"/>
              <w:rPr>
                <w:sz w:val="14"/>
                <w:szCs w:val="14"/>
                <w:color w:val="auto"/>
              </w:rPr>
            </w:pP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Market Price as of March 31, 2001</w:t>
            </w: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w:t>
            </w:r>
          </w:p>
        </w:tc>
        <w:tc>
          <w:tcPr>
            <w:tcW w:w="1360" w:type="dxa"/>
            <w:vAlign w:val="bottom"/>
          </w:tcPr>
          <w:p>
            <w:pPr>
              <w:spacing w:after="0"/>
              <w:rPr>
                <w:sz w:val="24"/>
                <w:szCs w:val="24"/>
                <w:color w:val="auto"/>
              </w:rPr>
            </w:pPr>
          </w:p>
        </w:tc>
      </w:tr>
      <w:tr>
        <w:trPr>
          <w:trHeight w:val="166"/>
        </w:trPr>
        <w:tc>
          <w:tcPr>
            <w:tcW w:w="5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Equity Capitalization - Common Shares and O.P. Units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219,339,641</w:t>
            </w:r>
          </w:p>
        </w:tc>
        <w:tc>
          <w:tcPr>
            <w:tcW w:w="1360" w:type="dxa"/>
            <w:vAlign w:val="bottom"/>
          </w:tcPr>
          <w:p>
            <w:pPr>
              <w:spacing w:after="0"/>
              <w:rPr>
                <w:sz w:val="24"/>
                <w:szCs w:val="24"/>
                <w:color w:val="auto"/>
              </w:rPr>
            </w:pP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Preferred O.P. Units - at cost(2)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spacing w:after="0"/>
              <w:rPr>
                <w:sz w:val="24"/>
                <w:szCs w:val="2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2,212,000</w:t>
            </w:r>
          </w:p>
        </w:tc>
        <w:tc>
          <w:tcPr>
            <w:tcW w:w="1360" w:type="dxa"/>
            <w:vAlign w:val="bottom"/>
          </w:tcPr>
          <w:p>
            <w:pPr>
              <w:spacing w:after="0"/>
              <w:rPr>
                <w:sz w:val="24"/>
                <w:szCs w:val="24"/>
                <w:color w:val="auto"/>
              </w:rPr>
            </w:pPr>
          </w:p>
        </w:tc>
      </w:tr>
      <w:tr>
        <w:trPr>
          <w:trHeight w:val="166"/>
        </w:trPr>
        <w:tc>
          <w:tcPr>
            <w:tcW w:w="51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Equity Capitalization</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480" w:type="dxa"/>
            <w:vAlign w:val="bottom"/>
          </w:tcPr>
          <w:p>
            <w:pPr>
              <w:spacing w:after="0"/>
              <w:rPr>
                <w:sz w:val="24"/>
                <w:szCs w:val="2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221,551,641</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w:t>
            </w:r>
          </w:p>
        </w:tc>
      </w:tr>
      <w:tr>
        <w:trPr>
          <w:trHeight w:val="166"/>
        </w:trPr>
        <w:tc>
          <w:tcPr>
            <w:tcW w:w="51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Debt Capitalization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271,386,942</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Market Capitalization</w:t>
            </w:r>
          </w:p>
        </w:tc>
        <w:tc>
          <w:tcPr>
            <w:tcW w:w="1240" w:type="dxa"/>
            <w:vAlign w:val="bottom"/>
          </w:tcPr>
          <w:p>
            <w:pPr>
              <w:spacing w:after="0"/>
              <w:rPr>
                <w:sz w:val="24"/>
                <w:szCs w:val="24"/>
                <w:color w:val="auto"/>
              </w:rPr>
            </w:pP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$492,938,583</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Weighted Average Outstanding</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Common Shares and O.P. Units</w:t>
            </w: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2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Common</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Shares(1)</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 Units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Quarter ended March 31, 2001</w:t>
            </w:r>
          </w:p>
        </w:tc>
        <w:tc>
          <w:tcPr>
            <w:tcW w:w="3020" w:type="dxa"/>
            <w:vAlign w:val="bottom"/>
          </w:tcPr>
          <w:p>
            <w:pPr>
              <w:ind w:left="140"/>
              <w:spacing w:after="0"/>
              <w:rPr>
                <w:sz w:val="20"/>
                <w:szCs w:val="20"/>
                <w:color w:val="auto"/>
              </w:rPr>
            </w:pPr>
            <w:r>
              <w:rPr>
                <w:rFonts w:ascii="Courier New" w:cs="Courier New" w:eastAsia="Courier New" w:hAnsi="Courier New"/>
                <w:sz w:val="14"/>
                <w:szCs w:val="14"/>
                <w:color w:val="auto"/>
              </w:rPr>
              <w:t>- Primary and Diluted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28,091,479</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6,804,144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34,895,623</w:t>
            </w:r>
          </w:p>
        </w:tc>
      </w:tr>
      <w:tr>
        <w:trPr>
          <w:trHeight w:val="497"/>
        </w:trPr>
        <w:tc>
          <w:tcPr>
            <w:tcW w:w="2460" w:type="dxa"/>
            <w:vAlign w:val="bottom"/>
          </w:tcPr>
          <w:p>
            <w:pPr>
              <w:spacing w:after="0"/>
              <w:rPr>
                <w:sz w:val="20"/>
                <w:szCs w:val="20"/>
                <w:color w:val="auto"/>
              </w:rPr>
            </w:pPr>
            <w:r>
              <w:rPr>
                <w:rFonts w:ascii="Courier New" w:cs="Courier New" w:eastAsia="Courier New" w:hAnsi="Courier New"/>
                <w:sz w:val="14"/>
                <w:szCs w:val="14"/>
                <w:color w:val="auto"/>
              </w:rPr>
              <w:t>Quarter ended March 31, 2000</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 Primary and Diluted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25,476,098</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10,484,143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35,960,241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right="3780" w:hanging="352"/>
        <w:spacing w:after="0" w:line="255"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2001, the Company had purchased 1,787,542 shares (net of reissuance of 86,063 shares) under its Stock Repurchase Program</w:t>
      </w:r>
    </w:p>
    <w:p>
      <w:pPr>
        <w:spacing w:after="0" w:line="159" w:lineRule="exact"/>
        <w:rPr>
          <w:rFonts w:ascii="Courier New" w:cs="Courier New" w:eastAsia="Courier New" w:hAnsi="Courier New"/>
          <w:sz w:val="14"/>
          <w:szCs w:val="14"/>
          <w:color w:val="auto"/>
        </w:rPr>
      </w:pPr>
    </w:p>
    <w:p>
      <w:pPr>
        <w:ind w:left="360" w:right="3440" w:hanging="352"/>
        <w:spacing w:after="0" w:line="252"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the Pacesetter Park Shopping Center in 1999, the Company issued 2,212 Preferred O.P. Units which are reflected above at their stated cost of $1,000 per unit</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Total Market Capitalization</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Variable-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Debt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29.7%</w:t>
      </w:r>
    </w:p>
    <w:p>
      <w:pPr>
        <w:sectPr>
          <w:pgSz w:w="11900" w:h="16838" w:orient="portrait"/>
          <w:cols w:equalWidth="0" w:num="1">
            <w:col w:w="10340"/>
          </w:cols>
          <w:pgMar w:left="220" w:top="451" w:right="13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Fixed-Rate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Debt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173" w:lineRule="exact"/>
        <w:rPr>
          <w:sz w:val="20"/>
          <w:szCs w:val="20"/>
          <w:color w:val="auto"/>
        </w:rPr>
      </w:pPr>
    </w:p>
    <w:p>
      <w:pPr>
        <w:sectPr>
          <w:pgSz w:w="11900" w:h="16838" w:orient="portrait"/>
          <w:cols w:equalWidth="0" w:num="2">
            <w:col w:w="1880" w:space="720"/>
            <w:col w:w="7740"/>
          </w:cols>
          <w:pgMar w:left="220" w:top="451"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 Units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 Units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340"/>
          </w:cols>
          <w:pgMar w:left="220" w:top="451" w:right="1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[LOGO]</w:t>
            </w:r>
          </w:p>
        </w:tc>
        <w:tc>
          <w:tcPr>
            <w:tcW w:w="1640" w:type="dxa"/>
            <w:vAlign w:val="bottom"/>
          </w:tcPr>
          <w:p>
            <w:pPr>
              <w:spacing w:after="0"/>
              <w:rPr>
                <w:sz w:val="14"/>
                <w:szCs w:val="14"/>
                <w:color w:val="auto"/>
              </w:rPr>
            </w:pPr>
          </w:p>
        </w:tc>
      </w:tr>
      <w:tr>
        <w:trPr>
          <w:trHeight w:val="331"/>
        </w:trPr>
        <w:tc>
          <w:tcPr>
            <w:tcW w:w="61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QUARTERLY SUPPLEMENTAL DISCLOSURE</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6120" w:type="dxa"/>
            <w:vAlign w:val="bottom"/>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612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Shareholder Information</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612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Twelve Largest Institutional/Non-Retail Shareholders(1)</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97"/>
        </w:trPr>
        <w:tc>
          <w:tcPr>
            <w:tcW w:w="6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 of Out-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Shareholder</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Shares Held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standing Shares</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Yale University</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6,155,092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Rothschild Realty Investors II L.L.C.</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3,266,667</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Howard Hughes Medical Institute</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2,266,667</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The Board of Trustees of the Leland Stanford Junior University</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2,133,333</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7.6%</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Harvard Private Capital Realty, Inc.</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2,000,000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The Vanderbilt University</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1,346,647</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TRW Master Trust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1,200,000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Carnegie Corporation of New York</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942,653</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Brown University</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687,823</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CS First Boston Inc.</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419,000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Morgan Stanley Asset Management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412,700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Yale University Retirement Plan</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403,994</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612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Total of Twelve Largest Institutional/Non-Retail Shareholders</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21,234,576</w:t>
            </w: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612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Total of all Institutional/Non-Retail Shareholders</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22,024,423</w:t>
            </w: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78.6%</w:t>
            </w:r>
          </w:p>
        </w:tc>
      </w:tr>
      <w:tr>
        <w:trPr>
          <w:trHeight w:val="166"/>
        </w:trPr>
        <w:tc>
          <w:tcPr>
            <w:tcW w:w="612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Operating Partnership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Unit Information</w:t>
            </w:r>
          </w:p>
        </w:tc>
        <w:tc>
          <w:tcPr>
            <w:tcW w:w="1760" w:type="dxa"/>
            <w:vAlign w:val="bottom"/>
          </w:tcPr>
          <w:p>
            <w:pPr>
              <w:spacing w:after="0"/>
              <w:rPr>
                <w:sz w:val="14"/>
                <w:szCs w:val="14"/>
                <w:color w:val="auto"/>
              </w:rPr>
            </w:pPr>
          </w:p>
        </w:tc>
      </w:tr>
      <w:tr>
        <w:trPr>
          <w:trHeight w:val="497"/>
        </w:trPr>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of Total O.P. Units</w:t>
            </w:r>
          </w:p>
        </w:tc>
      </w:tr>
      <w:tr>
        <w:trPr>
          <w:trHeight w:val="166"/>
        </w:trPr>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Institutional/Non-Retail O.P. Unit Holders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4,113,048</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60.4%</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Employee/Director O.P. Unit Holders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1,747,990</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O.P. Unit Holders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943,106</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38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O.P. Units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6,804,144</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4119" w:hanging="352"/>
        <w:spacing w:after="0" w:line="255"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Schedule 13F filings with the U.S. Securities and Exchange Commission</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Total Share/O.P. Unit Ownership (Combined)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[GRAPHIC OMITTED]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left="360" w:right="7139" w:hanging="352"/>
        <w:spacing w:after="0" w:line="255" w:lineRule="auto"/>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Institutional/Non-Retail Share &amp; O.P. Unit 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Retail Shareholders</w:t>
      </w:r>
    </w:p>
    <w:p>
      <w:pPr>
        <w:spacing w:after="0" w:line="173" w:lineRule="exact"/>
        <w:rPr>
          <w:sz w:val="20"/>
          <w:szCs w:val="20"/>
          <w:color w:val="auto"/>
        </w:rPr>
      </w:pPr>
    </w:p>
    <w:p>
      <w:pPr>
        <w:ind w:left="360" w:right="7999" w:hanging="352"/>
        <w:spacing w:after="0" w:line="255" w:lineRule="auto"/>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Employee/Director O.P. Unitholders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Other O.P. Unitholders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51" w:right="1440" w:bottom="1440" w:gutter="0" w:footer="0" w:header="0"/>
        </w:sectPr>
      </w:pPr>
    </w:p>
    <w:bookmarkStart w:id="16" w:name="page17"/>
    <w:bookmarkEnd w:id="16"/>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338"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Statements of Operations - Including Joint Venture Activity(1)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Current Quarter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Current Quarter</w:t>
            </w:r>
          </w:p>
        </w:tc>
        <w:tc>
          <w:tcPr>
            <w:tcW w:w="820" w:type="dxa"/>
            <w:vAlign w:val="bottom"/>
          </w:tcPr>
          <w:p>
            <w:pPr>
              <w:spacing w:after="0"/>
              <w:rPr>
                <w:sz w:val="14"/>
                <w:szCs w:val="14"/>
                <w:color w:val="auto"/>
              </w:rPr>
            </w:pPr>
          </w:p>
        </w:tc>
        <w:tc>
          <w:tcPr>
            <w:tcW w:w="2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Historic Quarter</w:t>
            </w:r>
          </w:p>
        </w:tc>
        <w:tc>
          <w:tcPr>
            <w:tcW w:w="780" w:type="dxa"/>
            <w:vAlign w:val="bottom"/>
          </w:tcPr>
          <w:p>
            <w:pPr>
              <w:spacing w:after="0"/>
              <w:rPr>
                <w:sz w:val="14"/>
                <w:szCs w:val="14"/>
                <w:color w:val="auto"/>
              </w:rPr>
            </w:pPr>
          </w:p>
        </w:tc>
      </w:tr>
      <w:tr>
        <w:trPr>
          <w:trHeight w:val="331"/>
        </w:trPr>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 months</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 months</w:t>
            </w:r>
          </w:p>
        </w:tc>
        <w:tc>
          <w:tcPr>
            <w:tcW w:w="780" w:type="dxa"/>
            <w:vAlign w:val="bottom"/>
          </w:tcPr>
          <w:p>
            <w:pPr>
              <w:spacing w:after="0"/>
              <w:rPr>
                <w:sz w:val="24"/>
                <w:szCs w:val="24"/>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ended March 31,</w:t>
            </w:r>
          </w:p>
        </w:tc>
        <w:tc>
          <w:tcPr>
            <w:tcW w:w="10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ended March 31,</w:t>
            </w:r>
          </w:p>
        </w:tc>
        <w:tc>
          <w:tcPr>
            <w:tcW w:w="78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2001</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78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642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Wholly Owned</w:t>
            </w:r>
          </w:p>
        </w:tc>
        <w:tc>
          <w:tcPr>
            <w:tcW w:w="480" w:type="dxa"/>
            <w:vAlign w:val="bottom"/>
          </w:tcPr>
          <w:p>
            <w:pPr>
              <w:spacing w:after="0"/>
              <w:rPr>
                <w:sz w:val="24"/>
                <w:szCs w:val="2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JV</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Wholly Owned</w:t>
            </w:r>
          </w:p>
        </w:tc>
        <w:tc>
          <w:tcPr>
            <w:tcW w:w="420" w:type="dxa"/>
            <w:vAlign w:val="bottom"/>
          </w:tcPr>
          <w:p>
            <w:pPr>
              <w:spacing w:after="0"/>
              <w:rPr>
                <w:sz w:val="24"/>
                <w:szCs w:val="2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JV</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17,446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$ 18,052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$ 18,441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$ 19,038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732</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751</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3,909</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4,145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3,844</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22,317</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23,238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23,273</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24,186</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5,293</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5,418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5,300</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5,374</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2,800</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2,713</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2,862</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8,093</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8,370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8,013</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8,236</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8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14,224</w:t>
            </w:r>
          </w:p>
        </w:tc>
        <w:tc>
          <w:tcPr>
            <w:tcW w:w="4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14,868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15,260</w:t>
            </w:r>
          </w:p>
        </w:tc>
        <w:tc>
          <w:tcPr>
            <w:tcW w:w="4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15,950</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(905)</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(686)</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(686)</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(1,189)</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(1,293)</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8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12,402</w:t>
            </w:r>
          </w:p>
        </w:tc>
        <w:tc>
          <w:tcPr>
            <w:tcW w:w="4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13,046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13,871</w:t>
            </w:r>
          </w:p>
        </w:tc>
        <w:tc>
          <w:tcPr>
            <w:tcW w:w="4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14,561</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(4,964)</w:t>
            </w:r>
          </w:p>
        </w:tc>
        <w:tc>
          <w:tcPr>
            <w:tcW w:w="48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(5,128)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(5,015)</w:t>
            </w:r>
          </w:p>
        </w:tc>
        <w:tc>
          <w:tcPr>
            <w:tcW w:w="4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(5,178)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(5,278)</w:t>
            </w:r>
          </w:p>
        </w:tc>
        <w:tc>
          <w:tcPr>
            <w:tcW w:w="4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(6,355)</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(6,682)</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8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2,160</w:t>
            </w:r>
          </w:p>
        </w:tc>
        <w:tc>
          <w:tcPr>
            <w:tcW w:w="4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2,701</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accouting principal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w:t>
            </w:r>
          </w:p>
        </w:tc>
        <w:tc>
          <w:tcPr>
            <w:tcW w:w="4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(440)</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principal (FAS 133)</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w:t>
            </w:r>
          </w:p>
        </w:tc>
        <w:tc>
          <w:tcPr>
            <w:tcW w:w="4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  1,583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1,674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1,874</w:t>
            </w:r>
          </w:p>
        </w:tc>
      </w:tr>
      <w:tr>
        <w:trPr>
          <w:trHeight w:val="166"/>
        </w:trPr>
        <w:tc>
          <w:tcPr>
            <w:tcW w:w="49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4480" w:hanging="352"/>
        <w:spacing w:after="0" w:line="251"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and 2000 are unaudited. Although they reflect all adjustments, which in the opinion of management, are necessary for a fair presentation of operating results for the interim period, they are subject to adjustment. The Company's equity in the earnings of unconsolidated partnerships is reflected separately for revenues and expenses by calculating it's pro-rata share for each of the above line items. In total, this agrees with the equity in earnings of unconsolidated partnerships as reported in the Company's Forms 10K and 10Q for the corresponding periods.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380"/>
          </w:cols>
          <w:pgMar w:left="220" w:top="451" w:right="299" w:bottom="1440" w:gutter="0" w:footer="0" w:header="0"/>
        </w:sectPr>
      </w:pPr>
    </w:p>
    <w:bookmarkStart w:id="17" w:name="page18"/>
    <w:bookmarkEnd w:id="17"/>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5400" w:type="dxa"/>
            <w:vAlign w:val="bottom"/>
          </w:tcPr>
          <w:p>
            <w:pPr>
              <w:ind w:left="1740"/>
              <w:spacing w:after="0"/>
              <w:rPr>
                <w:sz w:val="20"/>
                <w:szCs w:val="20"/>
                <w:color w:val="auto"/>
              </w:rPr>
            </w:pPr>
            <w:r>
              <w:rPr>
                <w:rFonts w:ascii="Courier New" w:cs="Courier New" w:eastAsia="Courier New" w:hAnsi="Courier New"/>
                <w:sz w:val="14"/>
                <w:szCs w:val="14"/>
                <w:color w:val="auto"/>
              </w:rPr>
              <w:t>Statements of Operations - by Segment(1)</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400" w:type="dxa"/>
            <w:vAlign w:val="bottom"/>
          </w:tcPr>
          <w:p>
            <w:pPr>
              <w:ind w:left="2860"/>
              <w:spacing w:after="0"/>
              <w:rPr>
                <w:sz w:val="20"/>
                <w:szCs w:val="20"/>
                <w:color w:val="auto"/>
              </w:rPr>
            </w:pPr>
            <w:r>
              <w:rPr>
                <w:rFonts w:ascii="Courier New" w:cs="Courier New" w:eastAsia="Courier New" w:hAnsi="Courier New"/>
                <w:sz w:val="14"/>
                <w:szCs w:val="14"/>
                <w:color w:val="auto"/>
              </w:rPr>
              <w:t>Current Quarter</w:t>
            </w: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4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5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Current Quarter</w:t>
            </w:r>
          </w:p>
        </w:tc>
        <w:tc>
          <w:tcPr>
            <w:tcW w:w="1120" w:type="dxa"/>
            <w:vAlign w:val="bottom"/>
          </w:tcPr>
          <w:p>
            <w:pPr>
              <w:spacing w:after="0"/>
              <w:rPr>
                <w:sz w:val="24"/>
                <w:szCs w:val="24"/>
                <w:color w:val="auto"/>
              </w:rPr>
            </w:pPr>
          </w:p>
        </w:tc>
      </w:tr>
      <w:tr>
        <w:trPr>
          <w:trHeight w:val="331"/>
        </w:trPr>
        <w:tc>
          <w:tcPr>
            <w:tcW w:w="5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 months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ended March 31,</w:t>
            </w:r>
          </w:p>
        </w:tc>
        <w:tc>
          <w:tcPr>
            <w:tcW w:w="1120" w:type="dxa"/>
            <w:vAlign w:val="bottom"/>
          </w:tcPr>
          <w:p>
            <w:pPr>
              <w:spacing w:after="0"/>
              <w:rPr>
                <w:sz w:val="14"/>
                <w:szCs w:val="14"/>
                <w:color w:val="auto"/>
              </w:rPr>
            </w:pPr>
          </w:p>
        </w:tc>
      </w:tr>
      <w:tr>
        <w:trPr>
          <w:trHeight w:val="166"/>
        </w:trPr>
        <w:tc>
          <w:tcPr>
            <w:tcW w:w="5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400" w:type="dxa"/>
            <w:vAlign w:val="bottom"/>
          </w:tcPr>
          <w:p>
            <w:pPr>
              <w:spacing w:after="0"/>
              <w:rPr>
                <w:sz w:val="14"/>
                <w:szCs w:val="14"/>
                <w:color w:val="auto"/>
              </w:rPr>
            </w:pPr>
          </w:p>
        </w:tc>
        <w:tc>
          <w:tcPr>
            <w:tcW w:w="57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4"/>
                <w:szCs w:val="2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Retail</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Multi-Family</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7"/>
              </w:rPr>
              <w:t>Corporate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7"/>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$ 14,279</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$ 3,773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$ 18,052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796</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4,145</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153</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19,312</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3,926</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23,238</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4,085</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1,333</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2,724</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228</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2,952</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6,809</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1,561</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8,370</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12,503</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2,365</w:t>
            </w:r>
          </w:p>
        </w:tc>
        <w:tc>
          <w:tcPr>
            <w:tcW w:w="200" w:type="dxa"/>
            <w:vAlign w:val="bottom"/>
          </w:tcPr>
          <w:p>
            <w:pPr>
              <w:spacing w:after="0"/>
              <w:rPr>
                <w:sz w:val="24"/>
                <w:szCs w:val="2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14,868</w:t>
            </w:r>
          </w:p>
        </w:tc>
      </w:tr>
      <w:tr>
        <w:trPr>
          <w:trHeight w:val="497"/>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12,503</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2,365</w:t>
            </w:r>
          </w:p>
        </w:tc>
        <w:tc>
          <w:tcPr>
            <w:tcW w:w="20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13,046</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(4,485)</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(547)</w:t>
            </w:r>
          </w:p>
        </w:tc>
        <w:tc>
          <w:tcPr>
            <w:tcW w:w="20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(5,128)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(4,467)</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(1,139)</w:t>
            </w:r>
          </w:p>
        </w:tc>
        <w:tc>
          <w:tcPr>
            <w:tcW w:w="2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3,551</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679</w:t>
            </w:r>
          </w:p>
        </w:tc>
        <w:tc>
          <w:tcPr>
            <w:tcW w:w="20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2,312</w:t>
            </w: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accouting principal</w:t>
            </w: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w:t>
            </w: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principal (FAS 133)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3,551</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679</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(2,647)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1,583</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4220" w:hanging="352"/>
        <w:spacing w:after="0" w:line="251"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and 2000 are unaudited. Although they reflect all adjustments, which in the opinion of management, are necessary for a fair presentation of operating results for the interim period, they are subject to adjustment. The Company's equity in the earnings of unconsolidated partnerships is reflected separately for revenues and expenses by calculating it's pro-rata share for each of the above line items. In total, this agrees with the equity in earnings of unconsolidated partnerships as reported in the Company's Forms 10K and 10Q for the corresponding periods.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120"/>
          </w:cols>
          <w:pgMar w:left="220" w:top="451" w:right="559" w:bottom="1440" w:gutter="0" w:footer="0" w:header="0"/>
        </w:sectPr>
      </w:pPr>
    </w:p>
    <w:bookmarkStart w:id="18" w:name="page19"/>
    <w:bookmarkEnd w:id="18"/>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Net Operating Income (NOI) - Same Property Performance(1)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7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Current Year-to-date</w:t>
            </w:r>
          </w:p>
        </w:tc>
        <w:tc>
          <w:tcPr>
            <w:tcW w:w="22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Historical Year-to-date</w:t>
            </w:r>
          </w:p>
        </w:tc>
      </w:tr>
      <w:tr>
        <w:trPr>
          <w:trHeight w:val="331"/>
        </w:trPr>
        <w:tc>
          <w:tcPr>
            <w:tcW w:w="4540" w:type="dxa"/>
            <w:vAlign w:val="bottom"/>
          </w:tcPr>
          <w:p>
            <w:pPr>
              <w:spacing w:after="0"/>
              <w:rPr>
                <w:sz w:val="24"/>
                <w:szCs w:val="24"/>
                <w:color w:val="auto"/>
              </w:rPr>
            </w:pPr>
          </w:p>
        </w:tc>
        <w:tc>
          <w:tcPr>
            <w:tcW w:w="27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 month</w:t>
            </w:r>
          </w:p>
        </w:tc>
        <w:tc>
          <w:tcPr>
            <w:tcW w:w="220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 month</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period ended</w:t>
            </w: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ended</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March 31,</w:t>
            </w:r>
          </w:p>
        </w:tc>
        <w:tc>
          <w:tcPr>
            <w:tcW w:w="22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2001</w:t>
            </w:r>
          </w:p>
        </w:tc>
        <w:tc>
          <w:tcPr>
            <w:tcW w:w="2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NOI - Consolidated properties</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$ 14,224</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$ 15,260</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NOI - Unconsolidated partnerships</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644</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690</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Total NOI</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14,868</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15,950</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Less straight-line rent(2)</w:t>
            </w:r>
          </w:p>
        </w:tc>
        <w:tc>
          <w:tcPr>
            <w:tcW w:w="27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(234)</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NOI - Properties Acquired</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NOI - Redevelopment Properties</w:t>
            </w:r>
          </w:p>
        </w:tc>
        <w:tc>
          <w:tcPr>
            <w:tcW w:w="27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(319)</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NOI - Properties Sold</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(1,046)</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Same Property NOI</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$ 14,434</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$ 14,284</w:t>
            </w:r>
          </w:p>
        </w:tc>
      </w:tr>
      <w:tr>
        <w:trPr>
          <w:trHeight w:val="166"/>
        </w:trPr>
        <w:tc>
          <w:tcPr>
            <w:tcW w:w="4540" w:type="dxa"/>
            <w:vAlign w:val="bottom"/>
          </w:tcPr>
          <w:p>
            <w:pPr>
              <w:spacing w:after="0"/>
              <w:rPr>
                <w:sz w:val="14"/>
                <w:szCs w:val="14"/>
                <w:color w:val="auto"/>
              </w:rPr>
            </w:pP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Growth in Same Property NOI</w:t>
            </w:r>
          </w:p>
        </w:tc>
        <w:tc>
          <w:tcPr>
            <w:tcW w:w="2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w:t>
            </w:r>
          </w:p>
        </w:tc>
        <w:tc>
          <w:tcPr>
            <w:tcW w:w="2200" w:type="dxa"/>
            <w:vAlign w:val="bottom"/>
          </w:tcPr>
          <w:p>
            <w:pPr>
              <w:spacing w:after="0"/>
              <w:rPr>
                <w:sz w:val="24"/>
                <w:szCs w:val="24"/>
                <w:color w:val="auto"/>
              </w:rPr>
            </w:pPr>
          </w:p>
        </w:tc>
      </w:tr>
    </w:tbl>
    <w:p>
      <w:pPr>
        <w:spacing w:after="0" w:line="170" w:lineRule="exact"/>
        <w:rPr>
          <w:sz w:val="20"/>
          <w:szCs w:val="20"/>
          <w:color w:val="auto"/>
        </w:rPr>
      </w:pPr>
    </w:p>
    <w:p>
      <w:pPr>
        <w:ind w:left="360" w:right="3519"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amounts includes the activity related to the Company's equity in the earnings of unconsolidated subsidiaries.</w:t>
      </w:r>
    </w:p>
    <w:p>
      <w:pPr>
        <w:spacing w:after="0" w:line="159" w:lineRule="exact"/>
        <w:rPr>
          <w:rFonts w:ascii="Courier New" w:cs="Courier New" w:eastAsia="Courier New" w:hAnsi="Courier New"/>
          <w:sz w:val="14"/>
          <w:szCs w:val="14"/>
          <w:color w:val="auto"/>
        </w:rPr>
      </w:pPr>
    </w:p>
    <w:p>
      <w:pPr>
        <w:ind w:left="360" w:right="4539"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Company's pro-rata share of straight-line rent of unconsolidated partnerships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5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[LOGO]</w:t>
            </w: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5900" w:type="dxa"/>
            <w:vAlign w:val="bottom"/>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59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MARCH 31, 2001</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497"/>
        </w:trPr>
        <w:tc>
          <w:tcPr>
            <w:tcW w:w="5900" w:type="dxa"/>
            <w:vAlign w:val="bottom"/>
          </w:tcPr>
          <w:p>
            <w:pPr>
              <w:ind w:left="2160"/>
              <w:spacing w:after="0"/>
              <w:rPr>
                <w:sz w:val="20"/>
                <w:szCs w:val="20"/>
                <w:color w:val="auto"/>
              </w:rPr>
            </w:pPr>
            <w:r>
              <w:rPr>
                <w:rFonts w:ascii="Courier New" w:cs="Courier New" w:eastAsia="Courier New" w:hAnsi="Courier New"/>
                <w:sz w:val="14"/>
                <w:szCs w:val="14"/>
                <w:color w:val="auto"/>
              </w:rPr>
              <w:t>Funds from Operations (FFO)(1)</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59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(in thousands)</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497"/>
        </w:trPr>
        <w:tc>
          <w:tcPr>
            <w:tcW w:w="5900" w:type="dxa"/>
            <w:vAlign w:val="bottom"/>
          </w:tcPr>
          <w:p>
            <w:pPr>
              <w:spacing w:after="0"/>
              <w:rPr>
                <w:sz w:val="24"/>
                <w:szCs w:val="24"/>
                <w:color w:val="auto"/>
              </w:rPr>
            </w:pPr>
          </w:p>
        </w:tc>
        <w:tc>
          <w:tcPr>
            <w:tcW w:w="2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Current Quarter</w:t>
            </w:r>
          </w:p>
        </w:tc>
        <w:tc>
          <w:tcPr>
            <w:tcW w:w="19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Historic Quarter</w:t>
            </w:r>
          </w:p>
        </w:tc>
      </w:tr>
      <w:tr>
        <w:trPr>
          <w:trHeight w:val="331"/>
        </w:trPr>
        <w:tc>
          <w:tcPr>
            <w:tcW w:w="590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Quarter Ended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Ended</w:t>
            </w:r>
          </w:p>
        </w:tc>
      </w:tr>
      <w:tr>
        <w:trPr>
          <w:trHeight w:val="166"/>
        </w:trPr>
        <w:tc>
          <w:tcPr>
            <w:tcW w:w="5900" w:type="dxa"/>
            <w:vAlign w:val="bottom"/>
          </w:tcPr>
          <w:p>
            <w:pPr>
              <w:spacing w:after="0"/>
              <w:rPr>
                <w:sz w:val="14"/>
                <w:szCs w:val="1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March 31, 2001</w:t>
            </w: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March 31, 2000</w:t>
            </w:r>
          </w:p>
        </w:tc>
      </w:tr>
      <w:tr>
        <w:trPr>
          <w:trHeight w:val="166"/>
        </w:trPr>
        <w:tc>
          <w:tcPr>
            <w:tcW w:w="5900" w:type="dxa"/>
            <w:vAlign w:val="bottom"/>
          </w:tcPr>
          <w:p>
            <w:pPr>
              <w:spacing w:after="0"/>
              <w:rPr>
                <w:sz w:val="14"/>
                <w:szCs w:val="14"/>
                <w:color w:val="auto"/>
              </w:rPr>
            </w:pPr>
          </w:p>
        </w:tc>
        <w:tc>
          <w:tcPr>
            <w:tcW w:w="2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1,583</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$ 1,874</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Add back:</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Depreciation of real estate and amortization of leasing costs:</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59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Wholly owned and consolidated subsidiaries</w:t>
            </w:r>
          </w:p>
        </w:tc>
        <w:tc>
          <w:tcPr>
            <w:tcW w:w="12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4,689</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4,737</w:t>
            </w:r>
          </w:p>
        </w:tc>
      </w:tr>
      <w:tr>
        <w:trPr>
          <w:trHeight w:val="166"/>
        </w:trPr>
        <w:tc>
          <w:tcPr>
            <w:tcW w:w="590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Unconsolidated subsidiaries</w:t>
            </w:r>
          </w:p>
        </w:tc>
        <w:tc>
          <w:tcPr>
            <w:tcW w:w="12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157</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590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Operating Partnership units(2)</w:t>
            </w:r>
          </w:p>
        </w:tc>
        <w:tc>
          <w:tcPr>
            <w:tcW w:w="12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379</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12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140</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12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149</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6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5900" w:type="dxa"/>
            <w:vAlign w:val="bottom"/>
          </w:tcPr>
          <w:p>
            <w:pPr>
              <w:spacing w:after="0"/>
              <w:rPr>
                <w:sz w:val="20"/>
                <w:szCs w:val="20"/>
                <w:color w:val="auto"/>
              </w:rPr>
            </w:pPr>
            <w:r>
              <w:rPr>
                <w:rFonts w:ascii="Courier New" w:cs="Courier New" w:eastAsia="Courier New" w:hAnsi="Courier New"/>
                <w:sz w:val="14"/>
                <w:szCs w:val="14"/>
                <w:color w:val="auto"/>
              </w:rPr>
              <w:t>Funds from Operations(3)</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7,097</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$ 7,547</w:t>
            </w:r>
          </w:p>
        </w:tc>
      </w:tr>
      <w:tr>
        <w:trPr>
          <w:trHeight w:val="166"/>
        </w:trPr>
        <w:tc>
          <w:tcPr>
            <w:tcW w:w="5900" w:type="dxa"/>
            <w:vAlign w:val="bottom"/>
          </w:tcPr>
          <w:p>
            <w:pPr>
              <w:spacing w:after="0"/>
              <w:rPr>
                <w:sz w:val="14"/>
                <w:szCs w:val="14"/>
                <w:color w:val="auto"/>
              </w:rPr>
            </w:pPr>
          </w:p>
        </w:tc>
        <w:tc>
          <w:tcPr>
            <w:tcW w:w="26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Funds from Operations per share(3)</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0.20</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0.21</w:t>
            </w:r>
          </w:p>
        </w:tc>
      </w:tr>
      <w:tr>
        <w:trPr>
          <w:trHeight w:val="166"/>
        </w:trPr>
        <w:tc>
          <w:tcPr>
            <w:tcW w:w="5900" w:type="dxa"/>
            <w:vAlign w:val="bottom"/>
          </w:tcPr>
          <w:p>
            <w:pPr>
              <w:spacing w:after="0"/>
              <w:rPr>
                <w:sz w:val="14"/>
                <w:szCs w:val="14"/>
                <w:color w:val="auto"/>
              </w:rPr>
            </w:pPr>
          </w:p>
        </w:tc>
        <w:tc>
          <w:tcPr>
            <w:tcW w:w="26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3620" w:hanging="352"/>
        <w:spacing w:after="0" w:line="252"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and 2000 are unaudited. Although they reflect all adjustments, which in the opinion of management are necessary for a fair presentation of operating results for the interim period, they are subject to adjustment.</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distributions paid to Preferred O.P. unitholders.</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full conversion of O.P. Units into Common Shares.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520"/>
          </w:cols>
          <w:pgMar w:left="220" w:top="451" w:right="1159" w:bottom="1440" w:gutter="0" w:footer="0" w:header="0"/>
        </w:sectPr>
      </w:pPr>
    </w:p>
    <w:bookmarkStart w:id="20" w:name="page21"/>
    <w:bookmarkEnd w:id="20"/>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97"/>
        </w:trPr>
        <w:tc>
          <w:tcPr>
            <w:tcW w:w="4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March 31,</w:t>
            </w:r>
          </w:p>
        </w:tc>
        <w:tc>
          <w:tcPr>
            <w:tcW w:w="17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69,206</w:t>
            </w:r>
          </w:p>
        </w:tc>
        <w:tc>
          <w:tcPr>
            <w:tcW w:w="780" w:type="dxa"/>
            <w:vAlign w:val="bottom"/>
          </w:tcPr>
          <w:p>
            <w:pPr>
              <w:ind w:left="6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69,206</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Buildings and improvements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447,286</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444,933</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516,492</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514,139</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4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(106,520)</w:t>
            </w:r>
          </w:p>
        </w:tc>
        <w:tc>
          <w:tcPr>
            <w:tcW w:w="7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(102,461)</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Net real estate</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409,972</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411,678</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Property held for sale</w:t>
            </w:r>
          </w:p>
        </w:tc>
        <w:tc>
          <w:tcPr>
            <w:tcW w:w="480" w:type="dxa"/>
            <w:vAlign w:val="bottom"/>
          </w:tcPr>
          <w:p>
            <w:pPr>
              <w:spacing w:after="0"/>
              <w:rPr>
                <w:sz w:val="24"/>
                <w:szCs w:val="2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49,144</w:t>
            </w:r>
          </w:p>
        </w:tc>
        <w:tc>
          <w:tcPr>
            <w:tcW w:w="7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49,445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15,705</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22,167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in escrow</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5,737</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5,213</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Investments in unconsolidated partnerships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5,802</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6,784</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Rents receivable, net</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9,047</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9,667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2,757</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Due from related parties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Deferred charges, net</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12,668</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13,026</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2,739</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2,726</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513,571</w:t>
            </w:r>
          </w:p>
        </w:tc>
        <w:tc>
          <w:tcPr>
            <w:tcW w:w="780" w:type="dxa"/>
            <w:vAlign w:val="bottom"/>
          </w:tcPr>
          <w:p>
            <w:pPr>
              <w:ind w:left="6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523,611</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Mortgage notes payable</w:t>
            </w:r>
          </w:p>
        </w:tc>
        <w:tc>
          <w:tcPr>
            <w:tcW w:w="480" w:type="dxa"/>
            <w:vAlign w:val="bottom"/>
          </w:tcPr>
          <w:p>
            <w:pPr>
              <w:spacing w:after="0"/>
              <w:rPr>
                <w:sz w:val="24"/>
                <w:szCs w:val="2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7"/>
              </w:rPr>
              <w:t>$ 271,387</w:t>
            </w:r>
          </w:p>
        </w:tc>
        <w:tc>
          <w:tcPr>
            <w:tcW w:w="7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$ 277,112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6,582</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7,495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Dividends and distributions payable</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4,228</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Due to related parties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124</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4,420</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4,179</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286,741</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293,138</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480" w:type="dxa"/>
            <w:vAlign w:val="bottom"/>
          </w:tcPr>
          <w:p>
            <w:pPr>
              <w:spacing w:after="0"/>
              <w:rPr>
                <w:sz w:val="24"/>
                <w:szCs w:val="2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48,521</w:t>
            </w:r>
          </w:p>
        </w:tc>
        <w:tc>
          <w:tcPr>
            <w:tcW w:w="7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48,959</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Minority interests in majority owned partnerships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2,208</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2,197</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minority interests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50,729</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51,156</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185,772</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188,392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4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(596)</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Deficit</w:t>
            </w:r>
          </w:p>
        </w:tc>
        <w:tc>
          <w:tcPr>
            <w:tcW w:w="4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(9,103)</w:t>
            </w:r>
          </w:p>
        </w:tc>
        <w:tc>
          <w:tcPr>
            <w:tcW w:w="7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(9,103)</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48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176,101</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179,317</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513,571</w:t>
            </w:r>
          </w:p>
        </w:tc>
        <w:tc>
          <w:tcPr>
            <w:tcW w:w="780" w:type="dxa"/>
            <w:vAlign w:val="bottom"/>
          </w:tcPr>
          <w:p>
            <w:pPr>
              <w:ind w:left="6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523,611</w:t>
            </w:r>
          </w:p>
        </w:tc>
      </w:tr>
      <w:tr>
        <w:trPr>
          <w:trHeight w:val="166"/>
        </w:trPr>
        <w:tc>
          <w:tcPr>
            <w:tcW w:w="4620" w:type="dxa"/>
            <w:vAlign w:val="bottom"/>
          </w:tcPr>
          <w:p>
            <w:pPr>
              <w:spacing w:after="0"/>
              <w:rPr>
                <w:sz w:val="14"/>
                <w:szCs w:val="14"/>
                <w:color w:val="auto"/>
              </w:rPr>
            </w:pP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5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[LOGO]</w:t>
            </w: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660" w:type="dxa"/>
            <w:vAlign w:val="bottom"/>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660" w:type="dxa"/>
            <w:vAlign w:val="bottom"/>
          </w:tcPr>
          <w:p>
            <w:pPr>
              <w:ind w:left="2420"/>
              <w:spacing w:after="0"/>
              <w:rPr>
                <w:sz w:val="20"/>
                <w:szCs w:val="20"/>
                <w:color w:val="auto"/>
              </w:rPr>
            </w:pPr>
            <w:r>
              <w:rPr>
                <w:rFonts w:ascii="Courier New" w:cs="Courier New" w:eastAsia="Courier New" w:hAnsi="Courier New"/>
                <w:sz w:val="14"/>
                <w:szCs w:val="14"/>
                <w:color w:val="auto"/>
              </w:rPr>
              <w:t>Selected Operating Ratios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5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3 Months Ended March 31,</w:t>
            </w:r>
          </w:p>
        </w:tc>
      </w:tr>
      <w:tr>
        <w:trPr>
          <w:trHeight w:val="331"/>
        </w:trPr>
        <w:tc>
          <w:tcPr>
            <w:tcW w:w="5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1900" w:type="dxa"/>
            <w:vAlign w:val="bottom"/>
          </w:tcPr>
          <w:p>
            <w:pPr>
              <w:spacing w:after="0"/>
              <w:rPr>
                <w:sz w:val="24"/>
                <w:szCs w:val="2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1980"/>
              <w:spacing w:after="0"/>
              <w:rPr>
                <w:sz w:val="20"/>
                <w:szCs w:val="20"/>
                <w:color w:val="auto"/>
              </w:rPr>
            </w:pPr>
            <w:r>
              <w:rPr>
                <w:rFonts w:ascii="Courier New" w:cs="Courier New" w:eastAsia="Courier New" w:hAnsi="Courier New"/>
                <w:sz w:val="14"/>
                <w:szCs w:val="14"/>
                <w:color w:val="auto"/>
              </w:rPr>
              <w:t>Coverage Ratios(1)</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6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Interest Coverage Ratio</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13,046</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14,561</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Divided by Interest expense</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6,682</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c>
          <w:tcPr>
            <w:tcW w:w="19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x</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2.18 x</w:t>
            </w:r>
          </w:p>
        </w:tc>
      </w:tr>
      <w:tr>
        <w:trPr>
          <w:trHeight w:val="331"/>
        </w:trPr>
        <w:tc>
          <w:tcPr>
            <w:tcW w:w="5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Fixed Charge Coverage Ratio</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13,046</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14,561</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Divided by (Interest expense</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6,682</w:t>
            </w:r>
          </w:p>
        </w:tc>
      </w:tr>
      <w:tr>
        <w:trPr>
          <w:trHeight w:val="166"/>
        </w:trPr>
        <w:tc>
          <w:tcPr>
            <w:tcW w:w="5660" w:type="dxa"/>
            <w:vAlign w:val="bottom"/>
          </w:tcPr>
          <w:p>
            <w:pPr>
              <w:ind w:left="1480"/>
              <w:spacing w:after="0"/>
              <w:rPr>
                <w:sz w:val="20"/>
                <w:szCs w:val="20"/>
                <w:color w:val="auto"/>
              </w:rPr>
            </w:pPr>
            <w:r>
              <w:rPr>
                <w:rFonts w:ascii="Courier New" w:cs="Courier New" w:eastAsia="Courier New" w:hAnsi="Courier New"/>
                <w:sz w:val="14"/>
                <w:szCs w:val="14"/>
                <w:color w:val="auto"/>
              </w:rPr>
              <w:t>+ Preferred Dividends(2)</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c>
          <w:tcPr>
            <w:tcW w:w="19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x</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2.16 x</w:t>
            </w:r>
          </w:p>
        </w:tc>
      </w:tr>
      <w:tr>
        <w:trPr>
          <w:trHeight w:val="331"/>
        </w:trPr>
        <w:tc>
          <w:tcPr>
            <w:tcW w:w="5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Debt Service Coverage Ratio</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13,046</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14,561</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Divided by (Interest expense</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6,682</w:t>
            </w:r>
          </w:p>
        </w:tc>
      </w:tr>
      <w:tr>
        <w:trPr>
          <w:trHeight w:val="166"/>
        </w:trPr>
        <w:tc>
          <w:tcPr>
            <w:tcW w:w="5660" w:type="dxa"/>
            <w:vAlign w:val="bottom"/>
          </w:tcPr>
          <w:p>
            <w:pPr>
              <w:ind w:left="1480"/>
              <w:spacing w:after="0"/>
              <w:rPr>
                <w:sz w:val="20"/>
                <w:szCs w:val="20"/>
                <w:color w:val="auto"/>
              </w:rPr>
            </w:pPr>
            <w:r>
              <w:rPr>
                <w:rFonts w:ascii="Courier New" w:cs="Courier New" w:eastAsia="Courier New" w:hAnsi="Courier New"/>
                <w:sz w:val="14"/>
                <w:szCs w:val="14"/>
                <w:color w:val="auto"/>
              </w:rPr>
              <w:t>+ Principal Amortization)</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19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x</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 x</w:t>
            </w:r>
          </w:p>
        </w:tc>
      </w:tr>
      <w:tr>
        <w:trPr>
          <w:trHeight w:val="331"/>
        </w:trPr>
        <w:tc>
          <w:tcPr>
            <w:tcW w:w="5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Payout Ratios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660" w:type="dxa"/>
            <w:vAlign w:val="bottom"/>
          </w:tcPr>
          <w:p>
            <w:pPr>
              <w:ind w:left="1120"/>
              <w:spacing w:after="0"/>
              <w:rPr>
                <w:sz w:val="20"/>
                <w:szCs w:val="20"/>
                <w:color w:val="auto"/>
              </w:rPr>
            </w:pPr>
            <w:r>
              <w:rPr>
                <w:rFonts w:ascii="Courier New" w:cs="Courier New" w:eastAsia="Courier New" w:hAnsi="Courier New"/>
                <w:sz w:val="14"/>
                <w:szCs w:val="14"/>
                <w:color w:val="auto"/>
              </w:rPr>
              <w:t>FFO Payout Ratio - Basic and Diluted</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Dividends (Shares) &amp; Distributions (O.P. Units)</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paid - $0.12 per Share/O.P. Unit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4,178</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4,294</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FFO</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7,097</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7,547</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r>
      <w:tr>
        <w:trPr>
          <w:trHeight w:val="331"/>
        </w:trPr>
        <w:tc>
          <w:tcPr>
            <w:tcW w:w="5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Overhead Ratios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660" w:type="dxa"/>
            <w:vAlign w:val="bottom"/>
          </w:tcPr>
          <w:p>
            <w:pPr>
              <w:ind w:left="1640"/>
              <w:spacing w:after="0"/>
              <w:rPr>
                <w:sz w:val="20"/>
                <w:szCs w:val="20"/>
                <w:color w:val="auto"/>
              </w:rPr>
            </w:pPr>
            <w:r>
              <w:rPr>
                <w:rFonts w:ascii="Courier New" w:cs="Courier New" w:eastAsia="Courier New" w:hAnsi="Courier New"/>
                <w:sz w:val="14"/>
                <w:szCs w:val="14"/>
                <w:color w:val="auto"/>
              </w:rPr>
              <w:t>G&amp;A/Real Estate Revenues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1,293</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Real Estate Revenues</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23,238</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24,186</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331"/>
        </w:trPr>
        <w:tc>
          <w:tcPr>
            <w:tcW w:w="5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Leverage Ratios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Debt/Total Market Capitalization(3)</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$ 271,387</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$ 308,230</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Total Market Capitalization(4)</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492,939</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498,279</w:t>
            </w:r>
          </w:p>
        </w:tc>
      </w:tr>
      <w:tr>
        <w:trPr>
          <w:trHeight w:val="166"/>
        </w:trPr>
        <w:tc>
          <w:tcPr>
            <w:tcW w:w="5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19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right="3540" w:hanging="352"/>
        <w:spacing w:after="0" w:line="251"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the quarters ended March 31, 2001 and 2000 are unaudited, although they reflect all adjustments, which in the opinion of management, are necessary for a fair presentation of operating results for the interim period, they are subject to adjustment. The coverage ratios include the Company's pro-rata share of EBIDTA, interest expense and principal amortization related to the Company's investment in unconsolidated partnerships.</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preferred distributions on Preferred Operating partnership Units</w:t>
      </w:r>
    </w:p>
    <w:p>
      <w:pPr>
        <w:spacing w:after="0" w:line="172" w:lineRule="exact"/>
        <w:rPr>
          <w:rFonts w:ascii="Courier New" w:cs="Courier New" w:eastAsia="Courier New" w:hAnsi="Courier New"/>
          <w:sz w:val="14"/>
          <w:szCs w:val="14"/>
          <w:color w:val="auto"/>
        </w:rPr>
      </w:pPr>
    </w:p>
    <w:p>
      <w:pPr>
        <w:ind w:left="360" w:right="3360" w:hanging="352"/>
        <w:spacing w:after="0" w:line="252"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Company's pro-rata share of joint venture debt (see page 18), the Debt to Total Market Capitalization increases to 57% and 63% as of March 31, 2001 and 2000, respectively.</w:t>
      </w:r>
    </w:p>
    <w:p>
      <w:pPr>
        <w:spacing w:after="0" w:line="162" w:lineRule="exact"/>
        <w:rPr>
          <w:rFonts w:ascii="Courier New" w:cs="Courier New" w:eastAsia="Courier New" w:hAnsi="Courier New"/>
          <w:sz w:val="14"/>
          <w:szCs w:val="14"/>
          <w:color w:val="auto"/>
        </w:rPr>
      </w:pPr>
    </w:p>
    <w:p>
      <w:pPr>
        <w:ind w:left="360" w:right="4140" w:hanging="352"/>
        <w:spacing w:after="0" w:line="255"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page 9 for calculation of the March 31, 2001 Total Market Capitalization.</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60"/>
          </w:cols>
          <w:pgMar w:left="220" w:top="451" w:right="1419" w:bottom="1440" w:gutter="0" w:footer="0" w:header="0"/>
        </w:sectPr>
      </w:pPr>
    </w:p>
    <w:bookmarkStart w:id="22" w:name="page23"/>
    <w:bookmarkEnd w:id="22"/>
    <w:p>
      <w:pPr>
        <w:jc w:val="center"/>
        <w:ind w:right="6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MARCH 31, 2001</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Debt Analysis - Wholly Owned Properties</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200" w:lineRule="exact"/>
        <w:rPr>
          <w:sz w:val="20"/>
          <w:szCs w:val="20"/>
          <w:color w:val="auto"/>
        </w:rPr>
      </w:pPr>
    </w:p>
    <w:p>
      <w:pPr>
        <w:sectPr>
          <w:pgSz w:w="11900" w:h="16838" w:orient="portrait"/>
          <w:cols w:equalWidth="0" w:num="2">
            <w:col w:w="4980" w:space="720"/>
            <w:col w:w="4539"/>
          </w:cols>
          <w:pgMar w:left="220" w:top="616" w:right="1440" w:bottom="1440" w:gutter="0" w:footer="0" w:header="0"/>
        </w:sectPr>
      </w:pPr>
    </w:p>
    <w:p>
      <w:pPr>
        <w:spacing w:after="0" w:line="304" w:lineRule="exact"/>
        <w:rPr>
          <w:sz w:val="20"/>
          <w:szCs w:val="20"/>
          <w:color w:val="auto"/>
        </w:rPr>
      </w:pPr>
    </w:p>
    <w:p>
      <w:pPr>
        <w:ind w:left="7840"/>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ind w:left="7840"/>
        <w:spacing w:after="0"/>
        <w:tabs>
          <w:tab w:leader="none" w:pos="92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Interest</w:t>
      </w:r>
    </w:p>
    <w:p>
      <w:pPr>
        <w:spacing w:after="0" w:line="7" w:lineRule="exact"/>
        <w:rPr>
          <w:sz w:val="20"/>
          <w:szCs w:val="20"/>
          <w:color w:val="auto"/>
        </w:rPr>
      </w:pPr>
    </w:p>
    <w:p>
      <w:pPr>
        <w:spacing w:after="0"/>
        <w:tabs>
          <w:tab w:leader="none" w:pos="3080" w:val="left"/>
          <w:tab w:leader="none" w:pos="6880" w:val="left"/>
          <w:tab w:leader="none" w:pos="7660" w:val="left"/>
          <w:tab w:leader="none" w:pos="938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Lender</w:t>
      </w:r>
      <w:r>
        <w:rPr>
          <w:sz w:val="20"/>
          <w:szCs w:val="20"/>
          <w:color w:val="auto"/>
        </w:rPr>
        <w:tab/>
      </w:r>
      <w:r>
        <w:rPr>
          <w:rFonts w:ascii="Courier New" w:cs="Courier New" w:eastAsia="Courier New" w:hAnsi="Courier New"/>
          <w:sz w:val="14"/>
          <w:szCs w:val="14"/>
          <w:color w:val="auto"/>
        </w:rPr>
        <w:t>Notes</w:t>
      </w:r>
      <w:r>
        <w:rPr>
          <w:sz w:val="20"/>
          <w:szCs w:val="20"/>
          <w:color w:val="auto"/>
        </w:rPr>
        <w:tab/>
      </w:r>
      <w:r>
        <w:rPr>
          <w:rFonts w:ascii="Courier New" w:cs="Courier New" w:eastAsia="Courier New" w:hAnsi="Courier New"/>
          <w:sz w:val="14"/>
          <w:szCs w:val="14"/>
          <w:color w:val="auto"/>
        </w:rPr>
        <w:t>March 31, 2001</w:t>
      </w:r>
      <w:r>
        <w:rPr>
          <w:sz w:val="20"/>
          <w:szCs w:val="20"/>
          <w:color w:val="auto"/>
        </w:rPr>
        <w:tab/>
      </w:r>
      <w:r>
        <w:rPr>
          <w:rFonts w:ascii="Courier New" w:cs="Courier New" w:eastAsia="Courier New" w:hAnsi="Courier New"/>
          <w:sz w:val="14"/>
          <w:szCs w:val="14"/>
          <w:color w:val="auto"/>
        </w:rPr>
        <w:t>Rate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DEBT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Gateway Mall</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Huntoon Hastings Capital Corp.</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6,221,896</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7.50%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Pittston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Anchor National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3,751,064</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7.93%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Glen Oaks Apartments</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Lehman Brothers Holdings, Inc.</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17,743,948</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8.32%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Mad River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Mellon Mortgage Company</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7,408,847</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9.60%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Manahawkin K-Mart</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Northern Life Insurance Co. and</w:t>
            </w: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3840" w:type="dxa"/>
            <w:vAlign w:val="bottom"/>
          </w:tcPr>
          <w:p>
            <w:pPr>
              <w:ind w:left="220"/>
              <w:spacing w:after="0"/>
              <w:rPr>
                <w:sz w:val="20"/>
                <w:szCs w:val="20"/>
                <w:color w:val="auto"/>
              </w:rPr>
            </w:pPr>
            <w:r>
              <w:rPr>
                <w:rFonts w:ascii="Courier New" w:cs="Courier New" w:eastAsia="Courier New" w:hAnsi="Courier New"/>
                <w:sz w:val="14"/>
                <w:szCs w:val="14"/>
                <w:color w:val="auto"/>
              </w:rPr>
              <w:t>Reliastar Life Insurance Co. of New York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4,777,856</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7.70%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Crescent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8,853,563</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8.13%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East End Centre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16,214,953</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8.13%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GHT Apartments</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Bank of America, N.A.</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11,081,326</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7.55%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Colony Apartments</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Bank of America, N.A.</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5,540,663</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7.55%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Mountainville Shopping Center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3,032,528</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King's Fairground</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847,915</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3,243,284</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Dunmore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1,080,593</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25th Street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7,603,479</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2,526,715</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Kingston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2,168,713</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Plaza 15</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2,060,512</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2,772,095</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Birney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3,213,835</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2,381,256</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Shillington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2,750,925</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Ames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968,723</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Circle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1,191,052</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1,460,047</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Monroe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3,622,550</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2,289,897</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8.84%</w:t>
            </w:r>
          </w:p>
        </w:tc>
      </w:tr>
      <w:tr>
        <w:trPr>
          <w:trHeight w:val="166"/>
        </w:trPr>
        <w:tc>
          <w:tcPr>
            <w:tcW w:w="3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TOTAL/WEIGHTED AVERAGE - FIXED-RATE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124,808,235</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8.36%</w:t>
            </w:r>
          </w:p>
        </w:tc>
      </w:tr>
      <w:tr>
        <w:trPr>
          <w:trHeight w:val="166"/>
        </w:trPr>
        <w:tc>
          <w:tcPr>
            <w:tcW w:w="3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VARIABLE-RATE DEBT</w:t>
            </w: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Town Line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480" w:type="dxa"/>
            <w:vAlign w:val="bottom"/>
          </w:tcPr>
          <w:p>
            <w:pPr>
              <w:spacing w:after="0"/>
              <w:rPr>
                <w:sz w:val="24"/>
                <w:szCs w:val="2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4,095,826</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Smithtown Shopping Center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9,188,565</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Sun America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13,724,817</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+ 205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Village Apartments</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Sun America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9,824,014</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+ 205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Marley Run Apartments</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KBC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14,165,250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+ 125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3,500,000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+ 150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8,937,644</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Greenridge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6,100,000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+ 200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Luzerne Street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1,600,000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+ 200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Valmont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3,100,000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+ 200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239 Greenwich Avenue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First Union National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13,605,310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+ 145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4,977,736</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Bradford Towne Center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8,711,037</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31,608,621</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Louden Center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7,466,604</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Route 6 Plaza</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5,973,283</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+ 175</w:t>
            </w:r>
          </w:p>
        </w:tc>
      </w:tr>
      <w:tr>
        <w:trPr>
          <w:trHeight w:val="166"/>
        </w:trPr>
        <w:tc>
          <w:tcPr>
            <w:tcW w:w="3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TOTAL/WEIGHTED AVERAGE - VARIABLE-RATE DEBT</w:t>
            </w: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146,578,707</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L + 173</w:t>
            </w:r>
          </w:p>
        </w:tc>
      </w:tr>
      <w:tr>
        <w:trPr>
          <w:trHeight w:val="166"/>
        </w:trPr>
        <w:tc>
          <w:tcPr>
            <w:tcW w:w="3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TOTAL/WEIGHTED AVERAGE - ALL DEBT</w:t>
            </w: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$ 271,386,942</w:t>
            </w:r>
          </w:p>
        </w:tc>
        <w:tc>
          <w:tcPr>
            <w:tcW w:w="920" w:type="dxa"/>
            <w:vAlign w:val="bottom"/>
          </w:tcPr>
          <w:p>
            <w:pPr>
              <w:spacing w:after="0"/>
              <w:rPr>
                <w:sz w:val="24"/>
                <w:szCs w:val="24"/>
                <w:color w:val="auto"/>
              </w:rPr>
            </w:pPr>
          </w:p>
        </w:tc>
      </w:tr>
      <w:tr>
        <w:trPr>
          <w:trHeight w:val="166"/>
        </w:trPr>
        <w:tc>
          <w:tcPr>
            <w:tcW w:w="3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type w:val="continuous"/>
        </w:sectPr>
      </w:pPr>
    </w:p>
    <w:bookmarkStart w:id="23" w:name="page24"/>
    <w:bookmarkEnd w:id="23"/>
    <w:p>
      <w:pPr>
        <w:ind w:left="6900"/>
        <w:spacing w:after="0"/>
        <w:rPr>
          <w:sz w:val="20"/>
          <w:szCs w:val="20"/>
          <w:color w:val="auto"/>
        </w:rPr>
      </w:pPr>
      <w:r>
        <w:rPr>
          <w:rFonts w:ascii="Courier New" w:cs="Courier New" w:eastAsia="Courier New" w:hAnsi="Courier New"/>
          <w:sz w:val="14"/>
          <w:szCs w:val="14"/>
          <w:color w:val="auto"/>
        </w:rPr>
        <w:t>Rate as of</w:t>
      </w:r>
    </w:p>
    <w:p>
      <w:pPr>
        <w:spacing w:after="0" w:line="7" w:lineRule="exact"/>
        <w:rPr>
          <w:sz w:val="20"/>
          <w:szCs w:val="20"/>
          <w:color w:val="auto"/>
        </w:rPr>
      </w:pPr>
    </w:p>
    <w:p>
      <w:pPr>
        <w:ind w:left="6980"/>
        <w:spacing w:after="0"/>
        <w:tabs>
          <w:tab w:leader="none" w:pos="826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Maturity</w:t>
      </w:r>
    </w:p>
    <w:p>
      <w:pPr>
        <w:spacing w:after="0" w:line="7" w:lineRule="exact"/>
        <w:rPr>
          <w:sz w:val="20"/>
          <w:szCs w:val="20"/>
          <w:color w:val="auto"/>
        </w:rPr>
      </w:pPr>
    </w:p>
    <w:p>
      <w:pPr>
        <w:spacing w:after="0"/>
        <w:tabs>
          <w:tab w:leader="none" w:pos="3080" w:val="left"/>
          <w:tab w:leader="none" w:pos="7140" w:val="left"/>
          <w:tab w:leader="none" w:pos="842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Lender</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DEBT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Gateway Mall</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Huntoon Hastings Capital Corp.</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9/1/02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Pittston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Anchor National Life Insurance Co.</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1/1/04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Glen Oaks Apartments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Lehman Brothers Holdings, Inc.</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3/1/04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Mad River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Mellon Mortgage Company</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Manahawkin K-Mart</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Northern Life Insurance Co. and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4"/>
                <w:szCs w:val="14"/>
                <w:color w:val="auto"/>
              </w:rPr>
              <w:t>Reliastar Life Insurance Co. of New York</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12/1/08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Crescent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11/1/10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East End Centre</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11/1/10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GHT Apartments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Bank of America, N.A.</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Colony Apartments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Bank of America, N.A.</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Mountainville Shopping Center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King's Fairground</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Dunmore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25th Street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Kingston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Plaza 15</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Birney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Shillington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Ames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Circle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Monroe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Morgan Stanley Mortgage Capital</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11/1/21</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TOTAL/WEIGHTED AVERAGE - FIXED-RATE</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VARIABLE-RATE DEBT</w:t>
            </w: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Town Line</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6.81%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3/15/02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Smithtown Shopping Center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6.84%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5/31/02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Sun America Life Insurance Co.</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7.58%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Village Apartments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Sun America Life Insurance Co.</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8.45%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10/1/02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Marley Run Apartments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KBC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6.53%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12/31/02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6.74%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3/1/03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8/1/03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Greenridge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11/1/03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Luzerne Street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11/1/03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Valmont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Metropolitan Life Insurance Co.</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11/1/03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239 Greenwich Avenue</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First Union National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6.51%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Bradford Towne Center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Louden Center</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Route 6 Plaza</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4/1/05</w:t>
            </w:r>
          </w:p>
        </w:tc>
      </w:tr>
      <w:tr>
        <w:trPr>
          <w:trHeight w:val="166"/>
        </w:trPr>
        <w:tc>
          <w:tcPr>
            <w:tcW w:w="3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TOTAL/WEIGHTED AVERAGE - VARIABLE-RATE DEBT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7.10%</w:t>
            </w:r>
          </w:p>
        </w:tc>
        <w:tc>
          <w:tcPr>
            <w:tcW w:w="108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TOTAL/WEIGHTED AVERAGE - ALL DEBT</w:t>
            </w:r>
          </w:p>
        </w:tc>
        <w:tc>
          <w:tcPr>
            <w:tcW w:w="38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7.68%</w:t>
            </w:r>
          </w:p>
        </w:tc>
        <w:tc>
          <w:tcPr>
            <w:tcW w:w="1080" w:type="dxa"/>
            <w:vAlign w:val="bottom"/>
          </w:tcPr>
          <w:p>
            <w:pPr>
              <w:spacing w:after="0"/>
              <w:rPr>
                <w:sz w:val="24"/>
                <w:szCs w:val="24"/>
                <w:color w:val="auto"/>
              </w:rPr>
            </w:pPr>
          </w:p>
        </w:tc>
      </w:tr>
      <w:tr>
        <w:trPr>
          <w:trHeight w:val="166"/>
        </w:trPr>
        <w:tc>
          <w:tcPr>
            <w:tcW w:w="3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4279" w:hanging="352"/>
        <w:spacing w:after="0" w:line="250"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May 5, 2001 and through the maturity date of this loan (9/1/2002), the interest rate will be 9.875%.</w:t>
      </w:r>
    </w:p>
    <w:p>
      <w:pPr>
        <w:ind w:left="360" w:right="3339" w:hanging="352"/>
        <w:spacing w:after="0" w:line="250"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loan allows for full repayment, without penalty, commencing October 31, 2006. Commencing on this date (the "Reset Date"), the interest rate is to be adjusted to a U.S. Treasury rate + 500 basis points (the treasury rate being the interpolated yield on treasuries most nearly approximating the period from the the Reset Date to the maturity date, November 1, 2001).</w:t>
      </w:r>
    </w:p>
    <w:p>
      <w:pPr>
        <w:spacing w:after="0" w:line="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a revolving facility for up to $7,400,000 which bears interest at LIBOR plus 150 basis points (175 basis points if the loan to collateral value is &gt; 50%). Subsequent to March 31, 2001, all outstanding amounts were repaid leaving $7,400,000 available under this facility.</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947" w:right="1440" w:bottom="1440" w:gutter="0" w:footer="0" w:header="0"/>
        </w:sectPr>
      </w:pPr>
    </w:p>
    <w:bookmarkStart w:id="24" w:name="page25"/>
    <w:bookmarkEnd w:id="24"/>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5840"/>
          </w:cols>
          <w:pgMar w:left="220" w:top="616" w:right="139" w:bottom="1440" w:gutter="0" w:footer="0" w:header="0"/>
        </w:sectPr>
      </w:pPr>
    </w:p>
    <w:p>
      <w:pPr>
        <w:ind w:left="1640"/>
        <w:spacing w:after="0"/>
        <w:rPr>
          <w:sz w:val="20"/>
          <w:szCs w:val="20"/>
          <w:color w:val="auto"/>
        </w:rPr>
      </w:pPr>
      <w:r>
        <w:rPr>
          <w:rFonts w:ascii="Courier New" w:cs="Courier New" w:eastAsia="Courier New" w:hAnsi="Courier New"/>
          <w:sz w:val="14"/>
          <w:szCs w:val="14"/>
          <w:color w:val="auto"/>
        </w:rPr>
        <w:t>Debt Analysis - Unconsolidated Partnerships</w:t>
      </w:r>
    </w:p>
    <w:p>
      <w:pPr>
        <w:sectPr>
          <w:pgSz w:w="11900" w:h="16838" w:orient="portrait"/>
          <w:cols w:equalWidth="0" w:num="1">
            <w:col w:w="1154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55" w:lineRule="auto"/>
        <w:rPr>
          <w:sz w:val="20"/>
          <w:szCs w:val="20"/>
          <w:color w:val="auto"/>
        </w:rPr>
      </w:pPr>
      <w:r>
        <w:rPr>
          <w:rFonts w:ascii="Courier New" w:cs="Courier New" w:eastAsia="Courier New" w:hAnsi="Courier New"/>
          <w:sz w:val="14"/>
          <w:szCs w:val="14"/>
          <w:color w:val="auto"/>
        </w:rPr>
        <w:t>FIXED-RATE DEBT(1)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Venture Partner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4"/>
          <w:szCs w:val="14"/>
          <w:color w:val="auto"/>
        </w:rPr>
        <w:t>Acadia Realty</w:t>
      </w:r>
      <w:r>
        <w:rPr>
          <w:sz w:val="20"/>
          <w:szCs w:val="20"/>
          <w:color w:val="auto"/>
        </w:rPr>
        <w:tab/>
      </w:r>
      <w:r>
        <w:rPr>
          <w:rFonts w:ascii="Courier New" w:cs="Courier New" w:eastAsia="Courier New" w:hAnsi="Courier New"/>
          <w:sz w:val="14"/>
          <w:szCs w:val="14"/>
          <w:color w:val="auto"/>
        </w:rPr>
        <w:t>Principal</w:t>
      </w:r>
    </w:p>
    <w:p>
      <w:pPr>
        <w:spacing w:after="0" w:line="7" w:lineRule="exact"/>
        <w:rPr>
          <w:sz w:val="20"/>
          <w:szCs w:val="20"/>
          <w:color w:val="auto"/>
        </w:rPr>
      </w:pPr>
    </w:p>
    <w:p>
      <w:pPr>
        <w:ind w:left="340"/>
        <w:spacing w:after="0"/>
        <w:tabs>
          <w:tab w:leader="none" w:pos="2300" w:val="left"/>
          <w:tab w:leader="none" w:pos="4360" w:val="left"/>
        </w:tabs>
        <w:rPr>
          <w:sz w:val="20"/>
          <w:szCs w:val="20"/>
          <w:color w:val="auto"/>
        </w:rPr>
      </w:pPr>
      <w:r>
        <w:rPr>
          <w:rFonts w:ascii="Courier New" w:cs="Courier New" w:eastAsia="Courier New" w:hAnsi="Courier New"/>
          <w:sz w:val="14"/>
          <w:szCs w:val="14"/>
          <w:color w:val="auto"/>
        </w:rPr>
        <w:t>Trust</w:t>
      </w:r>
      <w:r>
        <w:rPr>
          <w:sz w:val="20"/>
          <w:szCs w:val="20"/>
          <w:color w:val="auto"/>
        </w:rPr>
        <w:tab/>
      </w: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Interest</w:t>
      </w:r>
    </w:p>
    <w:p>
      <w:pPr>
        <w:spacing w:after="0" w:line="7" w:lineRule="exact"/>
        <w:rPr>
          <w:sz w:val="20"/>
          <w:szCs w:val="20"/>
          <w:color w:val="auto"/>
        </w:rPr>
      </w:pPr>
    </w:p>
    <w:p>
      <w:pPr>
        <w:ind w:left="160"/>
        <w:spacing w:after="0"/>
        <w:tabs>
          <w:tab w:leader="none" w:pos="2120" w:val="left"/>
          <w:tab w:leader="none" w:pos="4540" w:val="left"/>
        </w:tabs>
        <w:rPr>
          <w:sz w:val="20"/>
          <w:szCs w:val="20"/>
          <w:color w:val="auto"/>
        </w:rPr>
      </w:pP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March 31, 2001</w:t>
      </w:r>
      <w:r>
        <w:rPr>
          <w:sz w:val="20"/>
          <w:szCs w:val="20"/>
          <w:color w:val="auto"/>
        </w:rPr>
        <w:tab/>
      </w:r>
      <w:r>
        <w:rPr>
          <w:rFonts w:ascii="Courier New" w:cs="Courier New" w:eastAsia="Courier New" w:hAnsi="Courier New"/>
          <w:sz w:val="14"/>
          <w:szCs w:val="14"/>
          <w:color w:val="auto"/>
        </w:rPr>
        <w:t>Rate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1880" w:space="720"/>
            <w:col w:w="2980" w:space="720"/>
            <w:col w:w="524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Crossroads Shopping Center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Heyman-Greenburgh Associates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$ 34,518,980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7.15%</w:t>
      </w:r>
    </w:p>
    <w:p>
      <w:pPr>
        <w:spacing w:after="0" w:line="7" w:lineRule="exact"/>
        <w:rPr>
          <w:sz w:val="20"/>
          <w:szCs w:val="20"/>
          <w:color w:val="auto"/>
        </w:rPr>
      </w:pPr>
    </w:p>
    <w:p>
      <w:pPr>
        <w:sectPr>
          <w:pgSz w:w="11900" w:h="16838" w:orient="portrait"/>
          <w:cols w:equalWidth="0" w:num="5">
            <w:col w:w="2240" w:space="360"/>
            <w:col w:w="3320" w:space="720"/>
            <w:col w:w="1180" w:space="720"/>
            <w:col w:w="1600" w:space="720"/>
            <w:col w:w="680"/>
          </w:cols>
          <w:pgMar w:left="220" w:top="616" w:right="139"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RMC Development Company LLC</w:t>
      </w:r>
    </w:p>
    <w:p>
      <w:pPr>
        <w:sectPr>
          <w:pgSz w:w="11900" w:h="16838" w:orient="portrait"/>
          <w:cols w:equalWidth="0" w:num="1">
            <w:col w:w="11540"/>
          </w:cols>
          <w:pgMar w:left="220" w:top="616" w:right="1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 Wholly-Owned Properties and Unconsolidated Partnerships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of</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Outstanding</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Avg.</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Balance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Int. Rate</w:t>
            </w:r>
          </w:p>
        </w:tc>
      </w:tr>
      <w:tr>
        <w:trPr>
          <w:trHeight w:val="166"/>
        </w:trPr>
        <w:tc>
          <w:tcPr>
            <w:tcW w:w="3560" w:type="dxa"/>
            <w:vAlign w:val="bottom"/>
          </w:tcPr>
          <w:p>
            <w:pPr>
              <w:spacing w:after="0"/>
              <w:rPr>
                <w:sz w:val="14"/>
                <w:szCs w:val="14"/>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Wholly-Owned Properties</w:t>
            </w:r>
          </w:p>
        </w:tc>
        <w:tc>
          <w:tcPr>
            <w:tcW w:w="1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Fixed-Rate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43%</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$ 124,808,235</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8.36%</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Variable-Rate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51%</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146,578,707</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7.10%</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331"/>
        </w:trPr>
        <w:tc>
          <w:tcPr>
            <w:tcW w:w="3560" w:type="dxa"/>
            <w:vAlign w:val="bottom"/>
          </w:tcPr>
          <w:p>
            <w:pPr>
              <w:spacing w:after="0"/>
              <w:rPr>
                <w:sz w:val="20"/>
                <w:szCs w:val="20"/>
                <w:color w:val="auto"/>
              </w:rPr>
            </w:pPr>
            <w:r>
              <w:rPr>
                <w:rFonts w:ascii="Courier New" w:cs="Courier New" w:eastAsia="Courier New" w:hAnsi="Courier New"/>
                <w:sz w:val="14"/>
                <w:szCs w:val="14"/>
                <w:color w:val="auto"/>
              </w:rPr>
              <w:t>Wholly-Owned Properties - Total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94%</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271,386,942</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7.68%</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331"/>
        </w:trPr>
        <w:tc>
          <w:tcPr>
            <w:tcW w:w="3560" w:type="dxa"/>
            <w:vAlign w:val="bottom"/>
          </w:tcPr>
          <w:p>
            <w:pPr>
              <w:spacing w:after="0"/>
              <w:rPr>
                <w:sz w:val="20"/>
                <w:szCs w:val="20"/>
                <w:color w:val="auto"/>
              </w:rPr>
            </w:pPr>
            <w:r>
              <w:rPr>
                <w:rFonts w:ascii="Courier New" w:cs="Courier New" w:eastAsia="Courier New" w:hAnsi="Courier New"/>
                <w:sz w:val="14"/>
                <w:szCs w:val="14"/>
                <w:color w:val="auto"/>
              </w:rPr>
              <w:t>Unconsolidated Partnerships</w:t>
            </w:r>
          </w:p>
        </w:tc>
        <w:tc>
          <w:tcPr>
            <w:tcW w:w="1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Fixed-Rate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16,914,300</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7.15%</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Variable-Rate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0.00%</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331"/>
        </w:trPr>
        <w:tc>
          <w:tcPr>
            <w:tcW w:w="3560" w:type="dxa"/>
            <w:vAlign w:val="bottom"/>
          </w:tcPr>
          <w:p>
            <w:pPr>
              <w:spacing w:after="0"/>
              <w:rPr>
                <w:sz w:val="20"/>
                <w:szCs w:val="20"/>
                <w:color w:val="auto"/>
              </w:rPr>
            </w:pPr>
            <w:r>
              <w:rPr>
                <w:rFonts w:ascii="Courier New" w:cs="Courier New" w:eastAsia="Courier New" w:hAnsi="Courier New"/>
                <w:sz w:val="14"/>
                <w:szCs w:val="14"/>
                <w:color w:val="auto"/>
              </w:rPr>
              <w:t>Unconsolidated Partnerships - Total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16,914,300</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7.15%</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166"/>
        </w:trPr>
        <w:tc>
          <w:tcPr>
            <w:tcW w:w="3560" w:type="dxa"/>
            <w:vAlign w:val="bottom"/>
          </w:tcPr>
          <w:p>
            <w:pPr>
              <w:ind w:left="1380"/>
              <w:spacing w:after="0"/>
              <w:rPr>
                <w:sz w:val="20"/>
                <w:szCs w:val="20"/>
                <w:color w:val="auto"/>
              </w:rPr>
            </w:pPr>
            <w:r>
              <w:rPr>
                <w:rFonts w:ascii="Courier New" w:cs="Courier New" w:eastAsia="Courier New" w:hAnsi="Courier New"/>
                <w:sz w:val="14"/>
                <w:szCs w:val="14"/>
                <w:color w:val="auto"/>
              </w:rPr>
              <w:t>Total Debt</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$ 288,301,242</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7.65%</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hanging="352"/>
        <w:spacing w:after="0"/>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Acadia Realty Trust's 49% ownership represents $16,914,300, of which</w:t>
      </w:r>
    </w:p>
    <w:p>
      <w:pPr>
        <w:spacing w:after="0" w:line="7" w:lineRule="exact"/>
        <w:rPr>
          <w:rFonts w:ascii="Courier New" w:cs="Courier New" w:eastAsia="Courier New" w:hAnsi="Courier New"/>
          <w:sz w:val="14"/>
          <w:szCs w:val="14"/>
          <w:color w:val="auto"/>
        </w:rPr>
      </w:pPr>
    </w:p>
    <w:p>
      <w:pPr>
        <w:ind w:left="360" w:right="46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$5,000,000 is fixed at 7.53% and $11,914,300 fixed at 6.99% through interest rate swap transactions.</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1540"/>
          </w:cols>
          <w:pgMar w:left="220" w:top="616" w:right="1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5340" w:type="dxa"/>
            <w:vAlign w:val="bottom"/>
            <w:gridSpan w:val="4"/>
          </w:tcPr>
          <w:p>
            <w:pPr>
              <w:jc w:val="right"/>
              <w:ind w:right="428"/>
              <w:spacing w:after="0"/>
              <w:rPr>
                <w:sz w:val="20"/>
                <w:szCs w:val="20"/>
                <w:color w:val="auto"/>
              </w:rPr>
            </w:pPr>
            <w:r>
              <w:rPr>
                <w:rFonts w:ascii="Courier New" w:cs="Courier New" w:eastAsia="Courier New" w:hAnsi="Courier New"/>
                <w:sz w:val="14"/>
                <w:szCs w:val="14"/>
                <w:color w:val="auto"/>
              </w:rPr>
              <w:t>QUARTERLY SUPPLEMENTAL DISCLOSURE</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[LOGO]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NYSE</w:t>
            </w: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1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MARCH 31, 2001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AKR</w:t>
            </w: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63"/>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Future Debt Maturities(1)</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(in thousands)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Weighted Average Interest Rate of Maturing Debt</w:t>
            </w:r>
          </w:p>
        </w:tc>
      </w:tr>
      <w:tr>
        <w:trPr>
          <w:trHeight w:val="166"/>
        </w:trPr>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Scheduled</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Maturities</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Debt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Fixed-Rate Debt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Variable-Rate Debt</w:t>
            </w: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2001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$ 2,876</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2,876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n/a</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3,945</w:t>
            </w:r>
          </w:p>
        </w:tc>
        <w:tc>
          <w:tcPr>
            <w:tcW w:w="30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55,928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59,873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7.29%</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7.50%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7.26%</w:t>
            </w: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3,516</w:t>
            </w:r>
          </w:p>
        </w:tc>
        <w:tc>
          <w:tcPr>
            <w:tcW w:w="30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22,728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26,244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7.17%</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7.17%</w:t>
            </w: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2004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3,268</w:t>
            </w:r>
          </w:p>
        </w:tc>
        <w:tc>
          <w:tcPr>
            <w:tcW w:w="30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20,542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23,810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8.25%</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8.25%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2005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2,651</w:t>
            </w:r>
          </w:p>
        </w:tc>
        <w:tc>
          <w:tcPr>
            <w:tcW w:w="30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75,962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78,613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7.19%</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6.96%</w:t>
            </w:r>
          </w:p>
        </w:tc>
      </w:tr>
      <w:tr>
        <w:trPr>
          <w:trHeight w:val="166"/>
        </w:trPr>
        <w:tc>
          <w:tcPr>
            <w:tcW w:w="2940" w:type="dxa"/>
            <w:vAlign w:val="bottom"/>
          </w:tcPr>
          <w:p>
            <w:pPr>
              <w:jc w:val="center"/>
              <w:spacing w:after="0"/>
              <w:rPr>
                <w:sz w:val="20"/>
                <w:szCs w:val="20"/>
                <w:color w:val="auto"/>
              </w:rPr>
            </w:pPr>
            <w:r>
              <w:rPr>
                <w:rFonts w:ascii="Courier New" w:cs="Courier New" w:eastAsia="Courier New" w:hAnsi="Courier New"/>
                <w:sz w:val="14"/>
                <w:szCs w:val="14"/>
                <w:color w:val="auto"/>
              </w:rPr>
              <w:t>Thereafter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7,147</w:t>
            </w:r>
          </w:p>
        </w:tc>
        <w:tc>
          <w:tcPr>
            <w:tcW w:w="30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72,824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79,971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8.38%</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8.38%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29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$ 23,403</w:t>
            </w:r>
          </w:p>
        </w:tc>
        <w:tc>
          <w:tcPr>
            <w:tcW w:w="11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$ 247,984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$ 271,387</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497"/>
        </w:trPr>
        <w:tc>
          <w:tcPr>
            <w:tcW w:w="6380" w:type="dxa"/>
            <w:vAlign w:val="bottom"/>
            <w:gridSpan w:val="5"/>
          </w:tcPr>
          <w:p>
            <w:pPr>
              <w:spacing w:after="0"/>
              <w:rPr>
                <w:sz w:val="20"/>
                <w:szCs w:val="20"/>
                <w:color w:val="auto"/>
              </w:rPr>
            </w:pPr>
            <w:r>
              <w:rPr>
                <w:rFonts w:ascii="Courier New" w:cs="Courier New" w:eastAsia="Courier New" w:hAnsi="Courier New"/>
                <w:sz w:val="14"/>
                <w:szCs w:val="14"/>
                <w:color w:val="auto"/>
              </w:rPr>
              <w:t>Capitalized interest related to the Company's development projects is as</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ind w:left="1560"/>
              <w:spacing w:after="0"/>
              <w:rPr>
                <w:sz w:val="20"/>
                <w:szCs w:val="20"/>
                <w:color w:val="auto"/>
              </w:rPr>
            </w:pPr>
            <w:r>
              <w:rPr>
                <w:rFonts w:ascii="Courier New" w:cs="Courier New" w:eastAsia="Courier New" w:hAnsi="Courier New"/>
                <w:sz w:val="14"/>
                <w:szCs w:val="14"/>
                <w:color w:val="auto"/>
              </w:rPr>
              <w:t>1st Quarter 2001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$ 52</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ind w:left="1560"/>
              <w:spacing w:after="0"/>
              <w:rPr>
                <w:sz w:val="20"/>
                <w:szCs w:val="20"/>
                <w:color w:val="auto"/>
              </w:rPr>
            </w:pPr>
            <w:r>
              <w:rPr>
                <w:rFonts w:ascii="Courier New" w:cs="Courier New" w:eastAsia="Courier New" w:hAnsi="Courier New"/>
                <w:sz w:val="14"/>
                <w:szCs w:val="14"/>
                <w:color w:val="auto"/>
              </w:rPr>
              <w:t>2nd Quarter 2001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ind w:left="1560"/>
              <w:spacing w:after="0"/>
              <w:rPr>
                <w:sz w:val="20"/>
                <w:szCs w:val="20"/>
                <w:color w:val="auto"/>
              </w:rPr>
            </w:pPr>
            <w:r>
              <w:rPr>
                <w:rFonts w:ascii="Courier New" w:cs="Courier New" w:eastAsia="Courier New" w:hAnsi="Courier New"/>
                <w:sz w:val="14"/>
                <w:szCs w:val="14"/>
                <w:color w:val="auto"/>
              </w:rPr>
              <w:t>3rd Quarter 2001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ind w:left="1560"/>
              <w:spacing w:after="0"/>
              <w:rPr>
                <w:sz w:val="20"/>
                <w:szCs w:val="20"/>
                <w:color w:val="auto"/>
              </w:rPr>
            </w:pPr>
            <w:r>
              <w:rPr>
                <w:rFonts w:ascii="Courier New" w:cs="Courier New" w:eastAsia="Courier New" w:hAnsi="Courier New"/>
                <w:sz w:val="14"/>
                <w:szCs w:val="14"/>
                <w:color w:val="auto"/>
              </w:rPr>
              <w:t>4th Quarter 2001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4" w:lineRule="exact"/>
        <w:rPr>
          <w:sz w:val="20"/>
          <w:szCs w:val="20"/>
          <w:color w:val="auto"/>
        </w:rPr>
      </w:pPr>
    </w:p>
    <w:p>
      <w:pPr>
        <w:ind w:left="3620" w:hanging="166"/>
        <w:spacing w:after="0"/>
        <w:tabs>
          <w:tab w:leader="none" w:pos="36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w:t>
      </w:r>
    </w:p>
    <w:p>
      <w:pPr>
        <w:spacing w:after="0" w:line="7" w:lineRule="exact"/>
        <w:rPr>
          <w:rFonts w:ascii="Courier New" w:cs="Courier New" w:eastAsia="Courier New" w:hAnsi="Courier New"/>
          <w:sz w:val="14"/>
          <w:szCs w:val="14"/>
          <w:color w:val="auto"/>
        </w:rPr>
      </w:pPr>
    </w:p>
    <w:p>
      <w:pPr>
        <w:ind w:left="3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debt from unconsolidated partnerships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120"/>
          </w:cols>
          <w:pgMar w:left="220" w:top="616" w:right="559" w:bottom="1440" w:gutter="0" w:footer="0" w:header="0"/>
        </w:sectPr>
      </w:pPr>
    </w:p>
    <w:bookmarkStart w:id="26" w:name="page27"/>
    <w:bookmarkEnd w:id="2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3"/>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[LOGO]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NYSE</w:t>
            </w:r>
          </w:p>
        </w:tc>
      </w:tr>
      <w:tr>
        <w:trPr>
          <w:trHeight w:val="166"/>
        </w:trPr>
        <w:tc>
          <w:tcPr>
            <w:tcW w:w="4840" w:type="dxa"/>
            <w:vAlign w:val="bottom"/>
            <w:gridSpan w:val="2"/>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AKR</w:t>
            </w:r>
          </w:p>
        </w:tc>
      </w:tr>
      <w:tr>
        <w:trPr>
          <w:trHeight w:val="331"/>
        </w:trPr>
        <w:tc>
          <w:tcPr>
            <w:tcW w:w="484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Unencumbered Properties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63"/>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Center</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Location</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87"/>
              </w:rPr>
              <w:t>GLA</w:t>
            </w:r>
          </w:p>
        </w:tc>
      </w:tr>
      <w:tr>
        <w:trPr>
          <w:trHeight w:val="166"/>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87"/>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Abington Towne Center(1)</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Abington, PA</w:t>
            </w:r>
          </w:p>
        </w:tc>
        <w:tc>
          <w:tcPr>
            <w:tcW w:w="6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216,226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Blackman Plaza</w:t>
            </w: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Wilkes-Barre, PA</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121,206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Bloomfield Town Square</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Bloomfield,</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MI</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224,583</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Branch Plaza</w:t>
            </w: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Smithtown, NY</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125,840</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Elmwood Park Shopping Center</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Elmwood, NJ</w:t>
            </w:r>
          </w:p>
        </w:tc>
        <w:tc>
          <w:tcPr>
            <w:tcW w:w="6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134,589</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Hobson West Plaza</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Naperville,</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IL</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99,950</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Manahawkin Shopping Center(2)</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Manahawkin,</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NJ</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62,827</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Mark Plaza</w:t>
            </w: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Edwardsville, PA</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214,021</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Methuen Shopping Center</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Methuen, CT</w:t>
            </w:r>
          </w:p>
        </w:tc>
        <w:tc>
          <w:tcPr>
            <w:tcW w:w="6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129,494</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Pacesetter Park Shopping Center</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Ramapo, New</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York</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95,559</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Plaza 422</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Lebanon, PA</w:t>
            </w:r>
          </w:p>
        </w:tc>
        <w:tc>
          <w:tcPr>
            <w:tcW w:w="6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154,791</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Tioga West</w:t>
            </w: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Tunkhannock, PA</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122,338</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Union Plaza</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New Castle,</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PA</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217,992</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Walnut Hill Plaza</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Woonsocket,</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RI</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297,370</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Wesmark Plaza</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Sumter, SC</w:t>
            </w:r>
          </w:p>
        </w:tc>
        <w:tc>
          <w:tcPr>
            <w:tcW w:w="6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206,938</w:t>
            </w:r>
          </w:p>
        </w:tc>
      </w:tr>
      <w:tr>
        <w:trPr>
          <w:trHeight w:val="166"/>
        </w:trPr>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Total GLA of Unencumbered Properties</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2,423,724</w:t>
            </w:r>
          </w:p>
        </w:tc>
      </w:tr>
      <w:tr>
        <w:trPr>
          <w:trHeight w:val="166"/>
        </w:trPr>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3779" w:hanging="352"/>
        <w:spacing w:after="0" w:line="250"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portion of this property (157,616 square feet) is owned by the Target Corp.</w:t>
      </w: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Kmart portion of the shopping center which is encumbered</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1440" w:right="1440" w:bottom="1440" w:gutter="0" w:footer="0" w:header="0"/>
        </w:sectPr>
      </w:pPr>
    </w:p>
    <w:bookmarkStart w:id="27" w:name="page28"/>
    <w:bookmarkEnd w:id="27"/>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4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300"/>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5500"/>
          </w:cols>
          <w:pgMar w:left="220" w:top="782" w:right="479" w:bottom="1440" w:gutter="0" w:footer="0" w:header="0"/>
        </w:sectPr>
      </w:pPr>
    </w:p>
    <w:p>
      <w:pPr>
        <w:jc w:val="center"/>
        <w:ind w:right="4200"/>
        <w:spacing w:after="0"/>
        <w:rPr>
          <w:sz w:val="20"/>
          <w:szCs w:val="20"/>
          <w:color w:val="auto"/>
        </w:rPr>
      </w:pPr>
      <w:r>
        <w:rPr>
          <w:rFonts w:ascii="Courier New" w:cs="Courier New" w:eastAsia="Courier New" w:hAnsi="Courier New"/>
          <w:sz w:val="14"/>
          <w:szCs w:val="14"/>
          <w:color w:val="auto"/>
        </w:rPr>
        <w:t>Portfolio by Region and Property Type</w:t>
      </w:r>
    </w:p>
    <w:p>
      <w:pPr>
        <w:spacing w:after="0" w:line="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(Square Feet)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Properties</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Strip</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Enclosed</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Under</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Mall</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Mall</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Redevelopment(2)</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Retail</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Residential</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Wholly-Owned Properties</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736,157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176,339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912,496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912,496</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1,336,741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512,073</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134,589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1,983,403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1,983,403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3,361,253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216,226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3,577,479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831,972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4,409,451</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1,145,355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1,145,355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578,606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1,723,961</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713,921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713,921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628,891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1,342,812</w:t>
            </w:r>
          </w:p>
        </w:tc>
      </w:tr>
      <w:tr>
        <w:trPr>
          <w:trHeight w:val="166"/>
        </w:trPr>
        <w:tc>
          <w:tcPr>
            <w:tcW w:w="2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Total Wholly-Owned Properties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7,293,427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512,073</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527,154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8,332,654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2,039,469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10,372,123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Unconsolidated Partnerships -</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New York Region(1)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310,919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310,919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310,919</w:t>
            </w:r>
          </w:p>
        </w:tc>
      </w:tr>
      <w:tr>
        <w:trPr>
          <w:trHeight w:val="166"/>
        </w:trPr>
        <w:tc>
          <w:tcPr>
            <w:tcW w:w="2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7,604,346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512,073</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527,154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8,643,573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2,039,469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10,683,042</w:t>
            </w:r>
          </w:p>
        </w:tc>
      </w:tr>
      <w:tr>
        <w:trPr>
          <w:trHeight w:val="166"/>
        </w:trPr>
        <w:tc>
          <w:tcPr>
            <w:tcW w:w="2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 of Total Square Feet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200" w:lineRule="exact"/>
        <w:rPr>
          <w:sz w:val="20"/>
          <w:szCs w:val="20"/>
          <w:color w:val="auto"/>
        </w:rPr>
      </w:pPr>
    </w:p>
    <w:p>
      <w:pPr>
        <w:spacing w:after="0" w:line="301" w:lineRule="exact"/>
        <w:rPr>
          <w:sz w:val="20"/>
          <w:szCs w:val="20"/>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center is 49% owned by unconsolidated partnerships</w:t>
      </w:r>
    </w:p>
    <w:p>
      <w:pPr>
        <w:spacing w:after="0" w:line="7" w:lineRule="exact"/>
        <w:rPr>
          <w:rFonts w:ascii="Courier New" w:cs="Courier New" w:eastAsia="Courier New" w:hAnsi="Courier New"/>
          <w:sz w:val="14"/>
          <w:szCs w:val="14"/>
          <w:color w:val="auto"/>
        </w:rPr>
      </w:pPr>
    </w:p>
    <w:p>
      <w:pPr>
        <w:ind w:left="360" w:right="4480" w:hanging="352"/>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currently has 4 redevelopment projects as further described on page 41</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200"/>
          </w:cols>
          <w:pgMar w:left="220" w:top="782" w:right="479" w:bottom="1440" w:gutter="0" w:footer="0" w:header="0"/>
          <w:type w:val="continuous"/>
        </w:sectPr>
      </w:pPr>
    </w:p>
    <w:bookmarkStart w:id="28" w:name="page29"/>
    <w:bookmarkEnd w:id="28"/>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5160"/>
          </w:cols>
          <w:pgMar w:left="220" w:top="451" w:right="819" w:bottom="1088" w:gutter="0" w:footer="0" w:header="0"/>
        </w:sectPr>
      </w:pPr>
    </w:p>
    <w:p>
      <w:pPr>
        <w:ind w:left="1900"/>
        <w:spacing w:after="0"/>
        <w:rPr>
          <w:sz w:val="20"/>
          <w:szCs w:val="20"/>
          <w:color w:val="auto"/>
        </w:rPr>
      </w:pPr>
      <w:r>
        <w:rPr>
          <w:rFonts w:ascii="Courier New" w:cs="Courier New" w:eastAsia="Courier New" w:hAnsi="Courier New"/>
          <w:sz w:val="14"/>
          <w:szCs w:val="14"/>
          <w:color w:val="auto"/>
        </w:rPr>
        <w:t>Retail Properties by Region - Summary</w:t>
      </w:r>
    </w:p>
    <w:p>
      <w:pPr>
        <w:sectPr>
          <w:pgSz w:w="11900" w:h="16838" w:orient="portrait"/>
          <w:cols w:equalWidth="0" w:num="1">
            <w:col w:w="10860"/>
          </w:cols>
          <w:pgMar w:left="220" w:top="451" w:right="819" w:bottom="10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4"/>
                <w:szCs w:val="24"/>
                <w:color w:val="auto"/>
              </w:rPr>
            </w:pPr>
          </w:p>
        </w:tc>
        <w:tc>
          <w:tcPr>
            <w:tcW w:w="292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Gross Leasable Area</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Occupancy</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Anchors(1)</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Shops</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Total</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Anchors</w:t>
            </w:r>
          </w:p>
        </w:tc>
        <w:tc>
          <w:tcPr>
            <w:tcW w:w="3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Shops</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Wholly-Owned Retail Properties</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2,517,651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843,602</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3,361,253</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98.36%</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84.15%</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94.79%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307,225</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406,696</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713,921</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90.23%</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86.32%</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88.01%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446,756</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289,401</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736,157</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92.89%</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97.20%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1,227,368</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621,446</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1,848,814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96.10%</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83.27%</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91.79%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526,936</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618,419</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1,145,355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87.67%</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67.37%</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76.71%</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Total Retail Properties</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5,025,936</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2,779,564</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7,805,500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96.34%</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81.45%</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91.04%</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Redevelopment Properties(2)</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390,144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137,010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527,154</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73.39%</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83.56%</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76.04%</w:t>
            </w:r>
          </w:p>
        </w:tc>
      </w:tr>
      <w:tr>
        <w:trPr>
          <w:trHeight w:val="331"/>
        </w:trPr>
        <w:tc>
          <w:tcPr>
            <w:tcW w:w="4100" w:type="dxa"/>
            <w:vAlign w:val="bottom"/>
          </w:tcPr>
          <w:p>
            <w:pPr>
              <w:spacing w:after="0"/>
              <w:rPr>
                <w:sz w:val="24"/>
                <w:szCs w:val="2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Grand Total - Wholly-Owned Retail Properties</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5,416,080</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2,916,574</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8,332,654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94.69%</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81.55%</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90.09%</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497"/>
        </w:trPr>
        <w:tc>
          <w:tcPr>
            <w:tcW w:w="41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Unconsolidated Retail Properties</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New York Region(3)</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191,363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119,556</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310,919</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91.01%</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96.54%</w:t>
            </w:r>
          </w:p>
        </w:tc>
      </w:tr>
      <w:tr>
        <w:trPr>
          <w:trHeight w:val="331"/>
        </w:trPr>
        <w:tc>
          <w:tcPr>
            <w:tcW w:w="4100" w:type="dxa"/>
            <w:vAlign w:val="bottom"/>
          </w:tcPr>
          <w:p>
            <w:pPr>
              <w:spacing w:after="0"/>
              <w:rPr>
                <w:sz w:val="24"/>
                <w:szCs w:val="2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191,363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119,556</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310,919</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91.01%</w:t>
            </w:r>
          </w:p>
        </w:tc>
        <w:tc>
          <w:tcPr>
            <w:tcW w:w="15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96.54%</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497"/>
        </w:trPr>
        <w:tc>
          <w:tcPr>
            <w:tcW w:w="4100" w:type="dxa"/>
            <w:vAlign w:val="bottom"/>
          </w:tcPr>
          <w:p>
            <w:pPr>
              <w:spacing w:after="0"/>
              <w:rPr>
                <w:sz w:val="24"/>
                <w:szCs w:val="2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4100" w:type="dxa"/>
            <w:vAlign w:val="bottom"/>
          </w:tcPr>
          <w:p>
            <w:pPr>
              <w:spacing w:after="0"/>
              <w:rPr>
                <w:sz w:val="14"/>
                <w:szCs w:val="14"/>
                <w:color w:val="auto"/>
              </w:rPr>
            </w:pPr>
          </w:p>
        </w:tc>
        <w:tc>
          <w:tcPr>
            <w:tcW w:w="292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Annualized Base Rent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34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Anchors</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Shops</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13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Anchors</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Shops</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Totals</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Wholly-Owned Retail Properties</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$ 9,706,690</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$ 5,698,021</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15,404,711</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2,078,241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4,421,339</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6,499,580</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12.59</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3,423,274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2,341,179</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5,764,453</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8.71</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9,836,093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7,389,899</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17,225,992</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14.28</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1,841,620</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2,031,479</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3,873,099</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Total Retail Properties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26,885,918</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21,881,917</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48,767,835</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9.67</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Redevelopment Properties(2)</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692,221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2,115,757</w:t>
            </w:r>
          </w:p>
        </w:tc>
        <w:tc>
          <w:tcPr>
            <w:tcW w:w="3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2,807,978</w:t>
            </w:r>
          </w:p>
        </w:tc>
        <w:tc>
          <w:tcPr>
            <w:tcW w:w="5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c>
          <w:tcPr>
            <w:tcW w:w="52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18.48</w:t>
            </w:r>
          </w:p>
        </w:tc>
        <w:tc>
          <w:tcPr>
            <w:tcW w:w="2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11.55</w:t>
            </w:r>
          </w:p>
        </w:tc>
      </w:tr>
      <w:tr>
        <w:trPr>
          <w:trHeight w:val="331"/>
        </w:trPr>
        <w:tc>
          <w:tcPr>
            <w:tcW w:w="4100" w:type="dxa"/>
            <w:vAlign w:val="bottom"/>
          </w:tcPr>
          <w:p>
            <w:pPr>
              <w:spacing w:after="0"/>
              <w:rPr>
                <w:sz w:val="24"/>
                <w:szCs w:val="2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Grand Total - Wholly-Owned Retail Properties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27,578,139</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23,997,674</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51,575,813</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10.09</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7.11</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497"/>
        </w:trPr>
        <w:tc>
          <w:tcPr>
            <w:tcW w:w="41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Unconsolidated Retail Properties</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New York Region(3)</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1,790,546</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3,138,795</w:t>
            </w:r>
          </w:p>
        </w:tc>
        <w:tc>
          <w:tcPr>
            <w:tcW w:w="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4,929,341</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c>
          <w:tcPr>
            <w:tcW w:w="52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28.85</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w:t>
            </w:r>
          </w:p>
        </w:tc>
      </w:tr>
      <w:tr>
        <w:trPr>
          <w:trHeight w:val="331"/>
        </w:trPr>
        <w:tc>
          <w:tcPr>
            <w:tcW w:w="4100" w:type="dxa"/>
            <w:vAlign w:val="bottom"/>
          </w:tcPr>
          <w:p>
            <w:pPr>
              <w:spacing w:after="0"/>
              <w:rPr>
                <w:sz w:val="24"/>
                <w:szCs w:val="2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$ 1,790,546</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$ 3,138,795</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4,929,341</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28.85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16.42</w:t>
            </w:r>
          </w:p>
        </w:tc>
      </w:tr>
      <w:tr>
        <w:trPr>
          <w:trHeight w:val="166"/>
        </w:trPr>
        <w:tc>
          <w:tcPr>
            <w:tcW w:w="4100" w:type="dxa"/>
            <w:vAlign w:val="bottom"/>
          </w:tcPr>
          <w:p>
            <w:pPr>
              <w:spacing w:after="0"/>
              <w:rPr>
                <w:sz w:val="14"/>
                <w:szCs w:val="14"/>
                <w:color w:val="auto"/>
              </w:rPr>
            </w:pPr>
          </w:p>
        </w:tc>
        <w:tc>
          <w:tcPr>
            <w:tcW w:w="676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414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163" w:lineRule="exact"/>
        <w:rPr>
          <w:sz w:val="20"/>
          <w:szCs w:val="20"/>
          <w:color w:val="auto"/>
        </w:rPr>
      </w:pPr>
    </w:p>
    <w:p>
      <w:pPr>
        <w:jc w:val="both"/>
        <w:ind w:left="360" w:right="3960" w:hanging="352"/>
        <w:spacing w:after="0" w:line="250"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GLA includes a total of 250,116 square feet which is not owned by the Company. This square footage has been adjusted out in calculating annualized base rent per square foot.</w:t>
      </w:r>
    </w:p>
    <w:p>
      <w:pPr>
        <w:spacing w:after="0" w:line="1" w:lineRule="exact"/>
        <w:rPr>
          <w:rFonts w:ascii="Courier New" w:cs="Courier New" w:eastAsia="Courier New" w:hAnsi="Courier New"/>
          <w:sz w:val="14"/>
          <w:szCs w:val="14"/>
          <w:color w:val="auto"/>
        </w:rPr>
      </w:pPr>
    </w:p>
    <w:p>
      <w:pPr>
        <w:ind w:left="360" w:right="4140" w:hanging="352"/>
        <w:spacing w:after="0" w:line="250"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currently has 4 redevelopment projects as further described on page 41</w:t>
      </w:r>
    </w:p>
    <w:p>
      <w:pPr>
        <w:ind w:left="360" w:right="4040" w:hanging="352"/>
        <w:spacing w:after="0" w:line="255"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49% interest in two partnerships which, together, own the Crossroads Shopping Center.</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860"/>
          </w:cols>
          <w:pgMar w:left="220" w:top="451" w:right="819" w:bottom="1088" w:gutter="0" w:footer="0" w:header="0"/>
          <w:type w:val="continuous"/>
        </w:sectPr>
      </w:pPr>
    </w:p>
    <w:bookmarkStart w:id="29" w:name="page30"/>
    <w:bookmarkEnd w:id="29"/>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4539"/>
          </w:cols>
          <w:pgMar w:left="220" w:top="782" w:right="1440" w:bottom="1440" w:gutter="0" w:footer="0" w:header="0"/>
        </w:sect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Commercial Properties by Region - Detail</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6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Gross Leasable Area</w:t>
            </w:r>
          </w:p>
        </w:tc>
        <w:tc>
          <w:tcPr>
            <w:tcW w:w="8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c>
          <w:tcPr>
            <w:tcW w:w="86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Anchors</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Shops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Anchors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Shops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320" w:type="dxa"/>
            <w:vAlign w:val="bottom"/>
          </w:tcPr>
          <w:p>
            <w:pPr>
              <w:ind w:left="380"/>
              <w:spacing w:after="0"/>
              <w:rPr>
                <w:sz w:val="20"/>
                <w:szCs w:val="20"/>
                <w:color w:val="auto"/>
              </w:rPr>
            </w:pPr>
            <w:r>
              <w:rPr>
                <w:rFonts w:ascii="Courier New" w:cs="Courier New" w:eastAsia="Courier New" w:hAnsi="Courier New"/>
                <w:sz w:val="14"/>
                <w:szCs w:val="14"/>
                <w:color w:val="auto"/>
              </w:rPr>
              <w:t>Retail Properties - Wholly Owned</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80" w:type="dxa"/>
            <w:vAlign w:val="bottom"/>
          </w:tcPr>
          <w:p>
            <w:pPr>
              <w:spacing w:after="0"/>
              <w:rPr>
                <w:sz w:val="24"/>
                <w:szCs w:val="24"/>
                <w:color w:val="auto"/>
              </w:rPr>
            </w:pPr>
          </w:p>
        </w:tc>
        <w:tc>
          <w:tcPr>
            <w:tcW w:w="3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Mid-Atlantic</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Pennsylvania</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AMES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88,354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96,154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91.89%</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BIRNEY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135,493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193,899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98.71%</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BLACKMAN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104,956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92.37%</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BRADFORD TOWNE CENTRE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146,499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110,220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256,719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87.85%</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CIRCLE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92,171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92,171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DUNMORE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39,680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45,380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EAST END CENTER</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176,200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132,227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308,427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96.28%</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GREENRIDGE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145,420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52,882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198,302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85.53%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96.14%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KINGSTON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96.91%</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LUZERNE STREET SHOPPING CENTER(1)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54,618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MARK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157,595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56,426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91.31%</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MONROE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128,129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MOUNTAINVILLE SHOPPING CENTER(2)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68,008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49,239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117,247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90.86%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96.16%</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PITTSTON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79,568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31,730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113,530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92.12%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97.80%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422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124,113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30,678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154,791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86.64%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ROUTE 6 MALL</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119,658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175,482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97.15%</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SHILLINGTON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134,607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150,742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TIOGA WEST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113,338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122,338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25TH STREET SHOPPING CENTER</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102,677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131,477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96.13%</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UNION PLAZA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217,992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217,992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VALMONT PLAZA(3)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137,817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62,347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91.18%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76.66%</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Total: Pennsylvania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2,414,316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828,402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3,242,718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94.60%</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Virginia</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KINGS FAIRGROUNDS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103,335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118,535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Total: Virginia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103,335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118,535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Mid-Atlantic</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2,517,651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843,602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3,361,253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94.79%</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2" w:right="1440" w:bottom="1440" w:gutter="0" w:footer="0" w:header="0"/>
          <w:type w:val="continuous"/>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52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Annualized Base Rent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Occupied Square</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Foot</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Anchors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Shops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Anchors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Shops</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320" w:type="dxa"/>
            <w:vAlign w:val="bottom"/>
          </w:tcPr>
          <w:p>
            <w:pPr>
              <w:ind w:left="380"/>
              <w:spacing w:after="0"/>
              <w:rPr>
                <w:sz w:val="20"/>
                <w:szCs w:val="20"/>
                <w:color w:val="auto"/>
              </w:rPr>
            </w:pPr>
            <w:r>
              <w:rPr>
                <w:rFonts w:ascii="Courier New" w:cs="Courier New" w:eastAsia="Courier New" w:hAnsi="Courier New"/>
                <w:sz w:val="14"/>
                <w:szCs w:val="14"/>
                <w:color w:val="auto"/>
              </w:rPr>
              <w:t>Retail Properties - Wholly Owned</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480" w:type="dxa"/>
            <w:vAlign w:val="bottom"/>
          </w:tcPr>
          <w:p>
            <w:pPr>
              <w:spacing w:after="0"/>
              <w:rPr>
                <w:sz w:val="24"/>
                <w:szCs w:val="24"/>
                <w:color w:val="auto"/>
              </w:rPr>
            </w:pPr>
          </w:p>
        </w:tc>
        <w:tc>
          <w:tcPr>
            <w:tcW w:w="3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Mid-Atlantic</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Pennsylvania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AMES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189,263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189,263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BIRNEY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311,544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335,250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646,794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BLACKMAN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204,664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222,164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BRADFORD TOWNE CENTRE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887,469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515,352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1,402,821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CIRCLE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252,289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252,289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DUNMORE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89,134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63,935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153,069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11.22</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EAST END CENTER</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1,117,500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1,051,455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2,168,955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GREENRIDGE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659,405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378,783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1,038,188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KINGSTON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280,750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116,250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LUZERNE STREET SHOPPING CENTER(1)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272,150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18,890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291,040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MARK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625,776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292,082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917,858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7.72</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MONROE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423,718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30,280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MOUNTAINVILLE SHOPPING CENTER(2)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225,416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359,082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584,498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8.03</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PITTSTON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492,212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117,125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609,337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7.66</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216,988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146,350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363,338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422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262,030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63,450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325,480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ROUTE 6 MALL</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687,951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333,557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1,021,508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SHILLINGTON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367,720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212,260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579,980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TIOGA WEST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373,847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445,847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25TH STREET SHOPPING CENTER</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274,450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1,130,152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1,404,602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11.11</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UNION PLAZA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938,730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938,730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VALMONT PLAZA(3)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371,868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591,868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Total: Pennsylvania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9,373,006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5,625,621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14,998,627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Virginia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KINGS FAIRGROUNDS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333,684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72,400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406,084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Total: Virginia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333,684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72,400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406,084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Mid-Atlantic</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9,706,690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5,698,021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15,404,711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8.03</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329" w:lineRule="exact"/>
        <w:rPr>
          <w:sz w:val="20"/>
          <w:szCs w:val="20"/>
          <w:color w:val="auto"/>
        </w:rPr>
      </w:pPr>
    </w:p>
    <w:p>
      <w:pPr>
        <w:ind w:left="360" w:right="3419" w:hanging="352"/>
        <w:spacing w:after="0" w:line="250"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Chopper supermarket occupying 40,618 square feet is not operating but continues to pay rent pursuant to their lease.</w:t>
      </w:r>
    </w:p>
    <w:p>
      <w:pPr>
        <w:ind w:left="360" w:right="3859" w:hanging="352"/>
        <w:spacing w:after="0" w:line="250"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Acme supermarket occupying 32,200 square feet is not operating but continues to pay rent pursuant to their lease.</w:t>
      </w:r>
    </w:p>
    <w:p>
      <w:pPr>
        <w:ind w:left="360" w:right="3519" w:hanging="352"/>
        <w:spacing w:after="0" w:line="255"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Ames store occupying 96,600 square feet is not operating but continues to pay rent pursuant to their lease.</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947" w:right="1440" w:bottom="1440" w:gutter="0" w:footer="0" w:header="0"/>
        </w:sectPr>
      </w:pPr>
    </w:p>
    <w:bookmarkStart w:id="31" w:name="page32"/>
    <w:bookmarkEnd w:id="31"/>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Commercial Properties by Region - Detail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spacing w:after="0"/>
              <w:rPr>
                <w:sz w:val="24"/>
                <w:szCs w:val="24"/>
                <w:color w:val="auto"/>
              </w:rPr>
            </w:pPr>
          </w:p>
        </w:tc>
        <w:tc>
          <w:tcPr>
            <w:tcW w:w="296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Gross Leaseable Area</w:t>
            </w:r>
          </w:p>
        </w:tc>
        <w:tc>
          <w:tcPr>
            <w:tcW w:w="10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Occupancy</w:t>
            </w: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Anchors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Shops</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Anchors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Shops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ind w:left="2080"/>
              <w:spacing w:after="0"/>
              <w:rPr>
                <w:sz w:val="20"/>
                <w:szCs w:val="20"/>
                <w:color w:val="auto"/>
              </w:rPr>
            </w:pPr>
            <w:r>
              <w:rPr>
                <w:rFonts w:ascii="Courier New" w:cs="Courier New" w:eastAsia="Courier New" w:hAnsi="Courier New"/>
                <w:sz w:val="14"/>
                <w:szCs w:val="14"/>
                <w:color w:val="auto"/>
              </w:rPr>
              <w:t>Retail Properties - Wholly Owned</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49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Midwest</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HOBSON WEST PLAZA</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42,037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57,913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99,950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95.13%</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Illinois</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42,037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57,913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99,950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95.13%</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101,357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134,063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235,420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Indiana</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101,357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134,063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235,420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BLOOMFIELD TOWN SQUARE</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105,646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118,937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224,583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72.69%</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Michigan</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105,646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118,937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224,583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72.69%</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MAD RIVER STATION(1)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58,185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95,783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153,968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87.38%</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Ohio</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58,185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95,783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153,968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87.38%</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760"/>
              <w:spacing w:after="0"/>
              <w:rPr>
                <w:sz w:val="20"/>
                <w:szCs w:val="20"/>
                <w:color w:val="auto"/>
              </w:rPr>
            </w:pPr>
            <w:r>
              <w:rPr>
                <w:rFonts w:ascii="Courier New" w:cs="Courier New" w:eastAsia="Courier New" w:hAnsi="Courier New"/>
                <w:sz w:val="14"/>
                <w:szCs w:val="14"/>
                <w:color w:val="auto"/>
              </w:rPr>
              <w:t>Total: Midwest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307,225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406,696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713,921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90.23%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88.01%</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New England</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TOWN LINE PLAZA(2)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161,965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43,893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205,858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239 GREENWICH AVENUE(3)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16,834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16,834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Connecticut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178,799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43,893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222,692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CRESCENT PLAZA(4)</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154,865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61,230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216,095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98.80%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Massachusetts</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154,865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61,230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216,095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98.80%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WALNUT HILL PLAZA</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113,092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184,278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297,370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93.95%</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Rhode Island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113,092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184,278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297,370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93.95%</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600"/>
              <w:spacing w:after="0"/>
              <w:rPr>
                <w:sz w:val="20"/>
                <w:szCs w:val="20"/>
                <w:color w:val="auto"/>
              </w:rPr>
            </w:pPr>
            <w:r>
              <w:rPr>
                <w:rFonts w:ascii="Courier New" w:cs="Courier New" w:eastAsia="Courier New" w:hAnsi="Courier New"/>
                <w:sz w:val="14"/>
                <w:szCs w:val="14"/>
                <w:color w:val="auto"/>
              </w:rPr>
              <w:t>Total: New England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446,756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289,401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736,157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97.20%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860"/>
          </w:cols>
          <w:pgMar w:left="220" w:top="451" w:right="81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[RESTUB]</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97"/>
        </w:trPr>
        <w:tc>
          <w:tcPr>
            <w:tcW w:w="4920" w:type="dxa"/>
            <w:vAlign w:val="bottom"/>
          </w:tcPr>
          <w:p>
            <w:pPr>
              <w:spacing w:after="0"/>
              <w:rPr>
                <w:sz w:val="24"/>
                <w:szCs w:val="2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332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Annualized Base Rent</w:t>
            </w:r>
          </w:p>
        </w:tc>
        <w:tc>
          <w:tcPr>
            <w:tcW w:w="28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Anchors</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Shops</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Anchors</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Shops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ind w:left="2080"/>
              <w:spacing w:after="0"/>
              <w:rPr>
                <w:sz w:val="20"/>
                <w:szCs w:val="20"/>
                <w:color w:val="auto"/>
              </w:rPr>
            </w:pPr>
            <w:r>
              <w:rPr>
                <w:rFonts w:ascii="Courier New" w:cs="Courier New" w:eastAsia="Courier New" w:hAnsi="Courier New"/>
                <w:sz w:val="14"/>
                <w:szCs w:val="14"/>
                <w:color w:val="auto"/>
              </w:rPr>
              <w:t>Retail Properties - Wholly Owned</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49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Midwest</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HOBSON WEST PLAZA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833,079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1,003,079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Illinois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833,079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1,003,079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835,417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1,570,227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2,405,644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Indiana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835,417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1,570,227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2,405,644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BLOOMFIELD TOWN SQUARE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541,257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930,533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1,471,790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Michigan</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541,257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930,533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1,471,790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MAD RIVER STATION(1)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531,567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1,087,500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1,619,067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Ohio</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531,567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1,087,500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1,619,067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760"/>
              <w:spacing w:after="0"/>
              <w:rPr>
                <w:sz w:val="20"/>
                <w:szCs w:val="20"/>
                <w:color w:val="auto"/>
              </w:rPr>
            </w:pPr>
            <w:r>
              <w:rPr>
                <w:rFonts w:ascii="Courier New" w:cs="Courier New" w:eastAsia="Courier New" w:hAnsi="Courier New"/>
                <w:sz w:val="14"/>
                <w:szCs w:val="14"/>
                <w:color w:val="auto"/>
              </w:rPr>
              <w:t>Total: Midwest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2,078,241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4,421,339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6,499,580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10.34</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New England</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TOWN LINE PLAZA(2)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588,139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1,318,139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10.51</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11.63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239 GREENWICH AVENUE(3)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1,125,165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1,125,165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66.84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66.84</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Connecticut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1,855,165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588,139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2,443,304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CRESCENT PLAZA(4)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812,385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464,250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1,276,635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Massachusetts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812,385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464,250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1,276,635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WALNUT HILL PLAZA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755,724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1,288,790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2,044,514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Rhode Island</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755,724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1,288,790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2,044,514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600"/>
              <w:spacing w:after="0"/>
              <w:rPr>
                <w:sz w:val="20"/>
                <w:szCs w:val="20"/>
                <w:color w:val="auto"/>
              </w:rPr>
            </w:pPr>
            <w:r>
              <w:rPr>
                <w:rFonts w:ascii="Courier New" w:cs="Courier New" w:eastAsia="Courier New" w:hAnsi="Courier New"/>
                <w:sz w:val="14"/>
                <w:szCs w:val="14"/>
                <w:color w:val="auto"/>
              </w:rPr>
              <w:t>Total: New England</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3,423,274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2,341,179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5,764,453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9.32</w:t>
            </w:r>
          </w:p>
        </w:tc>
      </w:tr>
      <w:tr>
        <w:trPr>
          <w:trHeight w:val="166"/>
        </w:trPr>
        <w:tc>
          <w:tcPr>
            <w:tcW w:w="4920" w:type="dxa"/>
            <w:vAlign w:val="bottom"/>
          </w:tcPr>
          <w:p>
            <w:pPr>
              <w:spacing w:after="0"/>
              <w:rPr>
                <w:sz w:val="14"/>
                <w:szCs w:val="14"/>
                <w:color w:val="auto"/>
              </w:rPr>
            </w:pP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440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329" w:lineRule="exact"/>
        <w:rPr>
          <w:sz w:val="20"/>
          <w:szCs w:val="20"/>
          <w:color w:val="auto"/>
        </w:rPr>
      </w:pPr>
    </w:p>
    <w:p>
      <w:pPr>
        <w:ind w:left="360" w:hanging="352"/>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GLA for this property includes 27,702 square feet of office space.</w:t>
      </w:r>
    </w:p>
    <w:p>
      <w:pPr>
        <w:spacing w:after="0" w:line="7" w:lineRule="exact"/>
        <w:rPr>
          <w:rFonts w:ascii="Courier New" w:cs="Courier New" w:eastAsia="Courier New" w:hAnsi="Courier New"/>
          <w:sz w:val="14"/>
          <w:szCs w:val="14"/>
          <w:color w:val="auto"/>
        </w:rPr>
      </w:pPr>
    </w:p>
    <w:p>
      <w:pPr>
        <w:ind w:left="360" w:right="4220" w:hanging="352"/>
        <w:spacing w:after="0" w:line="250"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GLA includes a 97,300 square foot Wal*Mart which is not owned by the Company. This square footage has been adjusted out in calculating annualized base rent per square foot.</w:t>
      </w:r>
    </w:p>
    <w:p>
      <w:pPr>
        <w:spacing w:after="0" w:line="1" w:lineRule="exact"/>
        <w:rPr>
          <w:rFonts w:ascii="Courier New" w:cs="Courier New" w:eastAsia="Courier New" w:hAnsi="Courier New"/>
          <w:sz w:val="14"/>
          <w:szCs w:val="14"/>
          <w:color w:val="auto"/>
        </w:rPr>
      </w:pPr>
    </w:p>
    <w:p>
      <w:pPr>
        <w:ind w:left="360" w:right="4820" w:hanging="352"/>
        <w:spacing w:after="0" w:line="250"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239 Greenwich Avenue contains 16,834 square feet of retail GLA and 21 residential units encompassing 14,434 square feet.</w:t>
      </w:r>
    </w:p>
    <w:p>
      <w:pPr>
        <w:ind w:left="360" w:right="4300" w:hanging="352"/>
        <w:spacing w:after="0" w:line="252"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 Depot, which occupies 104,640 square feet at this center, assumed this space from Bradlees during the 1st Quarter 2001 following Bradlees' bankruptcy and liquidation.</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1120"/>
          </w:cols>
          <w:pgMar w:left="220" w:top="616" w:right="559" w:bottom="1440" w:gutter="0" w:footer="0" w:header="0"/>
        </w:sectPr>
      </w:pPr>
    </w:p>
    <w:bookmarkStart w:id="33" w:name="page34"/>
    <w:bookmarkEnd w:id="33"/>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Commercial Properties by Region - Detail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spacing w:after="0"/>
              <w:rPr>
                <w:sz w:val="24"/>
                <w:szCs w:val="24"/>
                <w:color w:val="auto"/>
              </w:rPr>
            </w:pPr>
          </w:p>
        </w:tc>
        <w:tc>
          <w:tcPr>
            <w:tcW w:w="296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Gross Leaseable Area</w:t>
            </w:r>
          </w:p>
        </w:tc>
        <w:tc>
          <w:tcPr>
            <w:tcW w:w="10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Occupancy</w:t>
            </w: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Anchors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Shops</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Anchors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Shops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ind w:left="2080"/>
              <w:spacing w:after="0"/>
              <w:rPr>
                <w:sz w:val="20"/>
                <w:szCs w:val="20"/>
                <w:color w:val="auto"/>
              </w:rPr>
            </w:pPr>
            <w:r>
              <w:rPr>
                <w:rFonts w:ascii="Courier New" w:cs="Courier New" w:eastAsia="Courier New" w:hAnsi="Courier New"/>
                <w:sz w:val="14"/>
                <w:szCs w:val="14"/>
                <w:color w:val="auto"/>
              </w:rPr>
              <w:t>Retail Properties - Wholly Owned</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4920" w:type="dxa"/>
            <w:vAlign w:val="bottom"/>
          </w:tcPr>
          <w:p>
            <w:pPr>
              <w:ind w:left="2760"/>
              <w:spacing w:after="0"/>
              <w:rPr>
                <w:sz w:val="20"/>
                <w:szCs w:val="20"/>
                <w:color w:val="auto"/>
              </w:rPr>
            </w:pPr>
            <w:r>
              <w:rPr>
                <w:rFonts w:ascii="Courier New" w:cs="Courier New" w:eastAsia="Courier New" w:hAnsi="Courier New"/>
                <w:sz w:val="14"/>
                <w:szCs w:val="14"/>
                <w:color w:val="auto"/>
              </w:rPr>
              <w:t>New York Region</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58,031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46,875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104,906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84.11%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127,850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59,328</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187,178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85.58%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342,468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169,605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512,073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93.99%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MANAHAWKIN VILLAGE SHOPPING CENTER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144,053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31,208</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175,261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New Jersey</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672,402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307,016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979,418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92.40%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113,820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180,620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96.28%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VILLAGE COMMONS SHOPPING CENTER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25,192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61,963</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87,155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98.22%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BRANCH SHOPPING PLAZA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83,670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42,170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125,840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97.09%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LOUDON CENTER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226,543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251,743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78.89%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81.00%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100,709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27,770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128,479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PACESETTER PARK SHOPPING CENTER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52,052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43,507</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95,559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81.62%</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554,966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314,430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869,396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91.11%</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340"/>
              <w:spacing w:after="0"/>
              <w:rPr>
                <w:sz w:val="20"/>
                <w:szCs w:val="20"/>
                <w:color w:val="auto"/>
              </w:rPr>
            </w:pPr>
            <w:r>
              <w:rPr>
                <w:rFonts w:ascii="Courier New" w:cs="Courier New" w:eastAsia="Courier New" w:hAnsi="Courier New"/>
                <w:sz w:val="14"/>
                <w:szCs w:val="14"/>
                <w:color w:val="auto"/>
              </w:rPr>
              <w:t>Total: New York Region</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1,227,368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621,446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1,848,814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96.10%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91.79%</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940"/>
              <w:spacing w:after="0"/>
              <w:rPr>
                <w:sz w:val="20"/>
                <w:szCs w:val="20"/>
                <w:color w:val="auto"/>
              </w:rPr>
            </w:pPr>
            <w:r>
              <w:rPr>
                <w:rFonts w:ascii="Courier New" w:cs="Courier New" w:eastAsia="Courier New" w:hAnsi="Courier New"/>
                <w:sz w:val="14"/>
                <w:szCs w:val="14"/>
                <w:color w:val="auto"/>
              </w:rPr>
              <w:t>Southeast</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Alabama</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105,775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101,763</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207,538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111,970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270,329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382,299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65.07%</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Alabama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217,745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372,092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589,837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78.42%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64.90%</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35,980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65,341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101,321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95.46%</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Florida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35,980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65,341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101,321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95.46%</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74,260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39,107</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113,367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94.62%</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Georgia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74,260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39,107</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113,367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94.62%</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91,996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41,896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133,892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80.43%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WESMARK PLAZA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106,955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99,983</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206,938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92.15%</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South Carolina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198,951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141,879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340,830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90.95%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85.61%</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600"/>
              <w:spacing w:after="0"/>
              <w:rPr>
                <w:sz w:val="20"/>
                <w:szCs w:val="20"/>
                <w:color w:val="auto"/>
              </w:rPr>
            </w:pPr>
            <w:r>
              <w:rPr>
                <w:rFonts w:ascii="Courier New" w:cs="Courier New" w:eastAsia="Courier New" w:hAnsi="Courier New"/>
                <w:sz w:val="14"/>
                <w:szCs w:val="14"/>
                <w:color w:val="auto"/>
              </w:rPr>
              <w:t>Total: Southeast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526,936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618,419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1,145,355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87.67%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76.71%</w:t>
            </w:r>
          </w:p>
        </w:tc>
      </w:tr>
      <w:tr>
        <w:trPr>
          <w:trHeight w:val="166"/>
        </w:trPr>
        <w:tc>
          <w:tcPr>
            <w:tcW w:w="4920" w:type="dxa"/>
            <w:vAlign w:val="bottom"/>
          </w:tcPr>
          <w:p>
            <w:pPr>
              <w:spacing w:after="0"/>
              <w:rPr>
                <w:sz w:val="14"/>
                <w:szCs w:val="1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4"/>
                <w:szCs w:val="2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Retail Properties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5,025,936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2,779,564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7,805,500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96.34%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91.04%</w:t>
            </w:r>
          </w:p>
        </w:tc>
      </w:tr>
      <w:tr>
        <w:trPr>
          <w:trHeight w:val="331"/>
        </w:trPr>
        <w:tc>
          <w:tcPr>
            <w:tcW w:w="4920" w:type="dxa"/>
            <w:vAlign w:val="bottom"/>
          </w:tcPr>
          <w:p>
            <w:pPr>
              <w:spacing w:after="0"/>
              <w:rPr>
                <w:sz w:val="24"/>
                <w:szCs w:val="24"/>
                <w:color w:val="auto"/>
              </w:rPr>
            </w:pPr>
          </w:p>
        </w:tc>
        <w:tc>
          <w:tcPr>
            <w:tcW w:w="5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860"/>
          </w:cols>
          <w:pgMar w:left="220" w:top="451" w:right="81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[RESTUB]</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3"/>
        </w:trPr>
        <w:tc>
          <w:tcPr>
            <w:tcW w:w="4920" w:type="dxa"/>
            <w:vAlign w:val="bottom"/>
          </w:tcPr>
          <w:p>
            <w:pPr>
              <w:spacing w:after="0"/>
              <w:rPr>
                <w:sz w:val="24"/>
                <w:szCs w:val="2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358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Annualized Base Rent</w:t>
            </w:r>
          </w:p>
        </w:tc>
        <w:tc>
          <w:tcPr>
            <w:tcW w:w="28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Anchors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Shops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Anchors</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Shops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ind w:left="2080"/>
              <w:spacing w:after="0"/>
              <w:rPr>
                <w:sz w:val="20"/>
                <w:szCs w:val="20"/>
                <w:color w:val="auto"/>
              </w:rPr>
            </w:pPr>
            <w:r>
              <w:rPr>
                <w:rFonts w:ascii="Courier New" w:cs="Courier New" w:eastAsia="Courier New" w:hAnsi="Courier New"/>
                <w:sz w:val="14"/>
                <w:szCs w:val="14"/>
                <w:color w:val="auto"/>
              </w:rPr>
              <w:t>Retail Properties - Wholly Owned</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4920" w:type="dxa"/>
            <w:vAlign w:val="bottom"/>
          </w:tcPr>
          <w:p>
            <w:pPr>
              <w:ind w:left="2760"/>
              <w:spacing w:after="0"/>
              <w:rPr>
                <w:sz w:val="20"/>
                <w:szCs w:val="20"/>
                <w:color w:val="auto"/>
              </w:rPr>
            </w:pPr>
            <w:r>
              <w:rPr>
                <w:rFonts w:ascii="Courier New" w:cs="Courier New" w:eastAsia="Courier New" w:hAnsi="Courier New"/>
                <w:sz w:val="14"/>
                <w:szCs w:val="14"/>
                <w:color w:val="auto"/>
              </w:rPr>
              <w:t>New York Region</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927,574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470,750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1,398,324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15.85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619,400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243,344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862,744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2,926,038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1,564,759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4,490,797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MANAHAWKIN VILLAGE SHOPPING CENTER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1,206,873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358,216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1,565,089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8.93</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New Jersey</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5,679,885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2,637,069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8,316,954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9.19</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1,010,250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1,453,485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2,463,735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15.12</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13.57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14.17</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VILLAGE COMMONS SHOPPING CENTER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407,055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1,417,175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1,824,230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23.46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21.31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BRANCH SHOPPING PLAZA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1,110,114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709,269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1,819,383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13.27</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14.89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LOUDON CENTER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1,132,881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418,050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1,550,931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7.61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196,000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290,625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486,625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PACESETTER PARK SHOPPING CENTER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299,908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464,226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764,134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17.90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4,156,208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4,752,830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8,909,038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16.68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11.25</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340"/>
              <w:spacing w:after="0"/>
              <w:rPr>
                <w:sz w:val="20"/>
                <w:szCs w:val="20"/>
                <w:color w:val="auto"/>
              </w:rPr>
            </w:pPr>
            <w:r>
              <w:rPr>
                <w:rFonts w:ascii="Courier New" w:cs="Courier New" w:eastAsia="Courier New" w:hAnsi="Courier New"/>
                <w:sz w:val="14"/>
                <w:szCs w:val="14"/>
                <w:color w:val="auto"/>
              </w:rPr>
              <w:t>Total: New York Region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9,836,093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7,389,899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17,225,992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10.15</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940"/>
              <w:spacing w:after="0"/>
              <w:rPr>
                <w:sz w:val="20"/>
                <w:szCs w:val="20"/>
                <w:color w:val="auto"/>
              </w:rPr>
            </w:pPr>
            <w:r>
              <w:rPr>
                <w:rFonts w:ascii="Courier New" w:cs="Courier New" w:eastAsia="Courier New" w:hAnsi="Courier New"/>
                <w:sz w:val="14"/>
                <w:szCs w:val="14"/>
                <w:color w:val="auto"/>
              </w:rPr>
              <w:t>Southeast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Alabama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356,274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455,654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227,974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661,098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889,072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Alabama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327,354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1,017,372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1,344,726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275,100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482,004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757,104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7.83</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Florida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275,100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482,004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757,104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7.83</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340,371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173,370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513,741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Georgia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340,371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173,370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513,741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296,500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164,791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461,291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WESMARK PLAZA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602,295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193,942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796,237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5.63</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South Carolina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898,795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358,733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1,257,528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2600"/>
              <w:spacing w:after="0"/>
              <w:rPr>
                <w:sz w:val="20"/>
                <w:szCs w:val="20"/>
                <w:color w:val="auto"/>
              </w:rPr>
            </w:pPr>
            <w:r>
              <w:rPr>
                <w:rFonts w:ascii="Courier New" w:cs="Courier New" w:eastAsia="Courier New" w:hAnsi="Courier New"/>
                <w:sz w:val="14"/>
                <w:szCs w:val="14"/>
                <w:color w:val="auto"/>
              </w:rPr>
              <w:t>Total: Southeast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1,841,620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2,031,479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3,873,099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6"/>
        </w:trPr>
        <w:tc>
          <w:tcPr>
            <w:tcW w:w="4920" w:type="dxa"/>
            <w:vAlign w:val="bottom"/>
          </w:tcPr>
          <w:p>
            <w:pPr>
              <w:spacing w:after="0"/>
              <w:rPr>
                <w:sz w:val="14"/>
                <w:szCs w:val="1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4"/>
                <w:szCs w:val="2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Retail Properties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$ 26,885,918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$21,881,917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$48,767,835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$ 5.67</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$ 9.67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$ 6.96</w:t>
            </w:r>
          </w:p>
        </w:tc>
      </w:tr>
      <w:tr>
        <w:trPr>
          <w:trHeight w:val="331"/>
        </w:trPr>
        <w:tc>
          <w:tcPr>
            <w:tcW w:w="4920" w:type="dxa"/>
            <w:vAlign w:val="bottom"/>
          </w:tcPr>
          <w:p>
            <w:pPr>
              <w:spacing w:after="0"/>
              <w:rPr>
                <w:sz w:val="24"/>
                <w:szCs w:val="24"/>
                <w:color w:val="auto"/>
              </w:rPr>
            </w:pPr>
          </w:p>
        </w:tc>
        <w:tc>
          <w:tcPr>
            <w:tcW w:w="6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466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1380"/>
          </w:cols>
          <w:pgMar w:left="220" w:top="616" w:right="299" w:bottom="1440" w:gutter="0" w:footer="0" w:header="0"/>
        </w:sectPr>
      </w:pPr>
    </w:p>
    <w:bookmarkStart w:id="35" w:name="page36"/>
    <w:bookmarkEnd w:id="35"/>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Commercial Properties by Region - Detail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spacing w:after="0"/>
              <w:rPr>
                <w:sz w:val="24"/>
                <w:szCs w:val="24"/>
                <w:color w:val="auto"/>
              </w:rPr>
            </w:pPr>
          </w:p>
        </w:tc>
        <w:tc>
          <w:tcPr>
            <w:tcW w:w="284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Gross Leaseable Area</w:t>
            </w:r>
          </w:p>
        </w:tc>
        <w:tc>
          <w:tcPr>
            <w:tcW w:w="1020" w:type="dxa"/>
            <w:vAlign w:val="bottom"/>
          </w:tcPr>
          <w:p>
            <w:pPr>
              <w:spacing w:after="0"/>
              <w:rPr>
                <w:sz w:val="24"/>
                <w:szCs w:val="24"/>
                <w:color w:val="auto"/>
              </w:rPr>
            </w:pPr>
          </w:p>
        </w:tc>
        <w:tc>
          <w:tcPr>
            <w:tcW w:w="15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spacing w:after="0"/>
              <w:rPr>
                <w:sz w:val="24"/>
                <w:szCs w:val="24"/>
                <w:color w:val="auto"/>
              </w:rPr>
            </w:pP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Anchors</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Shops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Anchors</w:t>
            </w:r>
          </w:p>
        </w:tc>
        <w:tc>
          <w:tcPr>
            <w:tcW w:w="5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Shops</w:t>
            </w:r>
          </w:p>
        </w:tc>
        <w:tc>
          <w:tcPr>
            <w:tcW w:w="5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ind w:left="1380"/>
              <w:spacing w:after="0"/>
              <w:rPr>
                <w:sz w:val="20"/>
                <w:szCs w:val="20"/>
                <w:color w:val="auto"/>
              </w:rPr>
            </w:pPr>
            <w:r>
              <w:rPr>
                <w:rFonts w:ascii="Courier New" w:cs="Courier New" w:eastAsia="Courier New" w:hAnsi="Courier New"/>
                <w:sz w:val="14"/>
                <w:szCs w:val="14"/>
                <w:color w:val="auto"/>
              </w:rPr>
              <w:t>Redevelopment Properties(1)</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4840" w:type="dxa"/>
            <w:vAlign w:val="bottom"/>
          </w:tcPr>
          <w:p>
            <w:pPr>
              <w:spacing w:after="0"/>
              <w:rPr>
                <w:sz w:val="20"/>
                <w:szCs w:val="20"/>
                <w:color w:val="auto"/>
              </w:rPr>
            </w:pPr>
            <w:r>
              <w:rPr>
                <w:rFonts w:ascii="Courier New" w:cs="Courier New" w:eastAsia="Courier New" w:hAnsi="Courier New"/>
                <w:sz w:val="14"/>
                <w:szCs w:val="14"/>
                <w:color w:val="auto"/>
              </w:rPr>
              <w:t>ABINGTON TOWNE CENTER(2) (Pennsylvania)</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184,616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31,610</w:t>
            </w: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216,226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81.57%</w:t>
            </w:r>
          </w:p>
        </w:tc>
        <w:tc>
          <w:tcPr>
            <w:tcW w:w="52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97.31%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THE GATEWAY SHOPPING CENTER (Vermont)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15,245</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46,845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METHUEN SHOPPING CENTER (Massachusetts)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119,260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10,234</w:t>
            </w: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129,494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25.54%</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31.42%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ELMWOOD PARK SHOPPING CENTER (New Jersey)</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54,668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79,921</w:t>
            </w: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134,589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72.56%</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79.11%</w:t>
            </w:r>
          </w:p>
        </w:tc>
        <w:tc>
          <w:tcPr>
            <w:tcW w:w="5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76.45%</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Retail Properties - Redevelopment Properties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390,144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137,010</w:t>
            </w: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527,154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73.39%</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83.56%</w:t>
            </w:r>
          </w:p>
        </w:tc>
        <w:tc>
          <w:tcPr>
            <w:tcW w:w="52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76.04%</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spacing w:after="0"/>
              <w:rPr>
                <w:sz w:val="24"/>
                <w:szCs w:val="2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ind w:left="1120"/>
              <w:spacing w:after="0"/>
              <w:rPr>
                <w:sz w:val="20"/>
                <w:szCs w:val="20"/>
                <w:color w:val="auto"/>
              </w:rPr>
            </w:pPr>
            <w:r>
              <w:rPr>
                <w:rFonts w:ascii="Courier New" w:cs="Courier New" w:eastAsia="Courier New" w:hAnsi="Courier New"/>
                <w:sz w:val="14"/>
                <w:szCs w:val="14"/>
                <w:color w:val="auto"/>
              </w:rPr>
              <w:t>Total: All Wholly-Owned Retail Properties</w:t>
            </w:r>
          </w:p>
        </w:tc>
        <w:tc>
          <w:tcPr>
            <w:tcW w:w="28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5,416,080  2,916,574  8,332,654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94.69%</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81.55%</w:t>
            </w:r>
          </w:p>
        </w:tc>
        <w:tc>
          <w:tcPr>
            <w:tcW w:w="52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90.09%</w:t>
            </w:r>
          </w:p>
        </w:tc>
      </w:tr>
      <w:tr>
        <w:trPr>
          <w:trHeight w:val="331"/>
        </w:trPr>
        <w:tc>
          <w:tcPr>
            <w:tcW w:w="4840" w:type="dxa"/>
            <w:vAlign w:val="bottom"/>
          </w:tcPr>
          <w:p>
            <w:pPr>
              <w:spacing w:after="0"/>
              <w:rPr>
                <w:sz w:val="24"/>
                <w:szCs w:val="2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663"/>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[RESTUB]</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4840" w:type="dxa"/>
            <w:vAlign w:val="bottom"/>
          </w:tcPr>
          <w:p>
            <w:pPr>
              <w:spacing w:after="0"/>
              <w:rPr>
                <w:sz w:val="24"/>
                <w:szCs w:val="2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8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48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1020" w:type="dxa"/>
            <w:vAlign w:val="bottom"/>
          </w:tcPr>
          <w:p>
            <w:pPr>
              <w:spacing w:after="0"/>
              <w:rPr>
                <w:sz w:val="14"/>
                <w:szCs w:val="14"/>
                <w:color w:val="auto"/>
              </w:rPr>
            </w:pPr>
          </w:p>
        </w:tc>
        <w:tc>
          <w:tcPr>
            <w:tcW w:w="268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Anchors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Shops</w:t>
            </w:r>
          </w:p>
        </w:tc>
        <w:tc>
          <w:tcPr>
            <w:tcW w:w="140" w:type="dxa"/>
            <w:vAlign w:val="bottom"/>
          </w:tcPr>
          <w:p>
            <w:pPr>
              <w:spacing w:after="0"/>
              <w:rPr>
                <w:sz w:val="14"/>
                <w:szCs w:val="14"/>
                <w:color w:val="auto"/>
              </w:rPr>
            </w:pP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Total</w:t>
            </w:r>
          </w:p>
        </w:tc>
        <w:tc>
          <w:tcPr>
            <w:tcW w:w="10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Anchors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Shops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ind w:left="1380"/>
              <w:spacing w:after="0"/>
              <w:rPr>
                <w:sz w:val="20"/>
                <w:szCs w:val="20"/>
                <w:color w:val="auto"/>
              </w:rPr>
            </w:pPr>
            <w:r>
              <w:rPr>
                <w:rFonts w:ascii="Courier New" w:cs="Courier New" w:eastAsia="Courier New" w:hAnsi="Courier New"/>
                <w:sz w:val="14"/>
                <w:szCs w:val="14"/>
                <w:color w:val="auto"/>
              </w:rPr>
              <w:t>Redevelopment Properties(1)</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4840" w:type="dxa"/>
            <w:vAlign w:val="bottom"/>
          </w:tcPr>
          <w:p>
            <w:pPr>
              <w:spacing w:after="0"/>
              <w:rPr>
                <w:sz w:val="20"/>
                <w:szCs w:val="20"/>
                <w:color w:val="auto"/>
              </w:rPr>
            </w:pPr>
            <w:r>
              <w:rPr>
                <w:rFonts w:ascii="Courier New" w:cs="Courier New" w:eastAsia="Courier New" w:hAnsi="Courier New"/>
                <w:sz w:val="14"/>
                <w:szCs w:val="14"/>
                <w:color w:val="auto"/>
              </w:rPr>
              <w:t>ABINGTON TOWNE CENTER(2) (Pennsylvania)</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256,500</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363,566</w:t>
            </w:r>
          </w:p>
        </w:tc>
        <w:tc>
          <w:tcPr>
            <w:tcW w:w="520" w:type="dxa"/>
            <w:vAlign w:val="bottom"/>
          </w:tcPr>
          <w:p>
            <w:pPr>
              <w:spacing w:after="0"/>
              <w:rPr>
                <w:sz w:val="24"/>
                <w:szCs w:val="2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620,066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THE GATEWAY SHOPPING CENTER (Vermont)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126,400</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225,695</w:t>
            </w:r>
          </w:p>
        </w:tc>
        <w:tc>
          <w:tcPr>
            <w:tcW w:w="5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352,095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METHUEN SHOPPING CENTER (Massachusetts)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109,656</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92,308</w:t>
            </w:r>
          </w:p>
        </w:tc>
        <w:tc>
          <w:tcPr>
            <w:tcW w:w="5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201,964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ELMWOOD PARK SHOPPING CENTER (New Jersey)</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199,665</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1,434,188</w:t>
            </w: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1,633,853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5.03</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15.88</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Retail Properties - Redevelopment Properties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$ 692,221</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$ 2,115,757</w:t>
            </w: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$ 2,807,978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$ 5.38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$ 11.55</w:t>
            </w:r>
          </w:p>
        </w:tc>
      </w:tr>
      <w:tr>
        <w:trPr>
          <w:trHeight w:val="166"/>
        </w:trPr>
        <w:tc>
          <w:tcPr>
            <w:tcW w:w="4840" w:type="dxa"/>
            <w:vAlign w:val="bottom"/>
          </w:tcPr>
          <w:p>
            <w:pPr>
              <w:spacing w:after="0"/>
              <w:rPr>
                <w:sz w:val="14"/>
                <w:szCs w:val="1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spacing w:after="0"/>
              <w:rPr>
                <w:sz w:val="24"/>
                <w:szCs w:val="2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ind w:left="1120"/>
              <w:spacing w:after="0"/>
              <w:rPr>
                <w:sz w:val="20"/>
                <w:szCs w:val="20"/>
                <w:color w:val="auto"/>
              </w:rPr>
            </w:pPr>
            <w:r>
              <w:rPr>
                <w:rFonts w:ascii="Courier New" w:cs="Courier New" w:eastAsia="Courier New" w:hAnsi="Courier New"/>
                <w:sz w:val="14"/>
                <w:szCs w:val="14"/>
                <w:color w:val="auto"/>
              </w:rPr>
              <w:t>Total: All Wholly-Owned Retail Properties</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$ 27,578,139</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$23,997,674</w:t>
            </w: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$51,575,813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$ 5.66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$ 7.11</w:t>
            </w:r>
          </w:p>
        </w:tc>
      </w:tr>
      <w:tr>
        <w:trPr>
          <w:trHeight w:val="331"/>
        </w:trPr>
        <w:tc>
          <w:tcPr>
            <w:tcW w:w="4840" w:type="dxa"/>
            <w:vAlign w:val="bottom"/>
          </w:tcPr>
          <w:p>
            <w:pPr>
              <w:spacing w:after="0"/>
              <w:rPr>
                <w:sz w:val="24"/>
                <w:szCs w:val="24"/>
                <w:color w:val="auto"/>
              </w:rPr>
            </w:pPr>
          </w:p>
        </w:tc>
        <w:tc>
          <w:tcPr>
            <w:tcW w:w="6540" w:type="dxa"/>
            <w:vAlign w:val="bottom"/>
            <w:gridSpan w:val="9"/>
          </w:tcPr>
          <w:p>
            <w:pPr>
              <w:ind w:left="16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451" w:right="29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497"/>
        </w:trPr>
        <w:tc>
          <w:tcPr>
            <w:tcW w:w="4620" w:type="dxa"/>
            <w:vAlign w:val="bottom"/>
          </w:tcPr>
          <w:p>
            <w:pPr>
              <w:spacing w:after="0"/>
              <w:rPr>
                <w:sz w:val="24"/>
                <w:szCs w:val="24"/>
                <w:color w:val="auto"/>
              </w:rPr>
            </w:pPr>
          </w:p>
        </w:tc>
        <w:tc>
          <w:tcPr>
            <w:tcW w:w="340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Gross Leaseable Area</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Occupancy</w:t>
            </w:r>
          </w:p>
        </w:tc>
        <w:tc>
          <w:tcPr>
            <w:tcW w:w="1040" w:type="dxa"/>
            <w:vAlign w:val="bottom"/>
          </w:tcPr>
          <w:p>
            <w:pPr>
              <w:spacing w:after="0"/>
              <w:rPr>
                <w:sz w:val="24"/>
                <w:szCs w:val="24"/>
                <w:color w:val="auto"/>
              </w:rPr>
            </w:pP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Anchors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Shops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Anchors</w:t>
            </w:r>
          </w:p>
        </w:tc>
        <w:tc>
          <w:tcPr>
            <w:tcW w:w="5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ind w:left="1480"/>
              <w:spacing w:after="0"/>
              <w:rPr>
                <w:sz w:val="20"/>
                <w:szCs w:val="20"/>
                <w:color w:val="auto"/>
              </w:rPr>
            </w:pPr>
            <w:r>
              <w:rPr>
                <w:rFonts w:ascii="Courier New" w:cs="Courier New" w:eastAsia="Courier New" w:hAnsi="Courier New"/>
                <w:sz w:val="14"/>
                <w:szCs w:val="14"/>
                <w:color w:val="auto"/>
              </w:rPr>
              <w:t>Unconsolidated Retail Properties</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620" w:type="dxa"/>
            <w:vAlign w:val="bottom"/>
          </w:tcPr>
          <w:p>
            <w:pPr>
              <w:ind w:left="2080"/>
              <w:spacing w:after="0"/>
              <w:rPr>
                <w:sz w:val="20"/>
                <w:szCs w:val="20"/>
                <w:color w:val="auto"/>
              </w:rPr>
            </w:pPr>
            <w:r>
              <w:rPr>
                <w:rFonts w:ascii="Courier New" w:cs="Courier New" w:eastAsia="Courier New" w:hAnsi="Courier New"/>
                <w:sz w:val="14"/>
                <w:szCs w:val="14"/>
                <w:color w:val="auto"/>
              </w:rPr>
              <w:t>New York Region</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CROSSROADS JOINT VENTURE(2)</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138,933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57,116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196,049</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84.64%</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95.53%</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CROSSROADS II(2)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52,430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62,440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114,870</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96.83%</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98.28%</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191,363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119,556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310,919</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91.01%</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96.54%</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New York Region</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191,363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119,556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310,919</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91.01%</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96.54%</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191,363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119,556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310,919</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91.01%</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96.54%</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497"/>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[RESTUB]</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4620" w:type="dxa"/>
            <w:vAlign w:val="bottom"/>
          </w:tcPr>
          <w:p>
            <w:pPr>
              <w:spacing w:after="0"/>
              <w:rPr>
                <w:sz w:val="24"/>
                <w:szCs w:val="2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4620" w:type="dxa"/>
            <w:vAlign w:val="bottom"/>
          </w:tcPr>
          <w:p>
            <w:pPr>
              <w:spacing w:after="0"/>
              <w:rPr>
                <w:sz w:val="14"/>
                <w:szCs w:val="14"/>
                <w:color w:val="auto"/>
              </w:rPr>
            </w:pPr>
          </w:p>
        </w:tc>
        <w:tc>
          <w:tcPr>
            <w:tcW w:w="340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Annualized Base Rent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Anchors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Shops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Anchors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Shops</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ind w:left="1480"/>
              <w:spacing w:after="0"/>
              <w:rPr>
                <w:sz w:val="20"/>
                <w:szCs w:val="20"/>
                <w:color w:val="auto"/>
              </w:rPr>
            </w:pPr>
            <w:r>
              <w:rPr>
                <w:rFonts w:ascii="Courier New" w:cs="Courier New" w:eastAsia="Courier New" w:hAnsi="Courier New"/>
                <w:sz w:val="14"/>
                <w:szCs w:val="14"/>
                <w:color w:val="auto"/>
              </w:rPr>
              <w:t>Unconsolidated Retail Properties</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620" w:type="dxa"/>
            <w:vAlign w:val="bottom"/>
          </w:tcPr>
          <w:p>
            <w:pPr>
              <w:ind w:left="2080"/>
              <w:spacing w:after="0"/>
              <w:rPr>
                <w:sz w:val="20"/>
                <w:szCs w:val="20"/>
                <w:color w:val="auto"/>
              </w:rPr>
            </w:pPr>
            <w:r>
              <w:rPr>
                <w:rFonts w:ascii="Courier New" w:cs="Courier New" w:eastAsia="Courier New" w:hAnsi="Courier New"/>
                <w:sz w:val="14"/>
                <w:szCs w:val="14"/>
                <w:color w:val="auto"/>
              </w:rPr>
              <w:t>New York Region</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CROSSROADS JOINT VENTURE(2)</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$ 1,070,250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$ 1,337,313</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$ 2,407,563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$ 27.66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$ 12.86</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CROSSROADS II(2)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720,296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1,801,482</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2,521,778</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13.74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22.34</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1,790,546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3,138,795</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4,929,341</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16.42</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New York Region</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1,790,546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3,138,795</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4,929,341</w:t>
            </w:r>
          </w:p>
        </w:tc>
        <w:tc>
          <w:tcPr>
            <w:tcW w:w="30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16.42</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$ 1,790,546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$ 3,138,795</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$ 4,929,341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$ 16.42</w:t>
            </w:r>
          </w:p>
        </w:tc>
      </w:tr>
      <w:tr>
        <w:trPr>
          <w:trHeight w:val="166"/>
        </w:trPr>
        <w:tc>
          <w:tcPr>
            <w:tcW w:w="4620" w:type="dxa"/>
            <w:vAlign w:val="bottom"/>
          </w:tcPr>
          <w:p>
            <w:pPr>
              <w:spacing w:after="0"/>
              <w:rPr>
                <w:sz w:val="14"/>
                <w:szCs w:val="14"/>
                <w:color w:val="auto"/>
              </w:rPr>
            </w:pPr>
          </w:p>
        </w:tc>
        <w:tc>
          <w:tcPr>
            <w:tcW w:w="668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General note</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The above occupancy</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and rent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do not include space which</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is currently</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but for which</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rent payment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has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not yet commenced. Tenants</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who comprise</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greater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than 10% of a</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center's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GLA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are</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considered anchor tenants.</w:t>
            </w:r>
          </w:p>
        </w:tc>
      </w:tr>
    </w:tbl>
    <w:p>
      <w:pPr>
        <w:spacing w:after="0" w:line="335" w:lineRule="exact"/>
        <w:rPr>
          <w:sz w:val="20"/>
          <w:szCs w:val="20"/>
          <w:color w:val="auto"/>
        </w:rPr>
      </w:pPr>
    </w:p>
    <w:p>
      <w:pPr>
        <w:ind w:left="360" w:right="4580" w:hanging="352"/>
        <w:spacing w:after="0" w:line="250"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currently has 4 redevelopment projects as further described on page 41</w:t>
      </w:r>
    </w:p>
    <w:p>
      <w:pPr>
        <w:ind w:left="360" w:right="4400" w:hanging="352"/>
        <w:spacing w:after="0" w:line="252"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GLA includes a 157,616 square foot Target which is not owned by the Company. This square footage has been adjusted out in calculating annualized base rent per square foot.</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1300"/>
          </w:cols>
          <w:pgMar w:left="220" w:top="1113" w:right="379" w:bottom="1440" w:gutter="0" w:footer="0" w:header="0"/>
        </w:sectPr>
      </w:pPr>
    </w:p>
    <w:bookmarkStart w:id="37" w:name="page38"/>
    <w:bookmarkEnd w:id="37"/>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Top 25 Retail Tenants - Ranked by Annualized Base Rent</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(excludes Unconsolidated Partnerships) Percentage of Total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Percentage of Total</w:t>
            </w:r>
          </w:p>
        </w:tc>
      </w:tr>
      <w:tr>
        <w:trPr>
          <w:trHeight w:val="166"/>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Represented by Retail Tenant</w:t>
            </w:r>
          </w:p>
        </w:tc>
      </w:tr>
      <w:tr>
        <w:trPr>
          <w:trHeight w:val="166"/>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 of</w:t>
            </w:r>
          </w:p>
        </w:tc>
        <w:tc>
          <w:tcPr>
            <w:tcW w:w="1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14"/>
                <w:szCs w:val="14"/>
                <w:color w:val="auto"/>
              </w:rPr>
            </w:pPr>
          </w:p>
        </w:tc>
        <w:tc>
          <w:tcPr>
            <w:tcW w:w="2360" w:type="dxa"/>
            <w:vAlign w:val="bottom"/>
          </w:tcPr>
          <w:p>
            <w:pPr>
              <w:ind w:left="820"/>
              <w:spacing w:after="0"/>
              <w:rPr>
                <w:sz w:val="20"/>
                <w:szCs w:val="20"/>
                <w:color w:val="auto"/>
              </w:rPr>
            </w:pPr>
            <w:r>
              <w:rPr>
                <w:rFonts w:ascii="Courier New" w:cs="Courier New" w:eastAsia="Courier New" w:hAnsi="Courier New"/>
                <w:sz w:val="14"/>
                <w:szCs w:val="14"/>
                <w:color w:val="auto"/>
              </w:rPr>
              <w:t>Retail</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Stores in</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Annualized Base</w:t>
            </w:r>
          </w:p>
        </w:tc>
        <w:tc>
          <w:tcPr>
            <w:tcW w:w="17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Annualized Base</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Ranking</w:t>
            </w:r>
          </w:p>
        </w:tc>
        <w:tc>
          <w:tcPr>
            <w:tcW w:w="2360" w:type="dxa"/>
            <w:vAlign w:val="bottom"/>
          </w:tcPr>
          <w:p>
            <w:pPr>
              <w:ind w:left="820"/>
              <w:spacing w:after="0"/>
              <w:rPr>
                <w:sz w:val="20"/>
                <w:szCs w:val="20"/>
                <w:color w:val="auto"/>
              </w:rPr>
            </w:pPr>
            <w:r>
              <w:rPr>
                <w:rFonts w:ascii="Courier New" w:cs="Courier New" w:eastAsia="Courier New" w:hAnsi="Courier New"/>
                <w:sz w:val="14"/>
                <w:szCs w:val="14"/>
                <w:color w:val="auto"/>
              </w:rPr>
              <w:t>Tenant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Portfolio</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GLA</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Rent(1)</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Portfolio GLA(2)</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Rent(2)</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60" w:type="dxa"/>
            <w:vAlign w:val="bottom"/>
          </w:tcPr>
          <w:p>
            <w:pPr>
              <w:ind w:left="9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Kmart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924,282</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$ 3,431,692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Ames(3)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815,171</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2,479,383</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Price Chopper(4)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267,197</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1,596,727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T.J. Maxx</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209,737</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1,562,365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Eckerd Drug(5)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169,563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1,354,990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Shaw's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134,217</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1,141,084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Walmart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232,540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1,116,575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Acme (Albertson's)(6)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109,064</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1,004,080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Fashion Bug(7)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120,294</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876,391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Pathmark</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63,000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837,270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Redner's Supermarket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111,739</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837,112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Restoration Hardware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12,293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PharMor</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90,471</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820,346</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A&amp;P (Waldbaum's)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64,665</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Sears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159,640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703,230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Blockbuster Video</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28,266</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683,957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Penn Traffic</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85,896</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635,811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Stern's (Federated)(8)</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73,349</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610,745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CVS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62,610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625,855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Clearview Cinemas(9)</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25,400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596,250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Kay Bee Toys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41,025</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559,050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JC Penney</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72,580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546,747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Payless Shoe Source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41,209</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514,970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Office Depot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83,821</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499,817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Circuit City</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33,294</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449,469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r>
      <w:tr>
        <w:trPr>
          <w:trHeight w:val="166"/>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spacing w:after="0"/>
              <w:rPr>
                <w:sz w:val="24"/>
                <w:szCs w:val="24"/>
                <w:color w:val="auto"/>
              </w:rPr>
            </w:pPr>
          </w:p>
        </w:tc>
        <w:tc>
          <w:tcPr>
            <w:tcW w:w="2360" w:type="dxa"/>
            <w:vAlign w:val="bottom"/>
          </w:tcPr>
          <w:p>
            <w:pPr>
              <w:ind w:left="1680"/>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4,031,323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$ 25,043,916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both"/>
        <w:ind w:left="440" w:right="4640" w:hanging="432"/>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rents do not include percentage rents (except where noted), additional rents for property expense reimbursements, and contractual rent escalations due after March 31, 2000</w:t>
      </w:r>
    </w:p>
    <w:p>
      <w:pPr>
        <w:spacing w:after="0" w:line="162" w:lineRule="exact"/>
        <w:rPr>
          <w:rFonts w:ascii="Courier New" w:cs="Courier New" w:eastAsia="Courier New" w:hAnsi="Courier New"/>
          <w:sz w:val="14"/>
          <w:szCs w:val="14"/>
          <w:color w:val="auto"/>
        </w:rPr>
      </w:pPr>
    </w:p>
    <w:p>
      <w:pPr>
        <w:ind w:left="440" w:right="5080" w:hanging="432"/>
        <w:spacing w:after="0" w:line="25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total GLA and annualized base rent for the Company's retail properties excluding mixed-use and joint venture properties</w:t>
      </w:r>
    </w:p>
    <w:p>
      <w:pPr>
        <w:spacing w:after="0" w:line="159" w:lineRule="exact"/>
        <w:rPr>
          <w:rFonts w:ascii="Courier New" w:cs="Courier New" w:eastAsia="Courier New" w:hAnsi="Courier New"/>
          <w:sz w:val="14"/>
          <w:szCs w:val="14"/>
          <w:color w:val="auto"/>
        </w:rPr>
      </w:pPr>
    </w:p>
    <w:p>
      <w:pPr>
        <w:ind w:left="440" w:right="4720" w:hanging="432"/>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not operating the store at the Valmont Plaza. They are obligated, and continue, to pay annual minimum rent of $220,000 until the lease expires in January 31, 2007</w:t>
      </w:r>
    </w:p>
    <w:p>
      <w:pPr>
        <w:spacing w:after="0" w:line="162" w:lineRule="exact"/>
        <w:rPr>
          <w:rFonts w:ascii="Courier New" w:cs="Courier New" w:eastAsia="Courier New" w:hAnsi="Courier New"/>
          <w:sz w:val="14"/>
          <w:szCs w:val="14"/>
          <w:color w:val="auto"/>
        </w:rPr>
      </w:pPr>
    </w:p>
    <w:p>
      <w:pPr>
        <w:ind w:left="440" w:right="4900" w:hanging="432"/>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not operating the store at the Luzerne Street Shopping Center. They are obligated, and continue, to pay annual minimum rent of $177,650 until the lease expires in April 30, 2004</w:t>
      </w:r>
    </w:p>
    <w:p>
      <w:pPr>
        <w:spacing w:after="0" w:line="162" w:lineRule="exact"/>
        <w:rPr>
          <w:rFonts w:ascii="Courier New" w:cs="Courier New" w:eastAsia="Courier New" w:hAnsi="Courier New"/>
          <w:sz w:val="14"/>
          <w:szCs w:val="14"/>
          <w:color w:val="auto"/>
        </w:rPr>
      </w:pPr>
    </w:p>
    <w:p>
      <w:pPr>
        <w:ind w:left="440" w:right="4640" w:hanging="432"/>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JC Penney. The store at the Route 6 Mall has ceased operating but continues to pay annual rent of $106,560 through January 31, 2011 pursuant to the lease</w:t>
      </w:r>
    </w:p>
    <w:p>
      <w:pPr>
        <w:spacing w:after="0" w:line="162" w:lineRule="exact"/>
        <w:rPr>
          <w:rFonts w:ascii="Courier New" w:cs="Courier New" w:eastAsia="Courier New" w:hAnsi="Courier New"/>
          <w:sz w:val="14"/>
          <w:szCs w:val="14"/>
          <w:color w:val="auto"/>
        </w:rPr>
      </w:pPr>
    </w:p>
    <w:p>
      <w:pPr>
        <w:ind w:left="440" w:right="4900" w:hanging="432"/>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not operating the store at the Mountainville Shopping Center. They are obligated, and continue, to pay annual minimum rent of $85,416 until the lease expires in June 30, 2004</w:t>
      </w:r>
    </w:p>
    <w:p>
      <w:pPr>
        <w:spacing w:after="0" w:line="162" w:lineRule="exact"/>
        <w:rPr>
          <w:rFonts w:ascii="Courier New" w:cs="Courier New" w:eastAsia="Courier New" w:hAnsi="Courier New"/>
          <w:sz w:val="14"/>
          <w:szCs w:val="14"/>
          <w:color w:val="auto"/>
        </w:rPr>
      </w:pPr>
    </w:p>
    <w:p>
      <w:pPr>
        <w:ind w:left="440" w:right="4820" w:hanging="432"/>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pays percentage rent only (no minimum rent) at 8 of these locations. Included in the above rent is $659,763 of percentage rent paid for calander 2000</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notified that this store will be converted to a Macy's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Cablevision</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540"/>
          </w:cols>
          <w:pgMar w:left="220" w:top="451" w:right="139" w:bottom="1440" w:gutter="0" w:footer="0" w:header="0"/>
        </w:sectPr>
      </w:pPr>
    </w:p>
    <w:bookmarkStart w:id="38" w:name="page39"/>
    <w:bookmarkEnd w:id="38"/>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Anchor Tenant Summary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40"/>
        <w:spacing w:after="0"/>
        <w:tabs>
          <w:tab w:leader="none" w:pos="4900" w:val="left"/>
          <w:tab w:leader="none" w:pos="6360" w:val="left"/>
          <w:tab w:leader="none" w:pos="7660" w:val="left"/>
          <w:tab w:leader="none" w:pos="8780" w:val="left"/>
          <w:tab w:leader="none" w:pos="1006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Options/</w:t>
      </w:r>
    </w:p>
    <w:p>
      <w:pPr>
        <w:spacing w:after="0" w:line="7" w:lineRule="exact"/>
        <w:rPr>
          <w:sz w:val="20"/>
          <w:szCs w:val="20"/>
          <w:color w:val="auto"/>
        </w:rPr>
      </w:pPr>
    </w:p>
    <w:p>
      <w:pPr>
        <w:ind w:left="1220"/>
        <w:spacing w:after="0"/>
        <w:tabs>
          <w:tab w:leader="none" w:pos="4900" w:val="left"/>
          <w:tab w:leader="none" w:pos="6200" w:val="left"/>
          <w:tab w:leader="none" w:pos="7740" w:val="left"/>
          <w:tab w:leader="none" w:pos="8680" w:val="left"/>
          <w:tab w:leader="none" w:pos="980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Connecticut</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TOWN LINE PLAZA, ROCKY HILL</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WAL-MART(1)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97,300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A&amp;P SUPERFRESH</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64,665</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3/8/17</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(7) 5 YEAR (6 MONTHS)</w:t>
            </w: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Total: TOWN LINE PLAZA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161,965</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c>
          <w:tcPr>
            <w:tcW w:w="194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239 GREENWICH AVE., GREENWICH</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CHICO'S FASHION</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4,541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295,165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65.00 (2) 5 YEARS</w:t>
            </w: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RESTORATION HARDWARE INC.</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12,293</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4/30/15</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830,000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67.52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YEARS (6 MONTHS)</w:t>
            </w: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Total: 239 GREENWICH AVE.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16,834</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1,125,165</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66.84</w:t>
            </w:r>
          </w:p>
        </w:tc>
        <w:tc>
          <w:tcPr>
            <w:tcW w:w="194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Massachusetts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METHUEN SHOPPING CENTER, METHUEN(2)</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DEMOULAS SUPER MARKETS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30,460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1/31/05</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109,656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w:t>
            </w: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Total: METHUEN SHOPPING CENTER</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30,460</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109,656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94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CRESCENT PLAZA, BROCKTON</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HOME DEPOT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104,640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10/31/08</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295,425</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 8 YR &amp; (2) 5 YEAR</w:t>
            </w: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SHAWS SUPERMARKETS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50,225</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12/31/12</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516,960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10.29</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(6) 5 YEAR (6 MONTHS)</w:t>
            </w: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Total: CRESCENT PLAZA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154,865</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812,385</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c>
          <w:tcPr>
            <w:tcW w:w="194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Rhode Island</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WALNUT HILL PLAZA, WOONSOCKET</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SEARS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60,700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8/31/03</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258,000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(6) 5 YEAR (12 MONTHS)</w:t>
            </w: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SHAWS SUPERMARKETS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52,392</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12/31/13</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497,724</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(6) 5 YEAR (9 MONTHS)</w:t>
            </w: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Total: WALNUT HILL PLAZA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113,092</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755,724</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c>
          <w:tcPr>
            <w:tcW w:w="194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Vermont</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THE GATEWAY SHOPPING CENTER, BURLINGTON</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SHAWS SUPERMARKETS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31,600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6/30/05</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 5 YEAR (12 MONTHS)</w:t>
            </w: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540" w:type="dxa"/>
            <w:vAlign w:val="bottom"/>
          </w:tcPr>
          <w:p>
            <w:pPr>
              <w:ind w:left="1300"/>
              <w:spacing w:after="0"/>
              <w:rPr>
                <w:sz w:val="20"/>
                <w:szCs w:val="20"/>
                <w:color w:val="auto"/>
              </w:rPr>
            </w:pPr>
            <w:r>
              <w:rPr>
                <w:rFonts w:ascii="Courier New" w:cs="Courier New" w:eastAsia="Courier New" w:hAnsi="Courier New"/>
                <w:sz w:val="14"/>
                <w:szCs w:val="14"/>
                <w:color w:val="auto"/>
              </w:rPr>
              <w:t>Total: THE GATEWAY SHOPPING CENTER</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31,600</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194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New England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508,816</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3,659,330</w:t>
            </w: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8.89</w:t>
            </w:r>
          </w:p>
        </w:tc>
        <w:tc>
          <w:tcPr>
            <w:tcW w:w="1940" w:type="dxa"/>
            <w:vAlign w:val="bottom"/>
          </w:tcPr>
          <w:p>
            <w:pPr>
              <w:spacing w:after="0"/>
              <w:rPr>
                <w:sz w:val="24"/>
                <w:szCs w:val="24"/>
                <w:color w:val="auto"/>
              </w:rPr>
            </w:pPr>
          </w:p>
        </w:tc>
      </w:tr>
      <w:tr>
        <w:trPr>
          <w:trHeight w:val="166"/>
        </w:trPr>
        <w:tc>
          <w:tcPr>
            <w:tcW w:w="45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bl>
    <w:p>
      <w:pPr>
        <w:spacing w:after="0" w:line="335" w:lineRule="exact"/>
        <w:rPr>
          <w:sz w:val="20"/>
          <w:szCs w:val="20"/>
          <w:color w:val="auto"/>
        </w:rPr>
      </w:pPr>
    </w:p>
    <w:p>
      <w:pPr>
        <w:ind w:left="360" w:right="4820" w:hanging="352"/>
        <w:spacing w:after="0" w:line="250"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space is contiguous to the Company's property and is not owned by the Company.</w:t>
      </w: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a redevelopment property.</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540"/>
          </w:cols>
          <w:pgMar w:left="220" w:top="451" w:right="139" w:bottom="1440" w:gutter="0" w:footer="0" w:header="0"/>
        </w:sectPr>
      </w:pPr>
    </w:p>
    <w:bookmarkStart w:id="39" w:name="page40"/>
    <w:bookmarkEnd w:id="39"/>
    <w:p>
      <w:pPr>
        <w:ind w:left="1300" w:right="1000" w:hanging="947"/>
        <w:spacing w:after="0" w:line="255" w:lineRule="auto"/>
        <w:rPr>
          <w:sz w:val="20"/>
          <w:szCs w:val="20"/>
          <w:color w:val="auto"/>
        </w:rPr>
      </w:pPr>
      <w:r>
        <w:rPr>
          <w:rFonts w:ascii="Courier New" w:cs="Courier New" w:eastAsia="Courier New" w:hAnsi="Courier New"/>
          <w:sz w:val="14"/>
          <w:szCs w:val="14"/>
          <w:color w:val="auto"/>
        </w:rPr>
        <w:t>QUARTERLY SUPPLEMENTAL DISCLOSURE MARCH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3">
            <w:col w:w="4200" w:space="720"/>
            <w:col w:w="520" w:space="680"/>
            <w:col w:w="5420"/>
          </w:cols>
          <w:pgMar w:left="220" w:top="616" w:right="139" w:bottom="0" w:gutter="0" w:footer="0" w:header="0"/>
        </w:sectPr>
      </w:pPr>
    </w:p>
    <w:p>
      <w:pPr>
        <w:ind w:left="960"/>
        <w:spacing w:after="0"/>
        <w:rPr>
          <w:sz w:val="20"/>
          <w:szCs w:val="20"/>
          <w:color w:val="auto"/>
        </w:rPr>
      </w:pPr>
      <w:r>
        <w:rPr>
          <w:rFonts w:ascii="Courier New" w:cs="Courier New" w:eastAsia="Courier New" w:hAnsi="Courier New"/>
          <w:sz w:val="14"/>
          <w:szCs w:val="14"/>
          <w:color w:val="auto"/>
        </w:rPr>
        <w:t>Anchor Tenant Summary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6" w:right="139" w:bottom="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 w:leader="none" w:pos="7140" w:val="left"/>
          <w:tab w:leader="none" w:pos="826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260"/>
        <w:spacing w:after="0"/>
        <w:tabs>
          <w:tab w:leader="none" w:pos="4720" w:val="left"/>
          <w:tab w:leader="none" w:pos="5840" w:val="left"/>
          <w:tab w:leader="none" w:pos="7220" w:val="left"/>
          <w:tab w:leader="none" w:pos="8180" w:val="left"/>
          <w:tab w:leader="none" w:pos="920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CONSIDERS THOSE TENANTS WHO COMPRISE GREATER THAN 10% OF A CENTER'S GLA AS ANCHOR TENANTS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below detail does not include space which is currently leased, but for which rent payment has not yet commenced)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Anchor Properties - Wholly Owned</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Region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New Jersey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ELMWOOD PARK SHOPPING CENTER, ELMWOOD PARK (1)</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GRAND UNION (2)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27,918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4/30/01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VALLEY NATIONAL BANK</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5/31/05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79,665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 YEAR (10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ELMWOOD PARK SHOPPING CENTER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39,668</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MARKETPLACE OF ABSECON, ABSECON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ECKERD DRUG</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9/20/20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329,310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ACME MARKETS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44,824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4/30/15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598,264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(8)</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MARKETPLACE OF ABSECON</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58,031</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927,574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BERLIN SHOPPING CENTER, BERLIN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ACME MARKETS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4/30/05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320,400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KMART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95,810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11/30/04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BERLIN SHOPPING CENTER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127,850</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619,400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LEDGEWOOD MALL, LEDGEWOOD (Enclosed Mall)</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CIRCUIT CITY</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449,469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MARSHALL'S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313,122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PHARMHOUSE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5/31/09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496,346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THE SPORTS AUTHORITY</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52,205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5/31/07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(6)</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(15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STERN'S DEPARTMENT STORES (3)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61,900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553,500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WAL-MART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120,570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3/31/19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888,601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(6)</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LEDGEWOOD MALL</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342,468</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2,926,038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MANAHAWKIN VILLAGE, MANAHAWKIN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KMART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112,434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1/31/19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843,255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(8)</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HOYTS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11/30/18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363,618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MANAHAWKIN VILLAGE SHOPPING CENTER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144,053</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1,206,873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New York</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SOUNDVIEW MARKETPLACE, PORT WASHINGTON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KING KULLEN</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9/26/07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(11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CLEARVIEW CINEMA</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5/31/10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596,250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SOUNDVIEW MARKETPLACE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66,800</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1,010,250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SMITHTOWN SHOPPING CENTER, SMITHTOWN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DAFFY'S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5/30/08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WALGREENS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12/31/21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145,024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SMITHTOWN SHOPPING CENTER</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25,192</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407,055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THE BRANCH SHOPPING CENTER, SMITHTOWN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PATHMARK</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11/30/13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837,270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 YEAR &amp; (1) 5 YEAR</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PERGAMENT HOME CENTERS (4)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10/31/04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272,844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RD BRANCH ASSOCIATES L.P.</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83,670</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1,110,114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NEW LOUDON CENTER, LATHAM</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AMES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76,641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2/28/20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268,244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MARSHALLS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104,060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PRICE CHOPPER</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5/31/15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760,577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NEW LOUDEN CENTER</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178,716</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1,132,881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TROY PLAZA, TROY</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AMES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5/31/06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PRICE CHOPPER</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9/30/04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TROY PLAZA</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100,709</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520"/>
              <w:spacing w:after="0"/>
              <w:rPr>
                <w:sz w:val="20"/>
                <w:szCs w:val="20"/>
                <w:color w:val="auto"/>
              </w:rPr>
            </w:pPr>
            <w:r>
              <w:rPr>
                <w:rFonts w:ascii="Courier New" w:cs="Courier New" w:eastAsia="Courier New" w:hAnsi="Courier New"/>
                <w:sz w:val="14"/>
                <w:szCs w:val="14"/>
                <w:color w:val="auto"/>
              </w:rPr>
              <w:t>PACESETTER PARK SHOPPING CENTER, POMONA</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STOP &amp; SHOP (Ahold subsidiary)</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8/31/20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299,909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1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 YEAR</w:t>
            </w: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Total: PACESETTER PARK SHOPPING CENTER</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52,052</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299,909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New York Region</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1,219,209</w:t>
            </w:r>
          </w:p>
        </w:tc>
        <w:tc>
          <w:tcPr>
            <w:tcW w:w="90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10,035,759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ectPr>
          <w:pgSz w:w="11900" w:h="16838" w:orient="portrait"/>
          <w:cols w:equalWidth="0" w:num="1">
            <w:col w:w="11540"/>
          </w:cols>
          <w:pgMar w:left="220" w:top="616" w:right="139" w:bottom="0" w:gutter="0" w:footer="0" w:header="0"/>
          <w:type w:val="continuous"/>
        </w:sectPr>
      </w:pPr>
    </w:p>
    <w:bookmarkStart w:id="40" w:name="page41"/>
    <w:bookmarkEnd w:id="40"/>
    <w:p>
      <w:pPr>
        <w:ind w:left="432" w:hanging="432"/>
        <w:spacing w:after="0"/>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is currently undergoing redevelopment.</w:t>
      </w:r>
    </w:p>
    <w:p>
      <w:pPr>
        <w:spacing w:after="0" w:line="7"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Grand Union filed Chapter 11 on October 2, 2000. This lease is scheduled to expire April 30, 2001. The Company is constructing a 48,000 sf free-standing supermarket to replace the in-line Grand Union store.</w:t>
      </w:r>
    </w:p>
    <w:p>
      <w:pPr>
        <w:spacing w:after="0" w:line="1" w:lineRule="exact"/>
        <w:rPr>
          <w:rFonts w:ascii="Courier New" w:cs="Courier New" w:eastAsia="Courier New" w:hAnsi="Courier New"/>
          <w:sz w:val="14"/>
          <w:szCs w:val="14"/>
          <w:color w:val="auto"/>
        </w:rPr>
      </w:pPr>
    </w:p>
    <w:p>
      <w:pPr>
        <w:jc w:val="both"/>
        <w:ind w:left="432" w:right="3859" w:hanging="432"/>
        <w:spacing w:after="0" w:line="250"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has additional expansion space bringing the total space to 74,815 s.f. with rents of $618,075. This store will be converted to a Macy's store.</w:t>
      </w:r>
    </w:p>
    <w:p>
      <w:pPr>
        <w:spacing w:after="0" w:line="1"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has filed for Bankruptcy and is in the process of liquidating.</w:t>
      </w:r>
    </w:p>
    <w:p>
      <w:pPr>
        <w:spacing w:after="0" w:line="338"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1"/>
          </w:cols>
          <w:pgMar w:left="228" w:top="141" w:right="1440" w:bottom="1440" w:gutter="0" w:footer="0" w:header="0"/>
        </w:sectPr>
      </w:pPr>
    </w:p>
    <w:bookmarkStart w:id="41" w:name="page42"/>
    <w:bookmarkEnd w:id="41"/>
    <w:p>
      <w:pPr>
        <w:ind w:left="1300" w:right="1080" w:hanging="947"/>
        <w:spacing w:after="0" w:line="255" w:lineRule="auto"/>
        <w:rPr>
          <w:sz w:val="20"/>
          <w:szCs w:val="20"/>
          <w:color w:val="auto"/>
        </w:rPr>
      </w:pPr>
      <w:r>
        <w:rPr>
          <w:rFonts w:ascii="Courier New" w:cs="Courier New" w:eastAsia="Courier New" w:hAnsi="Courier New"/>
          <w:sz w:val="14"/>
          <w:szCs w:val="14"/>
          <w:color w:val="auto"/>
        </w:rPr>
        <w:t>QUARTERLY SUPPLEMENTAL DISCLOSURE MARCH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jc w:val="right"/>
        <w:ind w:right="4640"/>
        <w:spacing w:after="0"/>
        <w:rPr>
          <w:sz w:val="20"/>
          <w:szCs w:val="20"/>
          <w:color w:val="auto"/>
        </w:rPr>
      </w:pP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3">
            <w:col w:w="4280" w:space="720"/>
            <w:col w:w="840" w:space="720"/>
            <w:col w:w="4980"/>
          </w:cols>
          <w:pgMar w:left="220" w:top="616" w:right="139" w:bottom="1440" w:gutter="0" w:footer="0" w:header="0"/>
        </w:sectPr>
      </w:pPr>
    </w:p>
    <w:p>
      <w:pPr>
        <w:ind w:left="960"/>
        <w:spacing w:after="0"/>
        <w:rPr>
          <w:sz w:val="20"/>
          <w:szCs w:val="20"/>
          <w:color w:val="auto"/>
        </w:rPr>
      </w:pPr>
      <w:r>
        <w:rPr>
          <w:rFonts w:ascii="Courier New" w:cs="Courier New" w:eastAsia="Courier New" w:hAnsi="Courier New"/>
          <w:sz w:val="14"/>
          <w:szCs w:val="14"/>
          <w:color w:val="auto"/>
        </w:rPr>
        <w:t>Anchor Tenant Summary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6" w:right="1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 w:leader="none" w:pos="7140" w:val="left"/>
          <w:tab w:leader="none" w:pos="842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260"/>
        <w:spacing w:after="0"/>
        <w:tabs>
          <w:tab w:leader="none" w:pos="4720" w:val="left"/>
          <w:tab w:leader="none" w:pos="5840" w:val="left"/>
          <w:tab w:leader="none" w:pos="7220" w:val="left"/>
          <w:tab w:leader="none" w:pos="8340" w:val="left"/>
          <w:tab w:leader="none" w:pos="938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CONSIDERS THOSE TENANTS WHO COMPRISE GREATER THAN 10% OF A CENTER'S GLA AS ANCHOR TENANTS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below detail does not include space which is currently leased, but for which rent payment has not yet commenced)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Anchor Properties - Wholly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Mid-Atlantic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Pennsylvania</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ABINGTON TOWNE CENTER, ABINGTON (1)</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T.J. MAXX (1)</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TARGET (1)</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157,616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ABINGTON TOWNE CENTER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184,616</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AMES PLAZA, SHAMOKIN</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AMES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84,006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BUY-RITE LIQUIDATORS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8/30/10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105,257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 5 YEAR (9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AMES PLAZA</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88,354</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189,263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BIRNEY PLAZA, MOOSIC</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BIG LOTS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106,880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 5 YEAR (6 MONTHS)</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KMART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10/31/04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204,664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(9) 5 YEAR (6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BIRNEY PLAZA</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135,493</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311,544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BLACKMAN PLAZA, WILKES-BARRE</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KMART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10/31/04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204,664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(9) 5 YEAR (12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BLACKMAN PLAZA</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104,956</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204,664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BRADFORD TOWNE CENTRE, TOWANDA</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KMART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3/31/19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474,205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 5 YEAR (6 MONTHS)</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PENN TRAFFIC</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9/30/14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413,264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BRADFORD TOWNE CENTRE</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146,499</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887,469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CIRCLE PLAZA, SHAMOKIN DAM</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KMART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252,289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(9) 5 YEAR (12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CIRCLE PLAZA</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92,171</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252,289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DUNMORE PLAZA, DUNMORE</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ECKERD DRUGS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11/30/04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89,134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 5 YEAR (6 MONTHS)</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PRICE CHOPPER (2)</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11/30/05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 5 YEAR (6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DUNMORE PLAZA</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39,680</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89,134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EAST END CENTER, WILKES-BARRE</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AMES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1/31/07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(6) 5 YEAR (6 MONTHS)</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PHAR-MOR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3/31/03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 5 YEAR (6 MONTHS)</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PRICE CHOPPER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4/30/08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Total: EAST END CENTER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176,200</w:t>
            </w:r>
          </w:p>
        </w:tc>
        <w:tc>
          <w:tcPr>
            <w:tcW w:w="9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1,117,500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19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10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472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redevelopment of the Abington Towne Center, the Company has sold 157,616 square feet of the main building to Target which will operate a Target store at this location. The Company has retained and is redeveloping the remaining 58,610 square feet of the center.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Acadia owns only the land and not the building for this tenant.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1540"/>
          </w:cols>
          <w:pgMar w:left="220" w:top="616" w:right="139" w:bottom="1440" w:gutter="0" w:footer="0" w:header="0"/>
          <w:type w:val="continuous"/>
        </w:sectPr>
      </w:pPr>
    </w:p>
    <w:bookmarkStart w:id="42" w:name="page43"/>
    <w:bookmarkEnd w:id="42"/>
    <w:p>
      <w:pPr>
        <w:ind w:left="1300" w:right="1260" w:hanging="947"/>
        <w:spacing w:after="0" w:line="255" w:lineRule="auto"/>
        <w:rPr>
          <w:sz w:val="20"/>
          <w:szCs w:val="20"/>
          <w:color w:val="auto"/>
        </w:rPr>
      </w:pPr>
      <w:r>
        <w:rPr>
          <w:rFonts w:ascii="Courier New" w:cs="Courier New" w:eastAsia="Courier New" w:hAnsi="Courier New"/>
          <w:sz w:val="14"/>
          <w:szCs w:val="14"/>
          <w:color w:val="auto"/>
        </w:rPr>
        <w:t>QUARTERLY SUPPLEMENTAL DISCLOSURE MARCH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3">
            <w:col w:w="4460" w:space="720"/>
            <w:col w:w="660" w:space="720"/>
            <w:col w:w="4980"/>
          </w:cols>
          <w:pgMar w:left="220" w:top="782" w:right="139" w:bottom="1440" w:gutter="0" w:footer="0" w:header="0"/>
        </w:sectPr>
      </w:pPr>
    </w:p>
    <w:p>
      <w:pPr>
        <w:ind w:left="960"/>
        <w:spacing w:after="0"/>
        <w:rPr>
          <w:sz w:val="20"/>
          <w:szCs w:val="20"/>
          <w:color w:val="auto"/>
        </w:rPr>
      </w:pPr>
      <w:r>
        <w:rPr>
          <w:rFonts w:ascii="Courier New" w:cs="Courier New" w:eastAsia="Courier New" w:hAnsi="Courier New"/>
          <w:sz w:val="14"/>
          <w:szCs w:val="14"/>
          <w:color w:val="auto"/>
        </w:rPr>
        <w:t>Anchor Tenant Summary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782" w:right="1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 w:leader="none" w:pos="7140" w:val="left"/>
          <w:tab w:leader="none" w:pos="842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260"/>
        <w:spacing w:after="0"/>
        <w:tabs>
          <w:tab w:leader="none" w:pos="4720" w:val="left"/>
          <w:tab w:leader="none" w:pos="5840" w:val="left"/>
          <w:tab w:leader="none" w:pos="7220" w:val="left"/>
          <w:tab w:leader="none" w:pos="8340" w:val="left"/>
          <w:tab w:leader="none" w:pos="938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CONSIDERS THOSE TENANTS WHO COMPRISE GREATER THAN 10% OF A CENTER'S GLA AS ANCHOR TENANTS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below detail does not include space which is currently leased, but for which rent payment has not yet commenced)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Retail Anchor Properties - Wholly Owned</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Mid-Atlantic (continued)</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Pennsylvania</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GREENRIDGE PLAZA, SCRANTON (1)</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GIANT FOOD STORES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62,090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4/30/21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279,405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(AUTO)</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AMES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83,330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1/31/07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GREENRIDGE PLAZA</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145,420</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659,405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KINGSTON PLAZA, KINGSTON</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DOLLAR GENERAL</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6/30/04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PRICE CHOPPER</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12/31/06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KINGSTON PLAZA</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51,500</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280,750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LUZERNE STREET SHOPPING CENTER. SCRANTON</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ECKERD DRUGS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PRICE CHOPPER (2)</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40,618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177,650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LUZERNE STREET SHOPPING CENTER</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54,618</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272,150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MARK PLAZA, EDWARDSVILLE</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KMART</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104,956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10/31/04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204,664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2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(10) 5 YEAR (12 MONTHS)</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REDNER'S MARKET</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52,639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5/31/18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421,112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MARK PLAZA</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157,595</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625,776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MONROE PLAZA, STROUDSBURG</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AMES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61,489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1/29/09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94,434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ECKERD DRUGS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10/31/02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48,006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SHOP-RITE</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52,924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10/31/05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281,278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&amp; (1) 3 YEAR</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MONROE PLAZA</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128,129</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423,718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MOUNTAINVILLE SHOPPING CENTER, ALLENTOWN</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ACME MARKETS (2)</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6/30/04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85,416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c>
          <w:tcPr>
            <w:tcW w:w="2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Not Operating-Closed 2/24/00</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ECKERD DRUGS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KLING'S HANDYMAN</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MOUNTAINVILLE SHOPPING CENTER</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68,008</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225,416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PITTSTON PLAZA, PITTSTON</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ECKERD DRUGS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6/30/06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76,212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REDNER'S MARKETS</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59,100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12/31/18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Total: PITTSTON PLAZA</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67,568</w:t>
            </w:r>
          </w:p>
        </w:tc>
        <w:tc>
          <w:tcPr>
            <w:tcW w:w="8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492,212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170" w:lineRule="exact"/>
        <w:rPr>
          <w:sz w:val="20"/>
          <w:szCs w:val="20"/>
          <w:color w:val="auto"/>
        </w:rPr>
      </w:pPr>
    </w:p>
    <w:p>
      <w:pPr>
        <w:ind w:left="440" w:right="4820" w:hanging="432"/>
        <w:spacing w:after="0" w:line="250"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signed a lease with Giant (Ahold subsidiary) for 61,406 square feet which is not reflected above as the tenant has not yet opened for business.</w:t>
      </w:r>
    </w:p>
    <w:p>
      <w:pPr>
        <w:spacing w:after="0" w:line="1" w:lineRule="exact"/>
        <w:rPr>
          <w:rFonts w:ascii="Courier New" w:cs="Courier New" w:eastAsia="Courier New" w:hAnsi="Courier New"/>
          <w:sz w:val="14"/>
          <w:szCs w:val="14"/>
          <w:color w:val="auto"/>
        </w:rPr>
      </w:pPr>
    </w:p>
    <w:p>
      <w:pPr>
        <w:ind w:left="440" w:right="4900" w:hanging="432"/>
        <w:spacing w:after="0" w:line="255"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has ceased operations at this location, however continues to pay rent pursuant to the lease.</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1540"/>
          </w:cols>
          <w:pgMar w:left="220" w:top="782" w:right="139" w:bottom="1440" w:gutter="0" w:footer="0" w:header="0"/>
          <w:type w:val="continuous"/>
        </w:sectPr>
      </w:pPr>
    </w:p>
    <w:bookmarkStart w:id="43" w:name="page44"/>
    <w:bookmarkEnd w:id="43"/>
    <w:p>
      <w:pPr>
        <w:spacing w:after="0" w:line="38" w:lineRule="exact"/>
        <w:rPr>
          <w:sz w:val="20"/>
          <w:szCs w:val="20"/>
          <w:color w:val="auto"/>
        </w:rPr>
      </w:pPr>
    </w:p>
    <w:p>
      <w:pPr>
        <w:ind w:left="1300" w:right="1260" w:hanging="947"/>
        <w:spacing w:after="0" w:line="255" w:lineRule="auto"/>
        <w:rPr>
          <w:sz w:val="20"/>
          <w:szCs w:val="20"/>
          <w:color w:val="auto"/>
        </w:rPr>
      </w:pPr>
      <w:r>
        <w:rPr>
          <w:rFonts w:ascii="Courier New" w:cs="Courier New" w:eastAsia="Courier New" w:hAnsi="Courier New"/>
          <w:sz w:val="14"/>
          <w:szCs w:val="14"/>
          <w:color w:val="auto"/>
        </w:rPr>
        <w:t>QUARTERLY SUPPLEMENTAL DISCLOSURE MARCH 31, 2001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77" w:orient="portrait"/>
          <w:cols w:equalWidth="0" w:num="3">
            <w:col w:w="4460" w:space="720"/>
            <w:col w:w="660" w:space="720"/>
            <w:col w:w="4980"/>
          </w:cols>
          <w:pgMar w:left="220" w:top="616" w:right="139" w:bottom="0" w:gutter="0" w:footer="0" w:header="0"/>
        </w:sectPr>
      </w:pPr>
    </w:p>
    <w:p>
      <w:pPr>
        <w:ind w:left="960"/>
        <w:spacing w:after="0"/>
        <w:rPr>
          <w:sz w:val="20"/>
          <w:szCs w:val="20"/>
          <w:color w:val="auto"/>
        </w:rPr>
      </w:pPr>
      <w:r>
        <w:rPr>
          <w:rFonts w:ascii="Courier New" w:cs="Courier New" w:eastAsia="Courier New" w:hAnsi="Courier New"/>
          <w:sz w:val="14"/>
          <w:szCs w:val="14"/>
          <w:color w:val="auto"/>
        </w:rPr>
        <w:t>Anchor Tenant Summary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540"/>
          </w:cols>
          <w:pgMar w:left="220" w:top="616" w:right="139" w:bottom="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 w:leader="none" w:pos="7140" w:val="left"/>
          <w:tab w:leader="none" w:pos="842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260"/>
        <w:spacing w:after="0"/>
        <w:tabs>
          <w:tab w:leader="none" w:pos="4720" w:val="left"/>
          <w:tab w:leader="none" w:pos="5840" w:val="left"/>
          <w:tab w:leader="none" w:pos="7220" w:val="left"/>
          <w:tab w:leader="none" w:pos="8340" w:val="left"/>
          <w:tab w:leader="none" w:pos="938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CONSIDERS THOSE TENANTS WHO COMPRISE GREATER THAN 10% OF A CENTER'S GLA AS ANCHOR TENANTS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below detail does not include space which is currently leased, but for which rent payment has not yet commenced)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Anchor Properties - Wholly Owned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Mid-Atlantic (continued)</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Pennsylvania</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PLAZA</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15, LEWISBURG</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AMES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4/30/06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121,900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WEIS MARKETS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12/31/01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(3 MONTHS)</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PLAZA 15</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81,800</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216,988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PLAZA</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422, LEBANON</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PLAYTIME INC,</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(Sub-leased from Giant Food Stores)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40,783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9/23/04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132,030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AMES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83,330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10/31/06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PLAZA 422</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124,113</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ROUTE</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6 MALL, HONESDALE</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KMART</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119,658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4/30/20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687,951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(10) 5 YEAR (AUTOMATIC)</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ROUTE 6 MALL</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119,658</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687,951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SHILLINGTON PLAZA, READING</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KMART</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7/31/04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WEIS MARKETS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40,107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8/31/01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106,720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SHILLINGTON PLAZA</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134,607</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367,720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TIOGA</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WEST,TUNKHANNOCK</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AMES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5/31/05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111,300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ECKERD DRUGS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3/31/05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FASHION BUG (Pays percentage rent only)</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11/30/09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PENN TRAFFIC</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34,238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9/30/14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222,547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TIOGA WEST</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113,338</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373,847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25TH STREET SHOPPING CENTER, EASTON</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CVS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12/31/05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PETCO</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127,050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25TH STREET SHOPPING CENTER</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28,800</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274,450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UNION</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PLAZA, NEW CASTLE</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AMES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1/31/17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PEEBLES (pays percentage rent only)</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1/31/18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(AUTOMATIC)</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SEARS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98,940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10/25/11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445,230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UNION PLAZA</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217,992</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938,730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VALMONT PLAZA, WEST HAZELTON</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AMES (1)</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96,600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1/31/07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300"/>
              <w:spacing w:after="0"/>
              <w:rPr>
                <w:sz w:val="20"/>
                <w:szCs w:val="20"/>
                <w:color w:val="auto"/>
              </w:rPr>
            </w:pPr>
            <w:r>
              <w:rPr>
                <w:rFonts w:ascii="Courier New" w:cs="Courier New" w:eastAsia="Courier New" w:hAnsi="Courier New"/>
                <w:sz w:val="14"/>
                <w:szCs w:val="14"/>
                <w:color w:val="auto"/>
              </w:rPr>
              <w:t>Total: VALMONT PLAZA</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96,600</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Virginia</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KINGS</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FAIRGROUNDS, DANVILLE</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CVS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12,160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2/28/02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SCHEWEL FURNITURE</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60,200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1/31/06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180,600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(3 MONTHS)</w:t>
            </w: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TRACTOR SUPPLY CO.</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11/30/08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123,900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Total: KINGS FAIRGROUNDS</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103,335</w:t>
            </w:r>
          </w:p>
        </w:tc>
        <w:tc>
          <w:tcPr>
            <w:tcW w:w="8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333,684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Total : Mid-Atlantic</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2,661,050</w:t>
            </w:r>
          </w:p>
        </w:tc>
        <w:tc>
          <w:tcPr>
            <w:tcW w:w="86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9,963,190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50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440" w:right="4900" w:hanging="432"/>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has ceased operations at this location, however continues to pay rent pursuant to the lease.</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5</w:t>
      </w:r>
    </w:p>
    <w:p>
      <w:pPr>
        <w:sectPr>
          <w:pgSz w:w="11900" w:h="16877" w:orient="portrait"/>
          <w:cols w:equalWidth="0" w:num="1">
            <w:col w:w="11540"/>
          </w:cols>
          <w:pgMar w:left="220" w:top="616" w:right="139" w:bottom="0" w:gutter="0" w:footer="0" w:header="0"/>
          <w:type w:val="continuous"/>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1300" w:right="820" w:hanging="947"/>
        <w:spacing w:after="0" w:line="255" w:lineRule="auto"/>
        <w:rPr>
          <w:sz w:val="20"/>
          <w:szCs w:val="20"/>
          <w:color w:val="auto"/>
        </w:rPr>
      </w:pPr>
      <w:r>
        <w:rPr>
          <w:rFonts w:ascii="Courier New" w:cs="Courier New" w:eastAsia="Courier New" w:hAnsi="Courier New"/>
          <w:sz w:val="14"/>
          <w:szCs w:val="14"/>
          <w:color w:val="auto"/>
        </w:rPr>
        <w:t>QUARTERLY SUPPLEMENTAL DISCLOSURE MARCH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3">
            <w:col w:w="4020" w:space="720"/>
            <w:col w:w="1100" w:space="720"/>
            <w:col w:w="4980"/>
          </w:cols>
          <w:pgMar w:left="220" w:top="782" w:right="139" w:bottom="1440" w:gutter="0" w:footer="0" w:header="0"/>
        </w:sectPr>
      </w:pPr>
    </w:p>
    <w:p>
      <w:pPr>
        <w:ind w:left="960"/>
        <w:spacing w:after="0"/>
        <w:rPr>
          <w:sz w:val="20"/>
          <w:szCs w:val="20"/>
          <w:color w:val="auto"/>
        </w:rPr>
      </w:pPr>
      <w:r>
        <w:rPr>
          <w:rFonts w:ascii="Courier New" w:cs="Courier New" w:eastAsia="Courier New" w:hAnsi="Courier New"/>
          <w:sz w:val="14"/>
          <w:szCs w:val="14"/>
          <w:color w:val="auto"/>
        </w:rPr>
        <w:t>Anchor Tenant Summary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782" w:right="1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 w:leader="none" w:pos="7140" w:val="left"/>
          <w:tab w:leader="none" w:pos="842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260"/>
        <w:spacing w:after="0"/>
        <w:tabs>
          <w:tab w:leader="none" w:pos="4720" w:val="left"/>
          <w:tab w:leader="none" w:pos="5840" w:val="left"/>
          <w:tab w:leader="none" w:pos="7220" w:val="left"/>
          <w:tab w:leader="none" w:pos="8340" w:val="left"/>
          <w:tab w:leader="none" w:pos="938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CONSIDERS THOSE TENANTS WHO COMPRISE GREATER THAN 10% OF A CENTER'S GLA AS ANCHOR TENANTS</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(The below detail does not include space which is currently leased, but for which rent payment has not yet commenced)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Anchor Properties - Wholly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Alabama</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MIDWAY PLAZA, OPELIKA</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BEALL'S OUTLET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4/30/04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c>
          <w:tcPr>
            <w:tcW w:w="19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OFFICE DEPOT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10/31/07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69,380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 5 YEAR (AUTOMATIC)</w:t>
            </w: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MIDWAY PLAZA</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58,787</w:t>
            </w:r>
          </w:p>
        </w:tc>
        <w:tc>
          <w:tcPr>
            <w:tcW w:w="82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102,380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NORTHSIDE MALL, DOTHAN</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WAL*MART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111,970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1/31/04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227,974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(6) 5 YEAR (6 MONTHS)</w:t>
            </w: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NORTHSIDE MALL</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111,970</w:t>
            </w:r>
          </w:p>
        </w:tc>
        <w:tc>
          <w:tcPr>
            <w:tcW w:w="82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227,974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NEW SMYRNA BEACH SHOPPING CNTR, NEW SMYRNA BEACH</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HARDBODIES FAMILY FITNESS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8/31/08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52,080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c>
          <w:tcPr>
            <w:tcW w:w="19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THEATRE MANAGEMENT INC. (1)</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11/30/05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223,020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NEW SMYRNA BEACH SHOPPING CNTR</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35,980</w:t>
            </w:r>
          </w:p>
        </w:tc>
        <w:tc>
          <w:tcPr>
            <w:tcW w:w="82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275,100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CLOUD SPRINGS PLAZA, FORT OGLETHORPE</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BIG LOTS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10/31/05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FOOD LION</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1/31/11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181,250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(4) 5 YEAR</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W.S. BADCOCK</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9/28/05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51,121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 5 YEAR (6 MONTHS)</w:t>
            </w: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CLOUD SPRINGS PLAZA</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74,260</w:t>
            </w:r>
          </w:p>
        </w:tc>
        <w:tc>
          <w:tcPr>
            <w:tcW w:w="82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340,371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MARTINTOWN PLAZA, NORTH AUGUSTA</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BELK'S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1/31/04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OFFICE DEPOT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6/30/08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 (12 MONTHS)</w:t>
            </w: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MARTINTOWN PLAZA</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73,996</w:t>
            </w:r>
          </w:p>
        </w:tc>
        <w:tc>
          <w:tcPr>
            <w:tcW w:w="82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WESMARK PLAZA, SUMTER</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GOODY'S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24,960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5/31/05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162,240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SIMPSON'S PLAZA HARDWARE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7/31/01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19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STAPLES</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9/30/05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114,660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 5 YEAR (6 MONTHS)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THEATRE MANAGEMENT INC.</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30,155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5/31/09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271,395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WESMARK PLAZA</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106,955</w:t>
            </w:r>
          </w:p>
        </w:tc>
        <w:tc>
          <w:tcPr>
            <w:tcW w:w="82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602,295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5.63</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 Southeast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461,948</w:t>
            </w:r>
          </w:p>
        </w:tc>
        <w:tc>
          <w:tcPr>
            <w:tcW w:w="820" w:type="dxa"/>
            <w:vAlign w:val="bottom"/>
          </w:tcPr>
          <w:p>
            <w:pPr>
              <w:spacing w:after="0"/>
              <w:rPr>
                <w:sz w:val="24"/>
                <w:szCs w:val="2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1,844,620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c>
          <w:tcPr>
            <w:tcW w:w="1940" w:type="dxa"/>
            <w:vAlign w:val="bottom"/>
          </w:tcPr>
          <w:p>
            <w:pPr>
              <w:spacing w:after="0"/>
              <w:rPr>
                <w:sz w:val="24"/>
                <w:szCs w:val="24"/>
                <w:color w:val="auto"/>
              </w:rPr>
            </w:pPr>
          </w:p>
        </w:tc>
      </w:tr>
      <w:tr>
        <w:trPr>
          <w:trHeight w:val="166"/>
        </w:trPr>
        <w:tc>
          <w:tcPr>
            <w:tcW w:w="4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140" w:type="dxa"/>
            <w:vAlign w:val="bottom"/>
            <w:gridSpan w:val="3"/>
          </w:tcPr>
          <w:p>
            <w:pPr>
              <w:jc w:val="right"/>
              <w:ind w:right="16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440" w:right="4720" w:hanging="432"/>
        <w:spacing w:after="0" w:line="255"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has expanded bringing the total space to 35,280 s.f. with rents of $349,020.</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1540"/>
          </w:cols>
          <w:pgMar w:left="220" w:top="782" w:right="139" w:bottom="1440" w:gutter="0" w:footer="0" w:header="0"/>
          <w:type w:val="continuous"/>
        </w:sectPr>
      </w:pPr>
    </w:p>
    <w:bookmarkStart w:id="46" w:name="page47"/>
    <w:bookmarkEnd w:id="46"/>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640"/>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5840"/>
          </w:cols>
          <w:pgMar w:left="220" w:top="616" w:right="139" w:bottom="1440" w:gutter="0" w:footer="0" w:header="0"/>
        </w:sectPr>
      </w:pPr>
    </w:p>
    <w:p>
      <w:pPr>
        <w:ind w:left="2500"/>
        <w:spacing w:after="0"/>
        <w:rPr>
          <w:sz w:val="20"/>
          <w:szCs w:val="20"/>
          <w:color w:val="auto"/>
        </w:rPr>
      </w:pPr>
      <w:r>
        <w:rPr>
          <w:rFonts w:ascii="Courier New" w:cs="Courier New" w:eastAsia="Courier New" w:hAnsi="Courier New"/>
          <w:sz w:val="14"/>
          <w:szCs w:val="14"/>
          <w:color w:val="auto"/>
        </w:rPr>
        <w:t>Anchor Tenant Summary</w:t>
      </w:r>
    </w:p>
    <w:p>
      <w:pPr>
        <w:spacing w:after="0" w:line="200" w:lineRule="exact"/>
        <w:rPr>
          <w:sz w:val="20"/>
          <w:szCs w:val="20"/>
          <w:color w:val="auto"/>
        </w:rPr>
      </w:pPr>
    </w:p>
    <w:p>
      <w:pPr>
        <w:spacing w:after="0" w:line="304" w:lineRule="exact"/>
        <w:rPr>
          <w:sz w:val="20"/>
          <w:szCs w:val="20"/>
          <w:color w:val="auto"/>
        </w:rPr>
      </w:pPr>
    </w:p>
    <w:p>
      <w:pPr>
        <w:ind w:left="1040"/>
        <w:spacing w:after="0"/>
        <w:tabs>
          <w:tab w:leader="none" w:pos="4460" w:val="left"/>
          <w:tab w:leader="none" w:pos="5500" w:val="left"/>
          <w:tab w:leader="none" w:pos="6800" w:val="left"/>
          <w:tab w:leader="none" w:pos="792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3"/>
          <w:szCs w:val="13"/>
          <w:color w:val="auto"/>
        </w:rPr>
        <w:t>Annual</w:t>
      </w:r>
    </w:p>
    <w:p>
      <w:pPr>
        <w:spacing w:after="0" w:line="7" w:lineRule="exact"/>
        <w:rPr>
          <w:sz w:val="20"/>
          <w:szCs w:val="20"/>
          <w:color w:val="auto"/>
        </w:rPr>
      </w:pPr>
    </w:p>
    <w:p>
      <w:pPr>
        <w:ind w:left="1220"/>
        <w:spacing w:after="0"/>
        <w:tabs>
          <w:tab w:leader="none" w:pos="4380" w:val="left"/>
          <w:tab w:leader="none" w:pos="5320" w:val="left"/>
          <w:tab w:leader="none" w:pos="6880" w:val="left"/>
          <w:tab w:leader="none" w:pos="7820" w:val="left"/>
          <w:tab w:leader="none" w:pos="886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below detail does not include space which is currently leased, but for which rent payment has not yet commenced)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Illinois</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HOBSON WEST PLAZA, NAPERVILLE</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EAGLE FOOD CENTERS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42,037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11/30/07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(5) 5 YEAR (6 MONTHS)</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Total: HOBSON WEST PLAZA,</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42,037</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Indiana</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MERRILLVILLE PLAZA, MERILLVILLE</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JC PENNEY</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1/31/08</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(2) 5 YEAR (12 MONTHS)</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OFFICEMAX</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26,157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7/31/08</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202,717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TJ MAXX</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1/31/04</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182,700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Total: MERRILLVILLE PLAZA</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101,357</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835,417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Michigan</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BLOOMFIELD TOWN SQUARE, BLOOMFIELD HILLS</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HOME GOODS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39,646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5/31/10</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307,257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(3) 5 YEAR</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TJ MAXX</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3/31/03</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Total: BLOOMFIELD TOWN SQUARE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75,646</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541,257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Ohio</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MAD RIVER STATION - RETAIL, DAYTON</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BABIES 'R' US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2/28/05</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243,630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7.35</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(3) 5 YEAR</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OFFICE DEPOT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25,038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8/31/05</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284,936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11.38</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(1) 5 YEAR (6 MONTH)</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Total: MAD RIVER STATION - RETAIL SPACE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58,185</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528,566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9.08</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Total: Midwest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277,225</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2,075,240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7.49</w:t>
            </w:r>
          </w:p>
        </w:tc>
        <w:tc>
          <w:tcPr>
            <w:tcW w:w="2060" w:type="dxa"/>
            <w:vAlign w:val="bottom"/>
          </w:tcPr>
          <w:p>
            <w:pPr>
              <w:spacing w:after="0"/>
              <w:rPr>
                <w:sz w:val="24"/>
                <w:szCs w:val="2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Retail Anchor Properties - Wholly Owned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5,128,248</w:t>
            </w:r>
          </w:p>
        </w:tc>
        <w:tc>
          <w:tcPr>
            <w:tcW w:w="108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$ 27,578,139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$ 5.66</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497"/>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Unconsolidated Retail Properties</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New York</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CROSSROADS SHOPPING CENTER,WHITEPLAINS</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K-MART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100,725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1/31/12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566,250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$ 5.62</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(5) 5 YEAR (9 MONTHS)</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WALDBAUMS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38,208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504,000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13.19</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(5) 5 YEAR (9 MONTHS)</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B. DALTON</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12,430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5/28/12</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321,813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25.89</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(2) 5 YEAR (18 MONTHS)</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MODELL'S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1/11/02</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204,733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13.65</w:t>
            </w: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PERGAMENTS(1)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2/28/09</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193,750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2060" w:type="dxa"/>
            <w:vAlign w:val="bottom"/>
          </w:tcPr>
          <w:p>
            <w:pPr>
              <w:ind w:left="180"/>
              <w:spacing w:after="0"/>
              <w:rPr>
                <w:sz w:val="20"/>
                <w:szCs w:val="20"/>
                <w:color w:val="auto"/>
              </w:rPr>
            </w:pPr>
            <w:r>
              <w:rPr>
                <w:rFonts w:ascii="Courier New" w:cs="Courier New" w:eastAsia="Courier New" w:hAnsi="Courier New"/>
                <w:sz w:val="14"/>
                <w:szCs w:val="14"/>
                <w:color w:val="auto"/>
              </w:rPr>
              <w:t>(2) 5 YEAR (12 MONTHS)</w:t>
            </w: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Total: CROSSROADS SHOPPING CENTER</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191,363</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1,790,546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9.36</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Total: New York Region</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191,363</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1,790,546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9.36</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191,363</w:t>
            </w:r>
          </w:p>
        </w:tc>
        <w:tc>
          <w:tcPr>
            <w:tcW w:w="10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1,790,546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$ 9.36</w:t>
            </w:r>
          </w:p>
        </w:tc>
        <w:tc>
          <w:tcPr>
            <w:tcW w:w="20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2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bl>
    <w:p>
      <w:pPr>
        <w:spacing w:after="0" w:line="335" w:lineRule="exact"/>
        <w:rPr>
          <w:sz w:val="20"/>
          <w:szCs w:val="20"/>
          <w:color w:val="auto"/>
        </w:rPr>
      </w:pPr>
    </w:p>
    <w:p>
      <w:pPr>
        <w:ind w:left="360" w:right="4820" w:hanging="352"/>
        <w:spacing w:after="0" w:line="252"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has filed for Bankruptcy and is in the process of liquidating. Subsequent to March 31, 2001, Modell's acquired this lease in connection with Pergaments' bankruptcy proceedings.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11540"/>
          </w:cols>
          <w:pgMar w:left="220" w:top="616" w:right="139" w:bottom="1440" w:gutter="0" w:footer="0" w:header="0"/>
          <w:type w:val="continuous"/>
        </w:sectPr>
      </w:pPr>
    </w:p>
    <w:bookmarkStart w:id="47" w:name="page48"/>
    <w:bookmarkEnd w:id="47"/>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4539"/>
          </w:cols>
          <w:pgMar w:left="220" w:top="616" w:right="1440" w:bottom="1440" w:gutter="0" w:footer="0" w:header="0"/>
        </w:sect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Lease</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Expirations</w:t>
            </w: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500" w:type="dxa"/>
            <w:vAlign w:val="bottom"/>
          </w:tcPr>
          <w:p>
            <w:pPr>
              <w:spacing w:after="0"/>
              <w:rPr>
                <w:sz w:val="24"/>
                <w:szCs w:val="24"/>
                <w:color w:val="auto"/>
              </w:rPr>
            </w:pPr>
          </w:p>
        </w:tc>
        <w:tc>
          <w:tcPr>
            <w:tcW w:w="68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Gross Leased Area</w:t>
            </w:r>
          </w:p>
        </w:tc>
        <w:tc>
          <w:tcPr>
            <w:tcW w:w="940" w:type="dxa"/>
            <w:vAlign w:val="bottom"/>
          </w:tcPr>
          <w:p>
            <w:pPr>
              <w:spacing w:after="0"/>
              <w:rPr>
                <w:sz w:val="14"/>
                <w:szCs w:val="14"/>
                <w:color w:val="auto"/>
              </w:rPr>
            </w:pPr>
          </w:p>
        </w:tc>
        <w:tc>
          <w:tcPr>
            <w:tcW w:w="3460" w:type="dxa"/>
            <w:vAlign w:val="bottom"/>
            <w:gridSpan w:val="3"/>
          </w:tcPr>
          <w:p>
            <w:pPr>
              <w:jc w:val="center"/>
              <w:ind w:left="26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3460" w:type="dxa"/>
            <w:vAlign w:val="bottom"/>
            <w:gridSpan w:val="3"/>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Percent</w:t>
            </w:r>
          </w:p>
        </w:tc>
        <w:tc>
          <w:tcPr>
            <w:tcW w:w="14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Leases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Square</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of</w:t>
            </w:r>
          </w:p>
        </w:tc>
        <w:tc>
          <w:tcPr>
            <w:tcW w:w="146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of</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Expiring</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Footage</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2500" w:type="dxa"/>
            <w:vAlign w:val="bottom"/>
          </w:tcPr>
          <w:p>
            <w:pPr>
              <w:spacing w:after="0"/>
              <w:rPr>
                <w:sz w:val="14"/>
                <w:szCs w:val="14"/>
                <w:color w:val="auto"/>
              </w:rPr>
            </w:pPr>
          </w:p>
        </w:tc>
        <w:tc>
          <w:tcPr>
            <w:tcW w:w="68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Retail Properties</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Anchor Tenant Expirations</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126,825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375,808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73,104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470,312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6.43</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229,553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1,006,886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4.39</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1,074,362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3,384,839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3.15</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501,174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2,960,207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2006</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321,663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893,712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2007</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427,359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8.77%</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1,914,380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4.48</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2008</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319,093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1,886,153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2009</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167,815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989,225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5.89</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2010</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98,825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1,303,928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13.19</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2011</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127,940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626,480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4.90</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2012</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516,960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10.29</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2013</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115,392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1,334,994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2014</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98,189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1,465,811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14.93</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2015</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120,884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1,358,841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11.24</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2017</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158,665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1,223,500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7.71</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2018</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168,410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1,200,731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7.13</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2019</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327,845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2,206,061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6.73</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2020</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294,852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2,034,881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6.90</w:t>
            </w:r>
          </w:p>
        </w:tc>
      </w:tr>
      <w:tr>
        <w:trPr>
          <w:trHeight w:val="166"/>
        </w:trPr>
        <w:tc>
          <w:tcPr>
            <w:tcW w:w="2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2021</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71,157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424,430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5.96</w:t>
            </w: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Occupied</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4,873,332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100.00%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$27,578,139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$ 5.66</w:t>
            </w:r>
          </w:p>
        </w:tc>
      </w:tr>
      <w:tr>
        <w:trPr>
          <w:trHeight w:val="331"/>
        </w:trPr>
        <w:tc>
          <w:tcPr>
            <w:tcW w:w="4920" w:type="dxa"/>
            <w:vAlign w:val="bottom"/>
            <w:gridSpan w:val="4"/>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Anchor GLA Owned by Tenants</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254,916</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Vacant</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287,832</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Square Feet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5,416,080</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616" w:right="1440" w:bottom="1440" w:gutter="0" w:footer="0" w:header="0"/>
          <w:type w:val="continuous"/>
        </w:sectPr>
      </w:pPr>
    </w:p>
    <w:bookmarkStart w:id="48" w:name="page49"/>
    <w:bookmarkEnd w:id="48"/>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4539"/>
          </w:cols>
          <w:pgMar w:left="220" w:top="616" w:right="1440" w:bottom="1440" w:gutter="0" w:footer="0" w:header="0"/>
        </w:sect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Lease</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Expirations</w:t>
            </w: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3"/>
        </w:trPr>
        <w:tc>
          <w:tcPr>
            <w:tcW w:w="2340" w:type="dxa"/>
            <w:vAlign w:val="bottom"/>
          </w:tcPr>
          <w:p>
            <w:pPr>
              <w:spacing w:after="0"/>
              <w:rPr>
                <w:sz w:val="24"/>
                <w:szCs w:val="2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Gross Leased Area</w:t>
            </w:r>
          </w:p>
        </w:tc>
        <w:tc>
          <w:tcPr>
            <w:tcW w:w="940" w:type="dxa"/>
            <w:vAlign w:val="bottom"/>
          </w:tcPr>
          <w:p>
            <w:pPr>
              <w:spacing w:after="0"/>
              <w:rPr>
                <w:sz w:val="14"/>
                <w:szCs w:val="14"/>
                <w:color w:val="auto"/>
              </w:rPr>
            </w:pPr>
          </w:p>
        </w:tc>
        <w:tc>
          <w:tcPr>
            <w:tcW w:w="3460" w:type="dxa"/>
            <w:vAlign w:val="bottom"/>
            <w:gridSpan w:val="4"/>
          </w:tcPr>
          <w:p>
            <w:pPr>
              <w:jc w:val="center"/>
              <w:ind w:left="26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3460" w:type="dxa"/>
            <w:vAlign w:val="bottom"/>
            <w:gridSpan w:val="4"/>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Percent</w:t>
            </w:r>
          </w:p>
        </w:tc>
        <w:tc>
          <w:tcPr>
            <w:tcW w:w="14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Percent</w:t>
            </w:r>
          </w:p>
        </w:tc>
        <w:tc>
          <w:tcPr>
            <w:tcW w:w="20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Leases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Square</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of</w:t>
            </w:r>
          </w:p>
        </w:tc>
        <w:tc>
          <w:tcPr>
            <w:tcW w:w="1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20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2340" w:type="dxa"/>
            <w:vAlign w:val="bottom"/>
          </w:tcPr>
          <w:p>
            <w:pPr>
              <w:spacing w:after="0"/>
              <w:rPr>
                <w:sz w:val="14"/>
                <w:szCs w:val="14"/>
                <w:color w:val="auto"/>
              </w:rPr>
            </w:pPr>
          </w:p>
        </w:tc>
        <w:tc>
          <w:tcPr>
            <w:tcW w:w="15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Expiring</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Footage</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20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234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Shop Tenant Expirations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3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Month to Month</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192,079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$ 1,185,178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6.17</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249,166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2,281,658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80</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288,300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2,890,139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12.04%</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10.02</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309,213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3,236,290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13.49%</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10.47</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306,895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3,474,203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14.48%</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11.32</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314,659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13.24%</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3,309,761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13.79%</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10.52</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2006</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159,863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1,562,829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6.51%</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9.78</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2007</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96,225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1,157,074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4.82%</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12.02</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2008</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109,635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1,317,732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12.02</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2009</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98,644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1,136,613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11.52</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2010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155,020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1,291,369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5.38%</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8.33</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2011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48,342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568,198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11.75</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2014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82,500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0.34%</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3.84</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2015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9,592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180,330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0.75%</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18.80</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2019</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236,800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0.99%</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15.91</w:t>
            </w:r>
          </w:p>
        </w:tc>
      </w:tr>
      <w:tr>
        <w:trPr>
          <w:trHeight w:val="166"/>
        </w:trPr>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2020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87,000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0.36%</w:t>
            </w:r>
          </w:p>
        </w:tc>
        <w:tc>
          <w:tcPr>
            <w:tcW w:w="2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29.00</w:t>
            </w:r>
          </w:p>
        </w:tc>
      </w:tr>
      <w:tr>
        <w:trPr>
          <w:trHeight w:val="166"/>
        </w:trPr>
        <w:tc>
          <w:tcPr>
            <w:tcW w:w="234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Total Occupied</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530</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2,377,020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100.00%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$23,997,674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10.09</w:t>
            </w:r>
          </w:p>
        </w:tc>
      </w:tr>
      <w:tr>
        <w:trPr>
          <w:trHeight w:val="331"/>
        </w:trPr>
        <w:tc>
          <w:tcPr>
            <w:tcW w:w="4920" w:type="dxa"/>
            <w:vAlign w:val="bottom"/>
            <w:gridSpan w:val="4"/>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Total Vacant</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539,554</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Total Square Feet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2,916,574</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616" w:right="1440" w:bottom="1440" w:gutter="0" w:footer="0" w:header="0"/>
          <w:type w:val="continuous"/>
        </w:sectPr>
      </w:pPr>
    </w:p>
    <w:bookmarkStart w:id="49" w:name="page50"/>
    <w:bookmarkEnd w:id="49"/>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4539"/>
          </w:cols>
          <w:pgMar w:left="220" w:top="782" w:right="1440" w:bottom="1440" w:gutter="0" w:footer="0" w:header="0"/>
        </w:sect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Lease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Expirations</w:t>
            </w: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500" w:type="dxa"/>
            <w:vAlign w:val="bottom"/>
          </w:tcPr>
          <w:p>
            <w:pPr>
              <w:spacing w:after="0"/>
              <w:rPr>
                <w:sz w:val="24"/>
                <w:szCs w:val="24"/>
                <w:color w:val="auto"/>
              </w:rPr>
            </w:pPr>
          </w:p>
        </w:tc>
        <w:tc>
          <w:tcPr>
            <w:tcW w:w="68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Leased Area</w:t>
            </w:r>
          </w:p>
        </w:tc>
        <w:tc>
          <w:tcPr>
            <w:tcW w:w="3460" w:type="dxa"/>
            <w:vAlign w:val="bottom"/>
            <w:gridSpan w:val="3"/>
          </w:tcPr>
          <w:p>
            <w:pPr>
              <w:jc w:val="center"/>
              <w:ind w:left="26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5"/>
              </w:rPr>
              <w:t>-----------------</w:t>
            </w:r>
          </w:p>
        </w:tc>
        <w:tc>
          <w:tcPr>
            <w:tcW w:w="1160" w:type="dxa"/>
            <w:vAlign w:val="bottom"/>
          </w:tcPr>
          <w:p>
            <w:pPr>
              <w:spacing w:after="0"/>
              <w:rPr>
                <w:sz w:val="14"/>
                <w:szCs w:val="14"/>
                <w:color w:val="auto"/>
              </w:rPr>
            </w:pPr>
          </w:p>
        </w:tc>
        <w:tc>
          <w:tcPr>
            <w:tcW w:w="3460" w:type="dxa"/>
            <w:vAlign w:val="bottom"/>
            <w:gridSpan w:val="3"/>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w:t>
            </w:r>
          </w:p>
        </w:tc>
        <w:tc>
          <w:tcPr>
            <w:tcW w:w="14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Leases</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Square</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of</w:t>
            </w:r>
          </w:p>
        </w:tc>
        <w:tc>
          <w:tcPr>
            <w:tcW w:w="146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of</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Expiring</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Footage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2500" w:type="dxa"/>
            <w:vAlign w:val="bottom"/>
          </w:tcPr>
          <w:p>
            <w:pPr>
              <w:spacing w:after="0"/>
              <w:rPr>
                <w:sz w:val="14"/>
                <w:szCs w:val="14"/>
                <w:color w:val="auto"/>
              </w:rPr>
            </w:pPr>
          </w:p>
        </w:tc>
        <w:tc>
          <w:tcPr>
            <w:tcW w:w="68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Retail Expirations</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jc w:val="center"/>
              <w:spacing w:after="0"/>
              <w:rPr>
                <w:sz w:val="20"/>
                <w:szCs w:val="20"/>
                <w:color w:val="auto"/>
              </w:rPr>
            </w:pPr>
            <w:r>
              <w:rPr>
                <w:rFonts w:ascii="Courier New" w:cs="Courier New" w:eastAsia="Courier New" w:hAnsi="Courier New"/>
                <w:sz w:val="14"/>
                <w:szCs w:val="14"/>
                <w:color w:val="auto"/>
              </w:rPr>
              <w:t>Month to Month</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192,079</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$ 1,185,178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$ 6.17</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375,991</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2,657,466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7.07</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361,404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3,360,451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9.30</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538,766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4,243,176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7.88</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w:t>
            </w: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1,381,257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6,859,042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815,833</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6,269,968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7.69</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2006</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481,526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6.64%</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2,456,541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5.10</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2007</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523,584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3,071,454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5.87</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2008</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428,728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3,203,885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7.47</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2009</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266,459</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2,125,838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7.98</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2010</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253,845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2,595,297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10.22</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2011</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176,282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1,194,678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6.78</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2012</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50,225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516,960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10.29</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2013</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115,392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1,334,994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2014</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119,689</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1,548,311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2015</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130,476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1,539,171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11.80</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2017</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158,665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1,223,500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7.71</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2018</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168,410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1,200,731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7.13</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2019</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342,732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2,442,861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7.13</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2020</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297,852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2,121,881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7.12</w:t>
            </w:r>
          </w:p>
        </w:tc>
      </w:tr>
      <w:tr>
        <w:trPr>
          <w:trHeight w:val="166"/>
        </w:trPr>
        <w:tc>
          <w:tcPr>
            <w:tcW w:w="25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2021</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71,157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424,430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5.96</w:t>
            </w: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Occupied</w:t>
            </w:r>
          </w:p>
        </w:tc>
        <w:tc>
          <w:tcPr>
            <w:tcW w:w="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637</w:t>
            </w: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7,250,352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51,575,813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w:t>
            </w:r>
          </w:p>
        </w:tc>
      </w:tr>
      <w:tr>
        <w:trPr>
          <w:trHeight w:val="331"/>
        </w:trPr>
        <w:tc>
          <w:tcPr>
            <w:tcW w:w="4700" w:type="dxa"/>
            <w:vAlign w:val="bottom"/>
            <w:gridSpan w:val="4"/>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Anchor GLA Owned by Tenants</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254,916</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Vacant</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827,386</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Total Square Feet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8,332,654</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782" w:right="1440" w:bottom="1440" w:gutter="0" w:footer="0" w:header="0"/>
          <w:type w:val="continuous"/>
        </w:sectPr>
      </w:pPr>
    </w:p>
    <w:bookmarkStart w:id="50" w:name="page51"/>
    <w:bookmarkEnd w:id="50"/>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31, 2001</w:t>
      </w:r>
    </w:p>
    <w:p>
      <w:pPr>
        <w:spacing w:after="0" w:line="20" w:lineRule="exact"/>
        <w:rPr>
          <w:sz w:val="20"/>
          <w:szCs w:val="20"/>
          <w:color w:val="auto"/>
        </w:rPr>
      </w:pPr>
      <w:r>
        <w:rPr>
          <w:sz w:val="20"/>
          <w:szCs w:val="20"/>
          <w:color w:val="auto"/>
        </w:rPr>
        <w:br w:type="column"/>
      </w:r>
    </w:p>
    <w:p>
      <w:pPr>
        <w:jc w:val="both"/>
        <w:spacing w:after="0"/>
        <w:tabs>
          <w:tab w:leader="none" w:pos="840" w:val="left"/>
        </w:tabs>
        <w:rPr>
          <w:sz w:val="20"/>
          <w:szCs w:val="20"/>
          <w:color w:val="auto"/>
        </w:rPr>
      </w:pPr>
      <w:r>
        <w:rPr>
          <w:rFonts w:ascii="Courier New" w:cs="Courier New" w:eastAsia="Courier New" w:hAnsi="Courier New"/>
          <w:sz w:val="14"/>
          <w:szCs w:val="14"/>
          <w:color w:val="auto"/>
        </w:rPr>
        <w:t>[LOGO]</w:t>
      </w:r>
      <w:r>
        <w:rPr>
          <w:sz w:val="20"/>
          <w:szCs w:val="20"/>
          <w:color w:val="auto"/>
        </w:rPr>
        <w:tab/>
      </w: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7" w:lineRule="exact"/>
        <w:rPr>
          <w:sz w:val="20"/>
          <w:szCs w:val="20"/>
          <w:color w:val="auto"/>
        </w:rPr>
      </w:pPr>
    </w:p>
    <w:p>
      <w:pPr>
        <w:sectPr>
          <w:pgSz w:w="11900" w:h="16838" w:orient="portrait"/>
          <w:cols w:equalWidth="0" w:num="2">
            <w:col w:w="4980" w:space="720"/>
            <w:col w:w="4539"/>
          </w:cols>
          <w:pgMar w:left="220" w:top="782" w:right="1440" w:bottom="1440" w:gutter="0" w:footer="0" w:header="0"/>
        </w:sect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Lease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Expirations</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240" w:type="dxa"/>
            <w:vAlign w:val="bottom"/>
          </w:tcPr>
          <w:p>
            <w:pPr>
              <w:spacing w:after="0"/>
              <w:rPr>
                <w:sz w:val="24"/>
                <w:szCs w:val="24"/>
                <w:color w:val="auto"/>
              </w:rPr>
            </w:pPr>
          </w:p>
        </w:tc>
        <w:tc>
          <w:tcPr>
            <w:tcW w:w="70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Leased Area</w:t>
            </w:r>
          </w:p>
        </w:tc>
        <w:tc>
          <w:tcPr>
            <w:tcW w:w="3460" w:type="dxa"/>
            <w:vAlign w:val="bottom"/>
            <w:gridSpan w:val="3"/>
          </w:tcPr>
          <w:p>
            <w:pPr>
              <w:jc w:val="center"/>
              <w:ind w:left="26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5"/>
              </w:rPr>
              <w:t>-----------------</w:t>
            </w:r>
          </w:p>
        </w:tc>
        <w:tc>
          <w:tcPr>
            <w:tcW w:w="1160" w:type="dxa"/>
            <w:vAlign w:val="bottom"/>
          </w:tcPr>
          <w:p>
            <w:pPr>
              <w:spacing w:after="0"/>
              <w:rPr>
                <w:sz w:val="14"/>
                <w:szCs w:val="14"/>
                <w:color w:val="auto"/>
              </w:rPr>
            </w:pPr>
          </w:p>
        </w:tc>
        <w:tc>
          <w:tcPr>
            <w:tcW w:w="3460" w:type="dxa"/>
            <w:vAlign w:val="bottom"/>
            <w:gridSpan w:val="3"/>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w:t>
            </w:r>
          </w:p>
        </w:tc>
        <w:tc>
          <w:tcPr>
            <w:tcW w:w="15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Leases</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Square</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spacing w:after="0"/>
              <w:rPr>
                <w:sz w:val="14"/>
                <w:szCs w:val="14"/>
                <w:color w:val="auto"/>
              </w:rPr>
            </w:pP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of</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224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Expiring</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Footage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2240" w:type="dxa"/>
            <w:vAlign w:val="bottom"/>
          </w:tcPr>
          <w:p>
            <w:pPr>
              <w:spacing w:after="0"/>
              <w:rPr>
                <w:sz w:val="14"/>
                <w:szCs w:val="14"/>
                <w:color w:val="auto"/>
              </w:rPr>
            </w:pPr>
          </w:p>
        </w:tc>
        <w:tc>
          <w:tcPr>
            <w:tcW w:w="70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Unconsolidated Property</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Month to Month</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95,700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31.90</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0.55%</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50,144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30.39</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31,517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690,442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21.91</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20,241</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6.74%</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631,675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31.21</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30,516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10.17%</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802,461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16,015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5.34%</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461,200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28.80</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151,628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28.83</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2007</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42,258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14.08%</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642,303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15.20</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2008</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10,093</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3.36%</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267,882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26.54</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2009</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26,462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8.82%</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247,844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9.37</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2012</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113,155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37.69%</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888,062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7.85</w:t>
            </w:r>
          </w:p>
        </w:tc>
      </w:tr>
      <w:tr>
        <w:trPr>
          <w:trHeight w:val="166"/>
        </w:trPr>
        <w:tc>
          <w:tcPr>
            <w:tcW w:w="22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Occupied</w:t>
            </w:r>
          </w:p>
        </w:tc>
        <w:tc>
          <w:tcPr>
            <w:tcW w:w="1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300,167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4,929,341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16.42</w:t>
            </w:r>
          </w:p>
        </w:tc>
      </w:tr>
      <w:tr>
        <w:trPr>
          <w:trHeight w:val="331"/>
        </w:trPr>
        <w:tc>
          <w:tcPr>
            <w:tcW w:w="4700" w:type="dxa"/>
            <w:vAlign w:val="bottom"/>
            <w:gridSpan w:val="4"/>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Total Vacant</w:t>
            </w: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10,752</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Total Square Feet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310,919</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782" w:right="1440"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jc w:val="center"/>
              <w:ind w:left="1628"/>
              <w:spacing w:after="0"/>
              <w:rPr>
                <w:sz w:val="20"/>
                <w:szCs w:val="20"/>
                <w:color w:val="auto"/>
              </w:rPr>
            </w:pPr>
            <w:r>
              <w:rPr>
                <w:rFonts w:ascii="Courier New" w:cs="Courier New" w:eastAsia="Courier New" w:hAnsi="Courier New"/>
                <w:sz w:val="14"/>
                <w:szCs w:val="14"/>
                <w:color w:val="auto"/>
              </w:rPr>
              <w:t>QUARTERLY SUPPLEMENTAL DISCLOSURE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[LOGO]</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NYSE</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5300" w:type="dxa"/>
            <w:vAlign w:val="bottom"/>
            <w:gridSpan w:val="2"/>
          </w:tcPr>
          <w:p>
            <w:pPr>
              <w:ind w:left="2860"/>
              <w:spacing w:after="0"/>
              <w:rPr>
                <w:sz w:val="20"/>
                <w:szCs w:val="20"/>
                <w:color w:val="auto"/>
              </w:rPr>
            </w:pPr>
            <w:r>
              <w:rPr>
                <w:rFonts w:ascii="Courier New" w:cs="Courier New" w:eastAsia="Courier New" w:hAnsi="Courier New"/>
                <w:sz w:val="14"/>
                <w:szCs w:val="14"/>
                <w:color w:val="auto"/>
              </w:rPr>
              <w:t>MARCH 31, 2001</w:t>
            </w:r>
          </w:p>
        </w:tc>
        <w:tc>
          <w:tcPr>
            <w:tcW w:w="1220" w:type="dxa"/>
            <w:vAlign w:val="bottom"/>
          </w:tcPr>
          <w:p>
            <w:pPr>
              <w:spacing w:after="0"/>
              <w:rPr>
                <w:sz w:val="14"/>
                <w:szCs w:val="1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AKR</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5300" w:type="dxa"/>
            <w:vAlign w:val="bottom"/>
            <w:gridSpan w:val="2"/>
          </w:tcPr>
          <w:p>
            <w:pPr>
              <w:jc w:val="center"/>
              <w:ind w:left="1628"/>
              <w:spacing w:after="0"/>
              <w:rPr>
                <w:sz w:val="20"/>
                <w:szCs w:val="20"/>
                <w:color w:val="auto"/>
              </w:rPr>
            </w:pPr>
            <w:r>
              <w:rPr>
                <w:rFonts w:ascii="Courier New" w:cs="Courier New" w:eastAsia="Courier New" w:hAnsi="Courier New"/>
                <w:sz w:val="14"/>
                <w:szCs w:val="14"/>
                <w:color w:val="auto"/>
              </w:rPr>
              <w:t>Residential (Multi-family) Properties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497"/>
        </w:trPr>
        <w:tc>
          <w:tcPr>
            <w:tcW w:w="3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 Occupied</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Occupied</w:t>
            </w:r>
          </w:p>
        </w:tc>
      </w:tr>
      <w:tr>
        <w:trPr>
          <w:trHeight w:val="166"/>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Property</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Location</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Square Feet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Units</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March 31, 2001</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December 31, 2000</w:t>
            </w:r>
          </w:p>
        </w:tc>
      </w:tr>
      <w:tr>
        <w:trPr>
          <w:trHeight w:val="166"/>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MID-ATLANTIC</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1"/>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Maryland</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Glen Oaks Apartments(1)</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Greenbelt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557,772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99%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3720" w:type="dxa"/>
            <w:vAlign w:val="bottom"/>
          </w:tcPr>
          <w:p>
            <w:pPr>
              <w:ind w:left="780"/>
              <w:spacing w:after="0"/>
              <w:rPr>
                <w:sz w:val="20"/>
                <w:szCs w:val="20"/>
                <w:color w:val="auto"/>
              </w:rPr>
            </w:pPr>
            <w:r>
              <w:rPr>
                <w:rFonts w:ascii="Courier New" w:cs="Courier New" w:eastAsia="Courier New" w:hAnsi="Courier New"/>
                <w:sz w:val="14"/>
                <w:szCs w:val="14"/>
                <w:color w:val="auto"/>
              </w:rPr>
              <w:t>Marley Run Apartments(1)</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Pasadena</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274,200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97%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w:t>
            </w:r>
          </w:p>
        </w:tc>
      </w:tr>
      <w:tr>
        <w:trPr>
          <w:trHeight w:val="331"/>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North Carolina</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Village Apartments</w:t>
            </w:r>
          </w:p>
        </w:tc>
        <w:tc>
          <w:tcPr>
            <w:tcW w:w="1580" w:type="dxa"/>
            <w:vAlign w:val="bottom"/>
          </w:tcPr>
          <w:p>
            <w:pPr>
              <w:ind w:left="160"/>
              <w:spacing w:after="0"/>
              <w:rPr>
                <w:sz w:val="20"/>
                <w:szCs w:val="20"/>
                <w:color w:val="auto"/>
              </w:rPr>
            </w:pPr>
            <w:r>
              <w:rPr>
                <w:rFonts w:ascii="Courier New" w:cs="Courier New" w:eastAsia="Courier New" w:hAnsi="Courier New"/>
                <w:sz w:val="14"/>
                <w:szCs w:val="14"/>
                <w:color w:val="auto"/>
              </w:rPr>
              <w:t>Winston Salem</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578,606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79%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r>
      <w:tr>
        <w:trPr>
          <w:trHeight w:val="331"/>
        </w:trPr>
        <w:tc>
          <w:tcPr>
            <w:tcW w:w="3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MIDWEST</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1"/>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Missouri</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Gate House, Holiday House, Tiger Village,</w:t>
            </w: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Columbia</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628,891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874</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96%</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96%(2)</w:t>
            </w: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Colony Apartments</w:t>
            </w:r>
          </w:p>
        </w:tc>
        <w:tc>
          <w:tcPr>
            <w:tcW w:w="15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497"/>
        </w:trPr>
        <w:tc>
          <w:tcPr>
            <w:tcW w:w="37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Totals</w:t>
            </w:r>
          </w:p>
        </w:tc>
        <w:tc>
          <w:tcPr>
            <w:tcW w:w="158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2,039,469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2,273</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92%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bl>
    <w:p>
      <w:pPr>
        <w:spacing w:after="0" w:line="335" w:lineRule="exact"/>
        <w:rPr>
          <w:sz w:val="20"/>
          <w:szCs w:val="20"/>
          <w:color w:val="auto"/>
        </w:rPr>
      </w:pPr>
    </w:p>
    <w:p>
      <w:pPr>
        <w:ind w:left="360" w:hanging="352"/>
        <w:spacing w:after="0"/>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properties are held for sale as of March 31, 2001</w:t>
      </w:r>
    </w:p>
    <w:p>
      <w:pPr>
        <w:spacing w:after="0" w:line="7" w:lineRule="exact"/>
        <w:rPr>
          <w:rFonts w:ascii="Courier New" w:cs="Courier New" w:eastAsia="Courier New" w:hAnsi="Courier New"/>
          <w:sz w:val="14"/>
          <w:szCs w:val="14"/>
          <w:color w:val="auto"/>
        </w:rPr>
      </w:pPr>
    </w:p>
    <w:p>
      <w:pPr>
        <w:ind w:left="360" w:right="4560" w:hanging="352"/>
        <w:spacing w:after="0" w:line="255"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this property has tenants associated with the University of Missouri, occupancy trends are correlated to semester sessions</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1120"/>
          </w:cols>
          <w:pgMar w:left="220" w:top="1113" w:right="559" w:bottom="1440" w:gutter="0" w:footer="0" w:header="0"/>
        </w:sectPr>
      </w:pPr>
    </w:p>
    <w:bookmarkStart w:id="52" w:name="page53"/>
    <w:bookmarkEnd w:id="52"/>
    <w:p>
      <w:pPr>
        <w:ind w:left="2860" w:right="60" w:hanging="774"/>
        <w:spacing w:after="0" w:line="255" w:lineRule="auto"/>
        <w:rPr>
          <w:sz w:val="20"/>
          <w:szCs w:val="20"/>
          <w:color w:val="auto"/>
        </w:rPr>
      </w:pPr>
      <w:r>
        <w:rPr>
          <w:rFonts w:ascii="Courier New" w:cs="Courier New" w:eastAsia="Courier New" w:hAnsi="Courier New"/>
          <w:sz w:val="14"/>
          <w:szCs w:val="14"/>
          <w:color w:val="auto"/>
        </w:rPr>
        <w:t>QUARTERLY SUPPLEMENTAL DISCLOSURE MARCH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jc w:val="right"/>
        <w:ind w:right="3339"/>
        <w:spacing w:after="0"/>
        <w:rPr>
          <w:sz w:val="20"/>
          <w:szCs w:val="20"/>
          <w:color w:val="auto"/>
        </w:rPr>
      </w:pPr>
      <w:r>
        <w:rPr>
          <w:rFonts w:ascii="Courier New" w:cs="Courier New" w:eastAsia="Courier New" w:hAnsi="Courier New"/>
          <w:sz w:val="14"/>
          <w:szCs w:val="14"/>
          <w:color w:val="auto"/>
        </w:rPr>
        <w:t>NYSE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AKR</w:t>
      </w:r>
    </w:p>
    <w:p>
      <w:pPr>
        <w:spacing w:after="0" w:line="173" w:lineRule="exact"/>
        <w:rPr>
          <w:sz w:val="20"/>
          <w:szCs w:val="20"/>
          <w:color w:val="auto"/>
        </w:rPr>
      </w:pPr>
    </w:p>
    <w:p>
      <w:pPr>
        <w:sectPr>
          <w:pgSz w:w="11900" w:h="16838" w:orient="portrait"/>
          <w:cols w:equalWidth="0" w:num="3">
            <w:col w:w="4980" w:space="720"/>
            <w:col w:w="520" w:space="340"/>
            <w:col w:w="3679"/>
          </w:cols>
          <w:pgMar w:left="220" w:top="947" w:right="1440" w:bottom="1440" w:gutter="0" w:footer="0" w:header="0"/>
        </w:sectPr>
      </w:pPr>
    </w:p>
    <w:p>
      <w:pPr>
        <w:ind w:left="2160"/>
        <w:spacing w:after="0"/>
        <w:rPr>
          <w:sz w:val="20"/>
          <w:szCs w:val="20"/>
          <w:color w:val="auto"/>
        </w:rPr>
      </w:pPr>
      <w:r>
        <w:rPr>
          <w:rFonts w:ascii="Courier New" w:cs="Courier New" w:eastAsia="Courier New" w:hAnsi="Courier New"/>
          <w:sz w:val="14"/>
          <w:szCs w:val="14"/>
          <w:color w:val="auto"/>
        </w:rPr>
        <w:t>Properties Under Redevelopment</w:t>
      </w:r>
    </w:p>
    <w:p>
      <w:pPr>
        <w:sectPr>
          <w:pgSz w:w="11900" w:h="16838" w:orient="portrait"/>
          <w:cols w:equalWidth="0" w:num="1">
            <w:col w:w="10239"/>
          </w:cols>
          <w:pgMar w:left="220" w:top="947" w:right="1440" w:bottom="1440" w:gutter="0" w:footer="0" w:header="0"/>
          <w:type w:val="continuous"/>
        </w:sectPr>
      </w:pP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previously discussed during 2000, Acadia has four properties currently under redevelopment. The Company has completed the first phase of redevelopment of the Abington Towne Center in the Philadelphia suburb of Abington, PA. During the fourth quarter 2000, Acadia completed the sale of the top two floors and a portion of the first floor of the main building to Target Corp. for $11.5 million, securing a new anchor for the property. T.J. Maxx, which occupies 27,000 square feet, also opened in November 2000. The Center, which was previously an enclosed multi-level mall, consists of a 206,000 square foot, three story main building (of which 160,000 is owned by Target) and 14,000 square feet of store space in outparcel buildings. The new Target store is expected to open prior to the end of 2001. Costs incurred through first quarter 2001 totaled $2.7 million (net of a $900,000 reimbursement received from Target during 2001) with approximately $1.0 million of additional costs anticipated through completion.</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2001, redevelopment activities continued at the Elmwood Park and Methuen Shopping Centers. In Elmwood Park, NJ, Acadia is re-anchoring, renovating and expanding an existing 125,000 square foot center by replacing a 28,000 in-line Grand Union supermarket with a 48,000 square foot freestanding A&amp;P supermarket and expanding an existing Walgreen's drug store. Costs incurred through first quarter 2001 totaled $643,000 with an additional $11.4 million anticipated through completion in 2002. In Methuen, MA, the Company is finalizing negotiations with a national discount department store to replace the previous anchor, Caldor, whose lease the Company purchased in bankruptcy.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Burlington, VT, the Grand Union lease has been assigned to Shaw's supermarket as a result of Grand Unions bankruptcy proceedings. Although Acadia is pleased with the excellent credit represented by Shaw's and their reputation as a solid supermarket operator, these events have temporarily delayed the Company's planned redevelopment and de-malling of the Gateway Shopping Center. The redevelopment, as originally planned, included the recapture of an undersized 32,000 square foot Grand Union lease and construction of a new anchor space.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sectPr>
      <w:pgSz w:w="11900" w:h="16838" w:orient="portrait"/>
      <w:cols w:equalWidth="0" w:num="1">
        <w:col w:w="10239"/>
      </w:cols>
      <w:pgMar w:left="220" w:top="9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2"/>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516"/>
    </w:lvl>
  </w:abstractNum>
  <w:abstractNum w:abstractNumId="3">
    <w:nsid w:val="6763845E"/>
    <w:multiLevelType w:val="hybridMultilevel"/>
    <w:lvl w:ilvl="0">
      <w:lvlJc w:val="left"/>
      <w:lvlText w:val="o"/>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upperLetter"/>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lvl>
    <w:lvl w:ilvl="1">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2019-12-14T00:57:44Z</dcterms:created>
  <dcterms:modified xsi:type="dcterms:W3CDTF">2019-12-14T00:57:44Z</dcterms:modified>
</cp:coreProperties>
</file>