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kr-20260728.htm"/>
      <w:bookmarkStart w:id="1" w:name="ksakr20260728"/>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240" w:after="283"/>
        <w:jc w:val="center"/>
        <w:rPr>
          <w:rFonts w:ascii="Times New Roman" w:hAnsi="Times New Roman"/>
          <w:color w:val="000000"/>
          <w:sz w:val="26"/>
        </w:rPr>
      </w:pPr>
      <w:r>
        <w:rPr>
          <w:rFonts w:ascii="Times New Roman" w:hAnsi="Times New Roman"/>
          <w:color w:val="000000"/>
          <w:sz w:val="26"/>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Date of Report (Date of Earliest Event Reported): July 28, 2026</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ACADIA REALTY TRUST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211"/>
        <w:gridCol w:w="146"/>
        <w:gridCol w:w="2071"/>
        <w:gridCol w:w="146"/>
        <w:gridCol w:w="271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Maryland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1-12002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23-2715194</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411 Theodore Fremd Avenue</w:t>
      </w:r>
    </w:p>
    <w:p>
      <w:pPr>
        <w:pStyle w:val="TextBody"/>
        <w:bidi w:val="0"/>
        <w:jc w:val="center"/>
        <w:rPr>
          <w:rFonts w:ascii="Times New Roman" w:hAnsi="Times New Roman"/>
          <w:color w:val="000000"/>
          <w:sz w:val="20"/>
        </w:rPr>
      </w:pPr>
      <w:r>
        <w:rPr>
          <w:rFonts w:ascii="Times New Roman" w:hAnsi="Times New Roman"/>
          <w:color w:val="000000"/>
          <w:sz w:val="20"/>
        </w:rPr>
        <w:t>Suite 300</w:t>
      </w:r>
    </w:p>
    <w:p>
      <w:pPr>
        <w:pStyle w:val="TextBody"/>
        <w:bidi w:val="0"/>
        <w:jc w:val="center"/>
        <w:rPr>
          <w:rFonts w:ascii="Times New Roman" w:hAnsi="Times New Roman"/>
          <w:color w:val="000000"/>
          <w:sz w:val="20"/>
        </w:rPr>
      </w:pPr>
      <w:r>
        <w:rPr>
          <w:rFonts w:ascii="Times New Roman" w:hAnsi="Times New Roman"/>
          <w:color w:val="000000"/>
          <w:sz w:val="20"/>
        </w:rPr>
        <w:t>Rye, New York 10580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(914) 288-8100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10203" w:type="dxa"/>
        <w:jc w:val="left"/>
        <w:tblInd w:w="0" w:type="dxa"/>
        <w:tblLayout w:type="fixed"/>
        <w:tblCellMar>
          <w:top w:w="28" w:type="dxa"/>
          <w:left w:w="28" w:type="dxa"/>
          <w:bottom w:w="28" w:type="dxa"/>
          <w:right w:w="28" w:type="dxa"/>
        </w:tblCellMar>
      </w:tblPr>
      <w:tblGrid>
        <w:gridCol w:w="5341"/>
        <w:gridCol w:w="1471"/>
        <w:gridCol w:w="3391"/>
      </w:tblGrid>
      <w:tr>
        <w:trPr/>
        <w:tc>
          <w:tcPr>
            <w:tcW w:w="534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53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shares of beneficial interest, par value $0.001 per share</w:t>
            </w:r>
          </w:p>
        </w:tc>
        <w:tc>
          <w:tcPr>
            <w:tcW w:w="14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AKR</w:t>
            </w:r>
          </w:p>
        </w:tc>
        <w:tc>
          <w:tcPr>
            <w:tcW w:w="339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w:t>
      </w:r>
      <w:r>
        <w:rPr>
          <w:rFonts w:ascii="Times New Roman" w:hAnsi="Times New Roman"/>
          <w:color w:val="000000"/>
          <w:sz w:val="20"/>
        </w:rPr>
        <w:t xml:space="preserve"> </w:t>
      </w:r>
      <w:r>
        <w:rPr>
          <w:rFonts w:ascii="Times New Roman" w:hAnsi="Times New Roman"/>
          <w:b/>
          <w:color w:val="000000"/>
          <w:sz w:val="20"/>
        </w:rPr>
        <w:t>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28, 2026, Acadia Realty Trust (the “Company”) issued a press release announcing its consolidated financial results for the three and six months ended June 30, 2026. A copy of the press release is attached to this Current Report on Form 8-K as Exhibit 99.1 and incorporated herein by reference.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the same day, the Company made available supplemental reporting information regarding the financial results, operations and portfolio of the Company as of and for the three and six months ended June 30, 2026. A copy of the supplemental reporting information is attached to this Current Report on Form 8-K as Exhibit 99.2 and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included in this Item 2.02, including the information included in Exhibits 99.1 and 99.2 attached hereto, is intended to be “furnished” pursuant to Item 2.02, and is not deemed to be “filed” for purposes of Section 18 of the Securities Exchange Act of 1934, as amended (the “Exchange Act”), or incorporated by reference into any filing under the Securities Act of 1933, as amended (“Securities Act”) or the Exchange Act, or otherwise subject to the liabilities of Sections 11 and 12 (a)(2) of the Securities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bookmarkStart w:id="2" w:name="fis_unidentified_table_2"/>
      <w:bookmarkEnd w:id="2"/>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9364"/>
      </w:tblGrid>
      <w:tr>
        <w:trPr/>
        <w:tc>
          <w:tcPr>
            <w:tcW w:w="841" w:type="dxa"/>
            <w:tcBorders/>
            <w:vAlign w:val="center"/>
          </w:tcPr>
          <w:p>
            <w:pPr>
              <w:pStyle w:val="TableContents"/>
              <w:bidi w:val="0"/>
              <w:spacing w:before="0" w:after="283"/>
              <w:jc w:val="left"/>
              <w:rPr>
                <w:sz w:val="4"/>
                <w:szCs w:val="4"/>
              </w:rPr>
            </w:pPr>
            <w:r>
              <w:rPr>
                <w:sz w:val="4"/>
                <w:szCs w:val="4"/>
              </w:rPr>
            </w:r>
          </w:p>
        </w:tc>
        <w:tc>
          <w:tcPr>
            <w:tcW w:w="936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41" w:type="dxa"/>
            <w:tcBorders/>
            <w:tcMar>
              <w:top w:w="0" w:type="dxa"/>
              <w:left w:w="0" w:type="dxa"/>
              <w:bottom w:w="0" w:type="dxa"/>
              <w:right w:w="0" w:type="dxa"/>
            </w:tcMar>
            <w:vAlign w:val="center"/>
          </w:tcPr>
          <w:p>
            <w:pPr>
              <w:pStyle w:val="TableContents"/>
              <w:bidi w:val="0"/>
              <w:ind w:left="0" w:right="0" w:firstLine="30"/>
              <w:jc w:val="left"/>
              <w:rPr>
                <w:rFonts w:ascii="Times New Roman" w:hAnsi="Times New Roman"/>
                <w:b/>
                <w:color w:val="000000"/>
                <w:sz w:val="20"/>
                <w:u w:val="single"/>
              </w:rPr>
            </w:pPr>
            <w:r>
              <w:rPr>
                <w:rFonts w:ascii="Times New Roman" w:hAnsi="Times New Roman"/>
                <w:b/>
                <w:color w:val="000000"/>
                <w:sz w:val="20"/>
                <w:u w:val="single"/>
              </w:rPr>
              <w:t>Exhibit</w:t>
            </w:r>
          </w:p>
          <w:p>
            <w:pPr>
              <w:pStyle w:val="TableContents"/>
              <w:bidi w:val="0"/>
              <w:spacing w:before="0" w:after="283"/>
              <w:ind w:left="0" w:right="0" w:firstLine="30"/>
              <w:jc w:val="left"/>
              <w:rPr>
                <w:rFonts w:ascii="Times New Roman" w:hAnsi="Times New Roman"/>
                <w:b/>
                <w:color w:val="000000"/>
                <w:sz w:val="20"/>
                <w:u w:val="single"/>
              </w:rPr>
            </w:pPr>
            <w:r>
              <w:rPr>
                <w:rFonts w:ascii="Times New Roman" w:hAnsi="Times New Roman"/>
                <w:b/>
                <w:color w:val="000000"/>
                <w:sz w:val="20"/>
                <w:u w:val="single"/>
              </w:rPr>
              <w:t>Number</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u w:val="single"/>
              </w:rPr>
            </w:pPr>
            <w:r>
              <w:rPr>
                <w:color w:val="000000"/>
                <w:u w:val="single"/>
              </w:rPr>
              <w:t> </w:t>
            </w:r>
            <w:r>
              <w:rPr>
                <w:rFonts w:ascii="Times New Roman" w:hAnsi="Times New Roman"/>
                <w:b/>
                <w:color w:val="000000"/>
                <w:sz w:val="20"/>
                <w:u w:val="single"/>
              </w:rPr>
              <w:t>Description</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akr-ex99_1.htm">
              <w:r>
                <w:rPr>
                  <w:rStyle w:val="InternetLink"/>
                  <w:rFonts w:ascii="Times New Roman" w:hAnsi="Times New Roman"/>
                  <w:color w:val="0000FF"/>
                  <w:sz w:val="20"/>
                  <w:u w:val="single"/>
                </w:rPr>
                <w:t>99.1</w:t>
              </w:r>
            </w:hyperlink>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 xml:space="preserve">Press release dated July 28, 2026 </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akr-ex99_2.htm">
              <w:r>
                <w:rPr>
                  <w:rStyle w:val="InternetLink"/>
                  <w:rFonts w:ascii="Times New Roman" w:hAnsi="Times New Roman"/>
                  <w:color w:val="0000FF"/>
                  <w:sz w:val="20"/>
                  <w:u w:val="single"/>
                </w:rPr>
                <w:t>99.2</w:t>
              </w:r>
            </w:hyperlink>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Supplemental Reporting Information as of and for the three and six months ended June 30, 2026</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 xml:space="preserve">104 </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936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a2018_06x30earningssupplem_htm_sba08c454"/>
      <w:bookmarkEnd w:id="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Exchange Act, the registrant has duly caused this report to be signed on its behalf by the undersigned hereunto duly authorized.</w:t>
      </w:r>
    </w:p>
    <w:p>
      <w:pPr>
        <w:pStyle w:val="TextBody"/>
        <w:bidi w:val="0"/>
        <w:jc w:val="left"/>
        <w:rPr/>
      </w:pPr>
      <w:r>
        <w:rPr/>
        <w:t> </w:t>
      </w:r>
    </w:p>
    <w:tbl>
      <w:tblPr>
        <w:tblW w:w="6595" w:type="dxa"/>
        <w:jc w:val="left"/>
        <w:tblInd w:w="0" w:type="dxa"/>
        <w:tblLayout w:type="fixed"/>
        <w:tblCellMar>
          <w:top w:w="28" w:type="dxa"/>
          <w:left w:w="28" w:type="dxa"/>
          <w:bottom w:w="28" w:type="dxa"/>
          <w:right w:w="28" w:type="dxa"/>
        </w:tblCellMar>
      </w:tblPr>
      <w:tblGrid>
        <w:gridCol w:w="1231"/>
        <w:gridCol w:w="146"/>
        <w:gridCol w:w="631"/>
        <w:gridCol w:w="146"/>
        <w:gridCol w:w="444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ACADIA REALTY TRUST</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Gottfried</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Gottfried</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 w:name="akr-ex99_1.htm"/>
      <w:bookmarkStart w:id="5" w:name="ksakrex99_1"/>
      <w:bookmarkEnd w:id="4"/>
      <w:bookmarkEnd w:id="5"/>
      <w:r>
        <w:rPr/>
        <w:t> </w:t>
      </w:r>
      <w:r>
        <w:br w:type="page"/>
      </w:r>
    </w:p>
    <w:p>
      <w:pPr>
        <w:pStyle w:val="TextBody"/>
        <w:bidi w:val="0"/>
        <w:jc w:val="right"/>
        <w:rPr>
          <w:rFonts w:ascii="Source Sans Pro Semibold;sans-serif" w:hAnsi="Source Sans Pro Semibold;sans-serif"/>
          <w:color w:val="000000"/>
          <w:sz w:val="22"/>
        </w:rPr>
      </w:pPr>
      <w:r>
        <w:rPr>
          <w:rFonts w:ascii="Source Sans Pro Semibold;sans-serif" w:hAnsi="Source Sans Pro Semibold;sans-serif"/>
          <w:color w:val="000000"/>
          <w:sz w:val="22"/>
        </w:rPr>
        <w:t>Exhibit 99.1</w:t>
      </w:r>
    </w:p>
    <w:p>
      <w:pPr>
        <w:pStyle w:val="TextBody"/>
        <w:bidi w:val="0"/>
        <w:jc w:val="left"/>
        <w:rPr/>
      </w:pPr>
      <w:r>
        <w:rPr/>
        <w:t> </w:t>
      </w:r>
    </w:p>
    <w:p>
      <w:pPr>
        <w:pStyle w:val="TextBody"/>
        <w:bidi w:val="0"/>
        <w:jc w:val="left"/>
        <w:rPr/>
      </w:pPr>
      <w:r>
        <w:rPr/>
        <w:drawing>
          <wp:inline distT="0" distB="0" distL="0" distR="0">
            <wp:extent cx="227647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685800"/>
                    </a:xfrm>
                    <a:prstGeom prst="rect">
                      <a:avLst/>
                    </a:prstGeom>
                  </pic:spPr>
                </pic:pic>
              </a:graphicData>
            </a:graphic>
          </wp:inline>
        </w:drawing>
      </w:r>
    </w:p>
    <w:p>
      <w:pPr>
        <w:pStyle w:val="TextBody"/>
        <w:bidi w:val="0"/>
        <w:jc w:val="right"/>
        <w:rPr/>
      </w:pPr>
      <w:r>
        <w:rPr/>
        <w:t> </w:t>
      </w:r>
    </w:p>
    <w:p>
      <w:pPr>
        <w:pStyle w:val="TextBody"/>
        <w:bidi w:val="0"/>
        <w:jc w:val="lef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Acadia Realty Trust</w:t>
      </w:r>
    </w:p>
    <w:p>
      <w:pPr>
        <w:pStyle w:val="TextBody"/>
        <w:bidi w:val="0"/>
        <w:jc w:val="lef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(914) 288-8100</w:t>
      </w:r>
    </w:p>
    <w:p>
      <w:pPr>
        <w:pStyle w:val="Heading1"/>
        <w:bidi w:val="0"/>
        <w:spacing w:before="240" w:after="240"/>
        <w:jc w:val="left"/>
        <w:rPr>
          <w:rFonts w:ascii="PP Fragment;PP Fragment Sans;sans-serif" w:hAnsi="PP Fragment;PP Fragment Sans;sans-serif"/>
          <w:color w:val="F73929"/>
          <w:sz w:val="32"/>
        </w:rPr>
      </w:pPr>
      <w:r>
        <w:rPr>
          <w:rFonts w:ascii="PP Fragment;PP Fragment Sans;sans-serif" w:hAnsi="PP Fragment;PP Fragment Sans;sans-serif"/>
          <w:color w:val="F73929"/>
          <w:sz w:val="32"/>
        </w:rPr>
        <w:t>Acadia Realty Trust Reports Second Quarter 2026 Operating Results</w:t>
      </w:r>
    </w:p>
    <w:p>
      <w:pPr>
        <w:pStyle w:val="Heading1"/>
        <w:bidi w:val="0"/>
        <w:spacing w:before="0" w:after="240"/>
        <w:jc w:val="both"/>
        <w:rPr>
          <w:rFonts w:ascii="PP Fragment;PP Fragment Sans Light;sans-serif" w:hAnsi="PP Fragment;PP Fragment Sans Light;sans-serif"/>
          <w:b w:val="false"/>
          <w:i/>
          <w:color w:val="000000"/>
          <w:sz w:val="22"/>
        </w:rPr>
      </w:pPr>
      <w:r>
        <w:rPr>
          <w:rFonts w:ascii="PP Fragment;PP Fragment Sans Light;sans-serif" w:hAnsi="PP Fragment;PP Fragment Sans Light;sans-serif"/>
          <w:b w:val="false"/>
          <w:i/>
          <w:color w:val="000000"/>
          <w:sz w:val="22"/>
        </w:rPr>
        <w:t>Key Highlights for the three months ended June 30, 2026 (and subsequent to the quarter as indicated) include:</w:t>
      </w:r>
    </w:p>
    <w:p>
      <w:pPr>
        <w:pStyle w:val="TextBody"/>
        <w:bidi w:val="0"/>
        <w:spacing w:before="0" w:after="0"/>
        <w:jc w:val="left"/>
        <w:rPr>
          <w:color w:val="000000"/>
        </w:rPr>
      </w:pPr>
      <w:r>
        <w:rPr>
          <w:color w:val="000000"/>
        </w:rPr>
        <w:t>•</w:t>
      </w:r>
    </w:p>
    <w:p>
      <w:pPr>
        <w:pStyle w:val="TextBody"/>
        <w:bidi w:val="0"/>
        <w:spacing w:before="0" w:after="0"/>
        <w:jc w:val="lef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Second quarter GAAP net earnings of $0.05 per share (compared to $0.01 in second quarter 2025) and FFO As Adjusted of $0.31 per share (compared to $0.28 in second quarter 2025)</w:t>
      </w:r>
    </w:p>
    <w:p>
      <w:pPr>
        <w:pStyle w:val="TextBody"/>
        <w:bidi w:val="0"/>
        <w:spacing w:before="120" w:after="283"/>
        <w:jc w:val="both"/>
        <w:rPr>
          <w:color w:val="000000"/>
        </w:rPr>
      </w:pPr>
      <w:r>
        <w:rPr>
          <w:color w:val="000000"/>
        </w:rPr>
        <w:t>•</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Second quarter REIT Portfolio same-property NOI increased 8.7%, driven by street retail which increased 15.6%</w:t>
      </w:r>
    </w:p>
    <w:p>
      <w:pPr>
        <w:pStyle w:val="TextBody"/>
        <w:bidi w:val="0"/>
        <w:spacing w:before="120" w:after="283"/>
        <w:jc w:val="both"/>
        <w:rPr>
          <w:color w:val="000000"/>
        </w:rPr>
      </w:pPr>
      <w:r>
        <w:rPr>
          <w:color w:val="000000"/>
        </w:rPr>
        <w:t>•</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Delivered REIT Portfolio cash leasing spreads on new leases of 91% driven by street retail</w:t>
      </w:r>
    </w:p>
    <w:p>
      <w:pPr>
        <w:pStyle w:val="TextBody"/>
        <w:bidi w:val="0"/>
        <w:spacing w:before="120" w:after="283"/>
        <w:jc w:val="both"/>
        <w:rPr>
          <w:color w:val="000000"/>
        </w:rPr>
      </w:pPr>
      <w:r>
        <w:rPr>
          <w:color w:val="000000"/>
        </w:rPr>
        <w:t>•</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Grew its SNO Pipeline in excess of 50% to $16.5 million (from $10.5 million at March 31, 2026) on record new leasing volume of approximately $8.9 million, of which approximately $6.5 million was from new street and urban leases</w:t>
      </w:r>
    </w:p>
    <w:p>
      <w:pPr>
        <w:pStyle w:val="TextBody"/>
        <w:bidi w:val="0"/>
        <w:spacing w:before="120" w:after="283"/>
        <w:jc w:val="left"/>
        <w:rPr>
          <w:color w:val="000000"/>
        </w:rPr>
      </w:pPr>
      <w:r>
        <w:rPr>
          <w:color w:val="000000"/>
        </w:rPr>
        <w:t>•</w:t>
      </w:r>
    </w:p>
    <w:p>
      <w:pPr>
        <w:pStyle w:val="TextBody"/>
        <w:bidi w:val="0"/>
        <w:spacing w:before="120" w:after="283"/>
        <w:jc w:val="lef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Completed approximately $652 million of accretive year-to-date total acquisitions, including $228 million in the REIT Portfolio, of which $149 million was completed during the second quarter to date, and $424 million in Investment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Fully funded, on a forward basis, its REIT Portfolio acquisition pipeline and its Henderson development project with a common equity issuance of approximately $200 million during the second quarter</w:t>
      </w:r>
    </w:p>
    <w:p>
      <w:pPr>
        <w:pStyle w:val="TextBody"/>
        <w:bidi w:val="0"/>
        <w:spacing w:before="120" w:after="283"/>
        <w:jc w:val="both"/>
        <w:rPr>
          <w:color w:val="000000"/>
        </w:rPr>
      </w:pPr>
      <w:r>
        <w:rPr>
          <w:color w:val="000000"/>
        </w:rPr>
        <w:t>•</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Profitably disposed and recapitalized approximately $211 million and $504 million, respectively, year-to-date through the Investment Management platform, with approximately $107 million of dispositions completed during the second quarter</w:t>
      </w:r>
    </w:p>
    <w:p>
      <w:pPr>
        <w:pStyle w:val="TextBody"/>
        <w:bidi w:val="0"/>
        <w:spacing w:before="120" w:after="283"/>
        <w:jc w:val="both"/>
        <w:rPr>
          <w:color w:val="000000"/>
        </w:rPr>
      </w:pPr>
      <w:r>
        <w:rPr>
          <w:color w:val="000000"/>
        </w:rPr>
        <w:t>•</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Raised full-year 2026 guidance: GAAP net earnings to $0.40-$0.41 per share (from $0.37-$0.39) and FFO As Adjusted to $1.24-$1.26 per share (from $1.22-$1.26)</w:t>
      </w:r>
    </w:p>
    <w:p>
      <w:pPr>
        <w:pStyle w:val="TextBody"/>
        <w:bidi w:val="0"/>
        <w:jc w:val="both"/>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color w:val="000000"/>
          <w:sz w:val="22"/>
        </w:rPr>
        <w:t>RYE, NY (July 28, 2026)</w:t>
      </w:r>
      <w:r>
        <w:rPr>
          <w:rFonts w:ascii="Times New Roman" w:hAnsi="Times New Roman"/>
          <w:color w:val="000000"/>
          <w:sz w:val="20"/>
        </w:rPr>
        <w:t xml:space="preserve"> </w:t>
      </w:r>
      <w:r>
        <w:rPr>
          <w:rFonts w:ascii="PP Fragment;PP Fragment Sans Light;sans-serif" w:hAnsi="PP Fragment;PP Fragment Sans Light;sans-serif"/>
          <w:b w:val="false"/>
          <w:color w:val="000000"/>
          <w:sz w:val="22"/>
        </w:rPr>
        <w:t>- Acadia Realty Trust (NYSE: AKR) (“Acadia” or the “Company”) today reported operating results for the quarter ended June 30, 2026. All per share amounts are on a fully-diluted basis, where applicable. Acadia owns and operates a high-quality real estate portfolio of street and open-air retail properties in the nation's most dynamic retail corridors (“REIT Portfolio”), along with an investment management platform that targets opportunistic and value-add investments through its institutional co-investment vehicles (“Investment Management”).</w:t>
      </w:r>
    </w:p>
    <w:p>
      <w:pPr>
        <w:pStyle w:val="TextBody"/>
        <w:bidi w:val="0"/>
        <w:jc w:val="left"/>
        <w:rPr/>
      </w:pPr>
      <w:r>
        <w:rPr/>
        <w:t> </w:t>
      </w:r>
    </w:p>
    <w:tbl>
      <w:tblPr>
        <w:tblW w:w="432" w:type="dxa"/>
        <w:jc w:val="left"/>
        <w:tblInd w:w="0" w:type="dxa"/>
        <w:tblLayout w:type="fixed"/>
        <w:tblCellMar>
          <w:top w:w="28" w:type="dxa"/>
          <w:left w:w="28" w:type="dxa"/>
          <w:bottom w:w="28" w:type="dxa"/>
          <w:right w:w="28" w:type="dxa"/>
        </w:tblCellMar>
      </w:tblPr>
      <w:tblGrid>
        <w:gridCol w:w="161"/>
        <w:gridCol w:w="271"/>
      </w:tblGrid>
      <w:tr>
        <w:trPr/>
        <w:tc>
          <w:tcPr>
            <w:tcW w:w="1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color w:val="F73929"/>
                <w:sz w:val="20"/>
              </w:rPr>
            </w:pPr>
            <w:r>
              <w:rPr>
                <w:rFonts w:ascii="Source Sans Pro;sans-serif" w:hAnsi="Source Sans Pro;sans-serif"/>
                <w:color w:val="F73929"/>
                <w:sz w:val="20"/>
              </w:rPr>
              <w:t>1</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Kenneth F. Bernstein, President and CEO of Acadia, commented: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FFFFFF"/>
              <w:left w:val="single" w:sz="4" w:space="0" w:color="FFFFFF"/>
              <w:bottom w:val="single" w:sz="4" w:space="0" w:color="FFFFFF"/>
              <w:right w:val="single" w:sz="4" w:space="0" w:color="FFFFFF"/>
            </w:tcBorders>
            <w:shd w:fill="FFF5ED" w:val="clear"/>
            <w:tcMar>
              <w:left w:w="108" w:type="dxa"/>
              <w:right w:w="108" w:type="dxa"/>
            </w:tcMar>
            <w:vAlign w:val="center"/>
          </w:tcPr>
          <w:p>
            <w:pPr>
              <w:pStyle w:val="TableContents"/>
              <w:bidi w:val="0"/>
              <w:spacing w:before="0" w:after="160"/>
              <w:jc w:val="both"/>
              <w:rPr>
                <w:color w:val="000000"/>
              </w:rPr>
            </w:pPr>
            <w:r>
              <w:rPr>
                <w:color w:val="000000"/>
              </w:rPr>
              <w:t>“</w:t>
            </w:r>
            <w:r>
              <w:rPr>
                <w:rFonts w:ascii="PP Fragment;PP Fragment Sans Light;sans-serif" w:hAnsi="PP Fragment;PP Fragment Sans Light;sans-serif"/>
                <w:b w:val="false"/>
                <w:color w:val="000000"/>
                <w:sz w:val="22"/>
              </w:rPr>
              <w:t>We delivered an exceptional second quarter that reaffirms the strength of our street retail thesis, with accelerating operating fundamentals and the proven benefits of scale converging across our must-have corridors. This operating momentum gives us the confidence to again raise our full-year guidance, reflecting 10% year-over-year growth at the midpoint. Our in-place REIT Portfolio generated same-property NOI growth of 8.7% for the quarter, while record leasing activity, in both volume and rental rate, produced high double-digit spreads on new leases. We complemented this internal growth with approximately $652 million of accretive REIT and Investment Management acquisitions year-to-date, further deepening our scale on the streets where we already operate. With strong in-place performance, a fully funded acquisition and development pipeline, and the outsized returns that scale creates on our irreplaceable street retail corridors, we are confident in our ability to drive meaningful earnings growth and long-term value for shareholders.”</w:t>
            </w:r>
          </w:p>
        </w:tc>
      </w:tr>
    </w:tbl>
    <w:p>
      <w:pPr>
        <w:pStyle w:val="TextBody"/>
        <w:bidi w:val="0"/>
        <w:spacing w:before="240" w:after="283"/>
        <w:jc w:val="both"/>
        <w:rPr>
          <w:rFonts w:ascii="PP Fragment;PP Fragment Sans;sans-serif" w:hAnsi="PP Fragment;PP Fragment Sans;sans-serif"/>
          <w:b/>
          <w:color w:val="F73929"/>
          <w:sz w:val="36"/>
        </w:rPr>
      </w:pPr>
      <w:r>
        <w:rPr>
          <w:rFonts w:ascii="PP Fragment;PP Fragment Sans;sans-serif" w:hAnsi="PP Fragment;PP Fragment Sans;sans-serif"/>
          <w:b/>
          <w:color w:val="F73929"/>
          <w:sz w:val="36"/>
        </w:rPr>
        <w:t>Financial Results</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A complete reconciliation, in dollars and per share amounts, of (i) net earnings attributable to Acadia to Funds From Operations (“FFO”) (as defined by the National Association of Real Estate Investment Trusts “NAREIT”) and FFO As Adjusted attributable to common shareholders and Common OP Unit holders and (ii) operating income to net operating income (“NOI”) and definitions of non-GAAP metrics are included in the financial tables of this release. The amounts discussed below are net of noncontrolling interests (except for the Common OP Unit holders) and all per share amounts are on a fully-diluted basis.</w:t>
      </w:r>
    </w:p>
    <w:p>
      <w:pPr>
        <w:pStyle w:val="TextBody"/>
        <w:bidi w:val="0"/>
        <w:spacing w:before="200" w:after="283"/>
        <w:jc w:val="both"/>
        <w:rPr>
          <w:rFonts w:ascii="PP Fragment;PP Fragment Sans;sans-serif" w:hAnsi="PP Fragment;PP Fragment Sans;sans-serif"/>
          <w:b/>
          <w:color w:val="000000"/>
          <w:sz w:val="24"/>
        </w:rPr>
      </w:pPr>
      <w:r>
        <w:rPr>
          <w:rFonts w:ascii="PP Fragment;PP Fragment Sans;sans-serif" w:hAnsi="PP Fragment;PP Fragment Sans;sans-serif"/>
          <w:b/>
          <w:color w:val="000000"/>
          <w:sz w:val="24"/>
        </w:rPr>
        <w:t>Net Income</w:t>
      </w:r>
    </w:p>
    <w:p>
      <w:pPr>
        <w:pStyle w:val="TextBody"/>
        <w:bidi w:val="0"/>
        <w:spacing w:before="200" w:after="100"/>
        <w:jc w:val="both"/>
        <w:rPr>
          <w:color w:val="000000"/>
        </w:rPr>
      </w:pPr>
      <w:r>
        <w:rPr>
          <w:color w:val="000000"/>
        </w:rPr>
        <w:t>•</w:t>
      </w:r>
    </w:p>
    <w:p>
      <w:pPr>
        <w:pStyle w:val="TextBody"/>
        <w:bidi w:val="0"/>
        <w:spacing w:before="2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Net income per share for the three months ended June 30, 2026 was $0.05. This compares with net income per share for the three months ended June 30, 2025 of $0.01. The increase was primarily due to a gain on sale of properties in 2026.</w:t>
      </w:r>
    </w:p>
    <w:p>
      <w:pPr>
        <w:pStyle w:val="TextBody"/>
        <w:bidi w:val="0"/>
        <w:spacing w:before="100" w:after="100"/>
        <w:jc w:val="both"/>
        <w:rPr>
          <w:rFonts w:ascii="PP Fragment;PP Fragment Sans;sans-serif" w:hAnsi="PP Fragment;PP Fragment Sans;sans-serif"/>
          <w:b/>
          <w:color w:val="000000"/>
          <w:sz w:val="24"/>
        </w:rPr>
      </w:pPr>
      <w:r>
        <w:rPr>
          <w:rFonts w:ascii="PP Fragment;PP Fragment Sans;sans-serif" w:hAnsi="PP Fragment;PP Fragment Sans;sans-serif"/>
          <w:b/>
          <w:color w:val="000000"/>
          <w:sz w:val="24"/>
        </w:rPr>
        <w:t>NAREIT FFO</w:t>
      </w:r>
    </w:p>
    <w:p>
      <w:pPr>
        <w:pStyle w:val="TextBody"/>
        <w:bidi w:val="0"/>
        <w:spacing w:before="100" w:after="100"/>
        <w:jc w:val="both"/>
        <w:rPr>
          <w:color w:val="000000"/>
        </w:rPr>
      </w:pPr>
      <w:r>
        <w:rPr>
          <w:color w:val="000000"/>
        </w:rPr>
        <w:t>•</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NAREIT Funds From Operations (“NAREIT FFO”) for the quarter ended June 30, 2026 was $43.1 million, or $0.30 per share, as compared to $38.1 million, or $0.27 per share, for the quarter ended June 30, 2025.</w:t>
      </w:r>
    </w:p>
    <w:p>
      <w:pPr>
        <w:pStyle w:val="TextBody"/>
        <w:bidi w:val="0"/>
        <w:spacing w:before="100" w:after="283"/>
        <w:jc w:val="both"/>
        <w:rPr>
          <w:rFonts w:ascii="PP Fragment;PP Fragment Sans;sans-serif" w:hAnsi="PP Fragment;PP Fragment Sans;sans-serif"/>
          <w:b/>
          <w:color w:val="000000"/>
          <w:sz w:val="24"/>
        </w:rPr>
      </w:pPr>
      <w:r>
        <w:rPr>
          <w:rFonts w:ascii="PP Fragment;PP Fragment Sans;sans-serif" w:hAnsi="PP Fragment;PP Fragment Sans;sans-serif"/>
          <w:b/>
          <w:color w:val="000000"/>
          <w:sz w:val="24"/>
        </w:rPr>
        <w:t>FFO As Adjusted</w:t>
      </w:r>
    </w:p>
    <w:p>
      <w:pPr>
        <w:pStyle w:val="TextBody"/>
        <w:bidi w:val="0"/>
        <w:spacing w:before="200" w:after="100"/>
        <w:jc w:val="both"/>
        <w:rPr>
          <w:color w:val="000000"/>
        </w:rPr>
      </w:pPr>
      <w:r>
        <w:rPr>
          <w:color w:val="000000"/>
        </w:rPr>
        <w:t>•</w:t>
      </w:r>
    </w:p>
    <w:p>
      <w:pPr>
        <w:pStyle w:val="TextBody"/>
        <w:bidi w:val="0"/>
        <w:spacing w:before="2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FFO As Adjusted for the quarter ended June 30, 2026 was $44.7 million, or $0.31 per share, as compared to $38.7 million, or $0.28 per share, for the quarter ended June 30, 2025.</w:t>
      </w:r>
    </w:p>
    <w:p>
      <w:pPr>
        <w:pStyle w:val="Heading2"/>
        <w:bidi w:val="0"/>
        <w:spacing w:before="100" w:after="100"/>
        <w:jc w:val="both"/>
        <w:rPr>
          <w:rFonts w:ascii="PP Fragment;PP Fragment Sans;sans-serif" w:hAnsi="PP Fragment;PP Fragment Sans;sans-serif"/>
          <w:color w:val="000000"/>
          <w:sz w:val="24"/>
        </w:rPr>
      </w:pPr>
      <w:r>
        <w:rPr>
          <w:rFonts w:ascii="PP Fragment;PP Fragment Sans;sans-serif" w:hAnsi="PP Fragment;PP Fragment Sans;sans-serif"/>
          <w:color w:val="000000"/>
          <w:sz w:val="24"/>
        </w:rPr>
        <w:t>REIT Portfolio Same-Property NOI</w:t>
      </w:r>
    </w:p>
    <w:p>
      <w:pPr>
        <w:pStyle w:val="TextBody"/>
        <w:bidi w:val="0"/>
        <w:spacing w:before="100" w:after="100"/>
        <w:jc w:val="both"/>
        <w:rPr>
          <w:color w:val="000000"/>
        </w:rPr>
      </w:pPr>
      <w:r>
        <w:rPr>
          <w:color w:val="000000"/>
        </w:rPr>
        <w:t>•</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Same-Property NOI grew 8.7% for the second quarter, primarily driven by 15.6% growth from the street retail portfolio. These amounts exclude developments and redevelopments.</w:t>
      </w:r>
    </w:p>
    <w:tbl>
      <w:tblPr>
        <w:tblW w:w="3912" w:type="dxa"/>
        <w:jc w:val="left"/>
        <w:tblInd w:w="0" w:type="dxa"/>
        <w:tblLayout w:type="fixed"/>
        <w:tblCellMar>
          <w:top w:w="28" w:type="dxa"/>
          <w:left w:w="28" w:type="dxa"/>
          <w:bottom w:w="28" w:type="dxa"/>
          <w:right w:w="28" w:type="dxa"/>
        </w:tblCellMar>
      </w:tblPr>
      <w:tblGrid>
        <w:gridCol w:w="3641"/>
        <w:gridCol w:w="271"/>
      </w:tblGrid>
      <w:tr>
        <w:trPr/>
        <w:tc>
          <w:tcPr>
            <w:tcW w:w="36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47900" cy="371475"/>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200" w:after="100"/>
        <w:jc w:val="both"/>
        <w:rPr>
          <w:rFonts w:ascii="PP Fragment;PP Fragment Sans;sans-serif" w:hAnsi="PP Fragment;PP Fragment Sans;sans-serif"/>
          <w:color w:val="000000"/>
          <w:sz w:val="24"/>
        </w:rPr>
      </w:pPr>
      <w:r>
        <w:rPr>
          <w:rFonts w:ascii="PP Fragment;PP Fragment Sans;sans-serif" w:hAnsi="PP Fragment;PP Fragment Sans;sans-serif"/>
          <w:color w:val="000000"/>
          <w:sz w:val="24"/>
        </w:rPr>
        <w:t>REIT Portfolio Occupancy and Leasing Update</w:t>
      </w:r>
    </w:p>
    <w:p>
      <w:pPr>
        <w:pStyle w:val="TextBody"/>
        <w:bidi w:val="0"/>
        <w:spacing w:before="100" w:after="100"/>
        <w:jc w:val="both"/>
        <w:rPr>
          <w:color w:val="000000"/>
        </w:rPr>
      </w:pPr>
      <w:r>
        <w:rPr>
          <w:color w:val="000000"/>
        </w:rPr>
        <w:t>•</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As of June 30, 2026, economic occupancy and leased occupancy increased 30 and 40 basis points to 94.4% and 95.7%, respectively, compared to 94.1% and 95.3% as of March 31, 2026.</w:t>
      </w:r>
    </w:p>
    <w:p>
      <w:pPr>
        <w:pStyle w:val="TextBody"/>
        <w:bidi w:val="0"/>
        <w:spacing w:before="100" w:after="100"/>
        <w:jc w:val="both"/>
        <w:rPr>
          <w:color w:val="000000"/>
        </w:rPr>
      </w:pPr>
      <w:r>
        <w:rPr>
          <w:color w:val="000000"/>
        </w:rPr>
        <w:t>•</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For the quarter ended June 30, 2026, conforming cash leasing spreads on new leases were 91%, and 78% inclusive of renewal leases.</w:t>
      </w:r>
    </w:p>
    <w:p>
      <w:pPr>
        <w:pStyle w:val="Heading2"/>
        <w:bidi w:val="0"/>
        <w:spacing w:before="100" w:after="100"/>
        <w:jc w:val="both"/>
        <w:rPr>
          <w:rFonts w:ascii="PP Fragment;PP Fragment Sans;sans-serif" w:hAnsi="PP Fragment;PP Fragment Sans;sans-serif"/>
          <w:color w:val="000000"/>
          <w:sz w:val="24"/>
        </w:rPr>
      </w:pPr>
      <w:r>
        <w:rPr>
          <w:rFonts w:ascii="PP Fragment;PP Fragment Sans;sans-serif" w:hAnsi="PP Fragment;PP Fragment Sans;sans-serif"/>
          <w:color w:val="000000"/>
          <w:sz w:val="24"/>
        </w:rPr>
        <w:t>Signed Not Opened Update</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The following summarizes the activity, at the Company’s pro-rata share, of ABR of its signed not opened pipeline during the second quarter (amounts in millions):</w:t>
      </w:r>
    </w:p>
    <w:tbl>
      <w:tblPr>
        <w:tblW w:w="10205" w:type="dxa"/>
        <w:jc w:val="left"/>
        <w:tblInd w:w="0" w:type="dxa"/>
        <w:tblLayout w:type="fixed"/>
        <w:tblCellMar>
          <w:top w:w="28" w:type="dxa"/>
          <w:left w:w="28" w:type="dxa"/>
          <w:bottom w:w="28" w:type="dxa"/>
          <w:right w:w="28" w:type="dxa"/>
        </w:tblCellMar>
      </w:tblPr>
      <w:tblGrid>
        <w:gridCol w:w="3105"/>
        <w:gridCol w:w="146"/>
        <w:gridCol w:w="485"/>
        <w:gridCol w:w="1165"/>
        <w:gridCol w:w="146"/>
        <w:gridCol w:w="146"/>
        <w:gridCol w:w="509"/>
        <w:gridCol w:w="1117"/>
        <w:gridCol w:w="181"/>
        <w:gridCol w:w="146"/>
        <w:gridCol w:w="346"/>
        <w:gridCol w:w="646"/>
        <w:gridCol w:w="146"/>
        <w:gridCol w:w="146"/>
        <w:gridCol w:w="464"/>
        <w:gridCol w:w="1115"/>
        <w:gridCol w:w="196"/>
      </w:tblGrid>
      <w:tr>
        <w:trPr/>
        <w:tc>
          <w:tcPr>
            <w:tcW w:w="3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10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Balance at March 31, 2026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2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Commencing ABR</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New 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79"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Balance at June 30, 2026</w:t>
            </w:r>
          </w:p>
        </w:tc>
        <w:tc>
          <w:tcPr>
            <w:tcW w:w="19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REIT Portfolio (Same-property)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REIT Portfolio (Development/Redevelopment/Prestabilized)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spacing w:before="200" w:after="240"/>
        <w:jc w:val="both"/>
        <w:rPr>
          <w:rFonts w:ascii="PP Fragment;PP Fragment Sans;sans-serif" w:hAnsi="PP Fragment;PP Fragment Sans;sans-serif"/>
          <w:color w:val="F73929"/>
          <w:sz w:val="36"/>
        </w:rPr>
      </w:pPr>
      <w:r>
        <w:rPr>
          <w:rFonts w:ascii="PP Fragment;PP Fragment Sans;sans-serif" w:hAnsi="PP Fragment;PP Fragment Sans;sans-serif"/>
          <w:color w:val="F73929"/>
          <w:sz w:val="36"/>
        </w:rPr>
        <w:t>Transactional Activity</w:t>
      </w:r>
    </w:p>
    <w:p>
      <w:pPr>
        <w:pStyle w:val="TextBody"/>
        <w:bidi w:val="0"/>
        <w:spacing w:before="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During the quarter ended June 30, 2026, the Company completed approximately $120 million of accretive street retail acquisitions within its REIT Portfolio, with an additional $29 million of street retail acquisitions completed subsequent to quarter end for an aggregate of $149 million.</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These transactions bring year-to-date acquisition volume to $652 million, including $79 million and $424 million (approximately $85 million at the Company’s share) of REIT Portfolio and Investment Management acquisitions completed in the first quarter. All REIT Portfolio acquisitions are on streets where the Company is building or further expanding its existing scale, with a robust pipeline of potential acquisitions on those same streets.</w:t>
      </w:r>
    </w:p>
    <w:p>
      <w:pPr>
        <w:pStyle w:val="Heading2"/>
        <w:bidi w:val="0"/>
        <w:spacing w:before="100" w:after="100"/>
        <w:jc w:val="both"/>
        <w:rPr>
          <w:rFonts w:ascii="PP Fragment;PP Fragment Sans;sans-serif" w:hAnsi="PP Fragment;PP Fragment Sans;sans-serif"/>
          <w:color w:val="000000"/>
          <w:sz w:val="24"/>
        </w:rPr>
      </w:pPr>
      <w:r>
        <w:rPr>
          <w:rFonts w:ascii="PP Fragment;PP Fragment Sans;sans-serif" w:hAnsi="PP Fragment;PP Fragment Sans;sans-serif"/>
          <w:color w:val="000000"/>
          <w:sz w:val="24"/>
        </w:rPr>
        <w:t>REIT Portfolio Acquisitions</w:t>
      </w:r>
    </w:p>
    <w:p>
      <w:pPr>
        <w:pStyle w:val="TextBody"/>
        <w:bidi w:val="0"/>
        <w:spacing w:before="100" w:after="100"/>
        <w:jc w:val="both"/>
        <w:rPr>
          <w:color w:val="000000"/>
        </w:rPr>
      </w:pPr>
      <w:r>
        <w:rPr>
          <w:color w:val="000000"/>
        </w:rPr>
        <w:t>•</w:t>
      </w:r>
    </w:p>
    <w:p>
      <w:pPr>
        <w:pStyle w:val="TextBody"/>
        <w:bidi w:val="0"/>
        <w:spacing w:before="100" w:after="100"/>
        <w:jc w:val="both"/>
        <w:rPr/>
      </w:pPr>
      <w:r>
        <w:rPr>
          <w:rFonts w:ascii="PP Fragment;PP Fragment Sans;sans-serif" w:hAnsi="PP Fragment;PP Fragment Sans;sans-serif"/>
          <w:b/>
          <w:color w:val="F73929"/>
          <w:sz w:val="22"/>
        </w:rPr>
        <w:t xml:space="preserve">Boston, Massachusetts. </w:t>
      </w:r>
      <w:r>
        <w:rPr>
          <w:rFonts w:ascii="PP Fragment;PP Fragment Sans Light;sans-serif" w:hAnsi="PP Fragment;PP Fragment Sans Light;sans-serif"/>
          <w:b w:val="false"/>
          <w:color w:val="000000"/>
          <w:sz w:val="22"/>
        </w:rPr>
        <w:t>In April 2026, the Company acquired 4-6 Newbury Street and 28 Newbury Street for an aggregate purchase price of $110 million, expanding its presence on Newbury Street, Boston’s premier luxury shopping corridor. The properties are leased to two of the world’s most iconic luxury brands and provide a near-term opportunity to capture significant rental growth as a key retail lease approaches expiration.</w:t>
      </w:r>
    </w:p>
    <w:p>
      <w:pPr>
        <w:pStyle w:val="TextBody"/>
        <w:bidi w:val="0"/>
        <w:spacing w:before="100" w:after="100"/>
        <w:jc w:val="both"/>
        <w:rPr>
          <w:color w:val="000000"/>
        </w:rPr>
      </w:pPr>
      <w:r>
        <w:rPr>
          <w:color w:val="000000"/>
        </w:rPr>
        <w:t>•</w:t>
      </w:r>
    </w:p>
    <w:p>
      <w:pPr>
        <w:pStyle w:val="TextBody"/>
        <w:bidi w:val="0"/>
        <w:spacing w:before="100" w:after="100"/>
        <w:jc w:val="both"/>
        <w:rPr/>
      </w:pPr>
      <w:r>
        <w:rPr>
          <w:rFonts w:ascii="PP Fragment;PP Fragment Sans;sans-serif" w:hAnsi="PP Fragment;PP Fragment Sans;sans-serif"/>
          <w:b/>
          <w:color w:val="F73929"/>
          <w:sz w:val="22"/>
        </w:rPr>
        <w:t>West Hollywood, Los Angeles, California.</w:t>
      </w:r>
      <w:r>
        <w:rPr>
          <w:color w:val="000000"/>
        </w:rPr>
        <w:t xml:space="preserve"> </w:t>
      </w:r>
      <w:r>
        <w:rPr>
          <w:rFonts w:ascii="PP Fragment;PP Fragment Sans Light;sans-serif" w:hAnsi="PP Fragment;PP Fragment Sans Light;sans-serif"/>
          <w:b w:val="false"/>
          <w:color w:val="000000"/>
          <w:sz w:val="22"/>
        </w:rPr>
        <w:t>In July 2026,</w:t>
      </w:r>
      <w:r>
        <w:rPr>
          <w:color w:val="000000"/>
        </w:rPr>
        <w:t xml:space="preserve"> </w:t>
      </w:r>
      <w:r>
        <w:rPr>
          <w:rFonts w:ascii="PP Fragment;PP Fragment Sans Light;sans-serif" w:hAnsi="PP Fragment;PP Fragment Sans Light;sans-serif"/>
          <w:b w:val="false"/>
          <w:color w:val="000000"/>
          <w:sz w:val="22"/>
        </w:rPr>
        <w:t xml:space="preserve">the Company acquired 8800-8804 Melrose Avenue for a purchase price of $29 million, sourced in collaboration with Osiris Ventures. Located in the heart of West Hollywood’s ascendant luxury retail corridor, in close proximity to the Company’s Melrose Place portfolio, the property directly complements and expands the Company’s scale within its West Hollywood corridor. The property is leased to Jacquemus, the acclaimed French luxury fashion house. </w:t>
      </w:r>
    </w:p>
    <w:tbl>
      <w:tblPr>
        <w:tblW w:w="3912" w:type="dxa"/>
        <w:jc w:val="left"/>
        <w:tblInd w:w="0" w:type="dxa"/>
        <w:tblLayout w:type="fixed"/>
        <w:tblCellMar>
          <w:top w:w="28" w:type="dxa"/>
          <w:left w:w="28" w:type="dxa"/>
          <w:bottom w:w="28" w:type="dxa"/>
          <w:right w:w="28" w:type="dxa"/>
        </w:tblCellMar>
      </w:tblPr>
      <w:tblGrid>
        <w:gridCol w:w="3641"/>
        <w:gridCol w:w="271"/>
      </w:tblGrid>
      <w:tr>
        <w:trPr/>
        <w:tc>
          <w:tcPr>
            <w:tcW w:w="36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47900" cy="371475"/>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Additionally, the site includes a parking lot that can accommodate additional retail GLA, offering embedded upside that would more than double the building’s square footage.</w:t>
      </w:r>
    </w:p>
    <w:p>
      <w:pPr>
        <w:pStyle w:val="TextBody"/>
        <w:bidi w:val="0"/>
        <w:spacing w:before="100" w:after="100"/>
        <w:jc w:val="both"/>
        <w:rPr>
          <w:color w:val="000000"/>
        </w:rPr>
      </w:pPr>
      <w:r>
        <w:rPr>
          <w:color w:val="000000"/>
        </w:rPr>
        <w:t>•</w:t>
      </w:r>
    </w:p>
    <w:p>
      <w:pPr>
        <w:pStyle w:val="TextBody"/>
        <w:bidi w:val="0"/>
        <w:spacing w:before="100" w:after="100"/>
        <w:jc w:val="both"/>
        <w:rPr/>
      </w:pPr>
      <w:r>
        <w:rPr>
          <w:rFonts w:ascii="PP Fragment;PP Fragment Sans;sans-serif" w:hAnsi="PP Fragment;PP Fragment Sans;sans-serif"/>
          <w:b/>
          <w:color w:val="F73929"/>
          <w:sz w:val="22"/>
        </w:rPr>
        <w:t xml:space="preserve">Manhattan, New York (Flatiron/Union Square). </w:t>
      </w:r>
      <w:r>
        <w:rPr>
          <w:rFonts w:ascii="PP Fragment;PP Fragment Sans Light;sans-serif" w:hAnsi="PP Fragment;PP Fragment Sans Light;sans-serif"/>
          <w:b w:val="false"/>
          <w:color w:val="000000"/>
          <w:sz w:val="22"/>
        </w:rPr>
        <w:t>In June 2026,</w:t>
      </w:r>
      <w:r>
        <w:rPr>
          <w:color w:val="000000"/>
        </w:rPr>
        <w:t xml:space="preserve"> </w:t>
      </w:r>
      <w:r>
        <w:rPr>
          <w:rFonts w:ascii="PP Fragment;PP Fragment Sans Light;sans-serif" w:hAnsi="PP Fragment;PP Fragment Sans Light;sans-serif"/>
          <w:b w:val="false"/>
          <w:color w:val="000000"/>
          <w:sz w:val="22"/>
        </w:rPr>
        <w:t xml:space="preserve">the Company acquired 129 Fifth Avenue, located in the Flatiron District of Manhattan for a purchase price of $10 million, further increasing its scale in a key corridor. </w:t>
      </w:r>
    </w:p>
    <w:p>
      <w:pPr>
        <w:pStyle w:val="Heading2"/>
        <w:bidi w:val="0"/>
        <w:spacing w:before="260" w:after="120"/>
        <w:jc w:val="left"/>
        <w:rPr>
          <w:rFonts w:ascii="PP Fragment;PP Fragment Sans;sans-serif" w:hAnsi="PP Fragment;PP Fragment Sans;sans-serif"/>
          <w:color w:val="000000"/>
          <w:sz w:val="24"/>
        </w:rPr>
      </w:pPr>
      <w:r>
        <w:rPr>
          <w:rFonts w:ascii="PP Fragment;PP Fragment Sans;sans-serif" w:hAnsi="PP Fragment;PP Fragment Sans;sans-serif"/>
          <w:color w:val="000000"/>
          <w:sz w:val="24"/>
        </w:rPr>
        <w:t>Investment Management Platform Dispositions</w:t>
      </w:r>
    </w:p>
    <w:p>
      <w:pPr>
        <w:pStyle w:val="TextBody"/>
        <w:bidi w:val="0"/>
        <w:spacing w:before="8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During the second quarter, the Company, through its Investment Management platform, completed the disposition of three properties for $107 million, of which the Company’s share was approximately $21 million. Details of the dispositions are discussed below. Year-to-date, the Company has disposed of a total of approximately $715 million, including recapitalizations of $504 million, of which the Company’s share was $142 million. These fund dispositions and the Fund V recapitalization (completed in the first quarter) generated a weighted average gross equity multiple of approximately 1.9x.</w:t>
      </w:r>
    </w:p>
    <w:p>
      <w:pPr>
        <w:pStyle w:val="TextBody"/>
        <w:bidi w:val="0"/>
        <w:spacing w:before="100" w:after="100"/>
        <w:jc w:val="both"/>
        <w:rPr>
          <w:color w:val="000000"/>
        </w:rPr>
      </w:pPr>
      <w:r>
        <w:rPr>
          <w:color w:val="000000"/>
        </w:rPr>
        <w:t>•</w:t>
      </w:r>
    </w:p>
    <w:p>
      <w:pPr>
        <w:pStyle w:val="TextBody"/>
        <w:bidi w:val="0"/>
        <w:spacing w:before="100" w:after="100"/>
        <w:jc w:val="both"/>
        <w:rPr/>
      </w:pPr>
      <w:r>
        <w:rPr>
          <w:rFonts w:ascii="PP Fragment;PP Fragment Sans;sans-serif" w:hAnsi="PP Fragment;PP Fragment Sans;sans-serif"/>
          <w:b/>
          <w:color w:val="F73929"/>
          <w:sz w:val="22"/>
        </w:rPr>
        <w:t xml:space="preserve">Vernon, Connecticut (Fund V). </w:t>
      </w:r>
      <w:r>
        <w:rPr>
          <w:rFonts w:ascii="PP Fragment;PP Fragment Sans Light;sans-serif" w:hAnsi="PP Fragment;PP Fragment Sans Light;sans-serif"/>
          <w:b w:val="false"/>
          <w:color w:val="000000"/>
          <w:sz w:val="22"/>
        </w:rPr>
        <w:t xml:space="preserve">During June 2026, the Company completed the disposition of Tri-City Plaza for $62.5 million, of which the Company’s share was approximately $11.3 million. </w:t>
      </w:r>
    </w:p>
    <w:p>
      <w:pPr>
        <w:pStyle w:val="TextBody"/>
        <w:bidi w:val="0"/>
        <w:spacing w:before="100" w:after="100"/>
        <w:jc w:val="both"/>
        <w:rPr>
          <w:color w:val="000000"/>
        </w:rPr>
      </w:pPr>
      <w:r>
        <w:rPr>
          <w:color w:val="000000"/>
        </w:rPr>
        <w:t>•</w:t>
      </w:r>
    </w:p>
    <w:p>
      <w:pPr>
        <w:pStyle w:val="TextBody"/>
        <w:bidi w:val="0"/>
        <w:spacing w:before="100" w:after="100"/>
        <w:jc w:val="both"/>
        <w:rPr/>
      </w:pPr>
      <w:r>
        <w:rPr>
          <w:rFonts w:ascii="PP Fragment;PP Fragment Sans;sans-serif" w:hAnsi="PP Fragment;PP Fragment Sans;sans-serif"/>
          <w:b/>
          <w:color w:val="F73929"/>
          <w:sz w:val="22"/>
        </w:rPr>
        <w:t xml:space="preserve">Canton, Michigan (Fund V). </w:t>
      </w:r>
      <w:r>
        <w:rPr>
          <w:rFonts w:ascii="PP Fragment;PP Fragment Sans Light;sans-serif" w:hAnsi="PP Fragment;PP Fragment Sans Light;sans-serif"/>
          <w:b w:val="false"/>
          <w:color w:val="000000"/>
          <w:sz w:val="22"/>
        </w:rPr>
        <w:t xml:space="preserve">During June 2026, the Company completed the disposition of New Towne Center for $23.5 million, of which the Company’s share was $4.7 million. </w:t>
      </w:r>
    </w:p>
    <w:p>
      <w:pPr>
        <w:pStyle w:val="TextBody"/>
        <w:bidi w:val="0"/>
        <w:spacing w:before="100" w:after="100"/>
        <w:jc w:val="both"/>
        <w:rPr>
          <w:color w:val="000000"/>
        </w:rPr>
      </w:pPr>
      <w:r>
        <w:rPr>
          <w:color w:val="000000"/>
        </w:rPr>
        <w:t>•</w:t>
      </w:r>
    </w:p>
    <w:p>
      <w:pPr>
        <w:pStyle w:val="TextBody"/>
        <w:bidi w:val="0"/>
        <w:spacing w:before="100" w:after="100"/>
        <w:jc w:val="both"/>
        <w:rPr/>
      </w:pPr>
      <w:r>
        <w:rPr>
          <w:rFonts w:ascii="PP Fragment;PP Fragment Sans;sans-serif" w:hAnsi="PP Fragment;PP Fragment Sans;sans-serif"/>
          <w:b/>
          <w:color w:val="F73929"/>
          <w:sz w:val="22"/>
        </w:rPr>
        <w:t xml:space="preserve">Warwick, Rhode Island (Fund IV). </w:t>
      </w:r>
      <w:r>
        <w:rPr>
          <w:rFonts w:ascii="PP Fragment;PP Fragment Sans Light;sans-serif" w:hAnsi="PP Fragment;PP Fragment Sans Light;sans-serif"/>
          <w:b w:val="false"/>
          <w:color w:val="000000"/>
          <w:sz w:val="22"/>
        </w:rPr>
        <w:t>During April 2026, the Company completed the disposition of 650 Bald Hill Road for $20.5 million, of which the Company’s share was approximately $4.3 million.</w:t>
      </w:r>
    </w:p>
    <w:p>
      <w:pPr>
        <w:pStyle w:val="TextBody"/>
        <w:bidi w:val="0"/>
        <w:spacing w:before="100" w:after="120"/>
        <w:jc w:val="both"/>
        <w:rPr>
          <w:rFonts w:ascii="PP Fragment;PP Fragment Sans;sans-serif" w:hAnsi="PP Fragment;PP Fragment Sans;sans-serif"/>
          <w:b/>
          <w:color w:val="F73929"/>
          <w:sz w:val="36"/>
        </w:rPr>
      </w:pPr>
      <w:r>
        <w:rPr>
          <w:rFonts w:ascii="PP Fragment;PP Fragment Sans;sans-serif" w:hAnsi="PP Fragment;PP Fragment Sans;sans-serif"/>
          <w:b/>
          <w:color w:val="F73929"/>
          <w:sz w:val="36"/>
        </w:rPr>
        <w:t>Balance Sheet</w:t>
      </w:r>
    </w:p>
    <w:p>
      <w:pPr>
        <w:pStyle w:val="TextBody"/>
        <w:bidi w:val="0"/>
        <w:jc w:val="left"/>
        <w:rPr>
          <w:rFonts w:ascii="PP Fragment;PP Fragment Sans;sans-serif" w:hAnsi="PP Fragment;PP Fragment Sans;sans-serif"/>
          <w:b/>
          <w:color w:val="F73929"/>
          <w:sz w:val="22"/>
        </w:rPr>
      </w:pPr>
      <w:r>
        <w:rPr>
          <w:rFonts w:ascii="PP Fragment;PP Fragment Sans;sans-serif" w:hAnsi="PP Fragment;PP Fragment Sans;sans-serif"/>
          <w:b/>
          <w:color w:val="F73929"/>
          <w:sz w:val="22"/>
        </w:rPr>
        <w:t>Equity Activity:</w:t>
      </w:r>
    </w:p>
    <w:p>
      <w:pPr>
        <w:pStyle w:val="TextBody"/>
        <w:bidi w:val="0"/>
        <w:spacing w:before="200" w:after="100"/>
        <w:jc w:val="both"/>
        <w:rPr>
          <w:color w:val="212529"/>
        </w:rPr>
      </w:pPr>
      <w:r>
        <w:rPr>
          <w:color w:val="212529"/>
        </w:rPr>
        <w:t>•</w:t>
      </w:r>
    </w:p>
    <w:p>
      <w:pPr>
        <w:pStyle w:val="TextBody"/>
        <w:bidi w:val="0"/>
        <w:spacing w:before="200" w:after="100"/>
        <w:jc w:val="both"/>
        <w:rPr>
          <w:rFonts w:ascii="PP Fragment;PP Fragment Sans Light;sans-serif" w:hAnsi="PP Fragment;PP Fragment Sans Light;sans-serif"/>
          <w:b w:val="false"/>
          <w:color w:val="212529"/>
          <w:sz w:val="22"/>
        </w:rPr>
      </w:pPr>
      <w:r>
        <w:rPr>
          <w:rFonts w:ascii="PP Fragment;PP Fragment Sans Light;sans-serif" w:hAnsi="PP Fragment;PP Fragment Sans Light;sans-serif"/>
          <w:b w:val="false"/>
          <w:color w:val="212529"/>
          <w:sz w:val="22"/>
        </w:rPr>
        <w:t>During the second quarter, raised approximately $200 million from the sale of its common shares through an underwritten public offering in connection with forward sale agreements.</w:t>
      </w:r>
    </w:p>
    <w:p>
      <w:pPr>
        <w:pStyle w:val="TextBody"/>
        <w:bidi w:val="0"/>
        <w:spacing w:before="100" w:after="100"/>
        <w:jc w:val="both"/>
        <w:rPr>
          <w:color w:val="000000"/>
        </w:rPr>
      </w:pPr>
      <w:r>
        <w:rPr>
          <w:color w:val="000000"/>
        </w:rPr>
        <w:t>•</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Additionally, during the second quarter, the Company settled approximately 3.8 million shares of previously issued forward equity contracts for cash proceeds of approximately $72.1 million. The Company currently has unsettled forward equity contracts to sell 17.8 million shares for aggregate net proceeds of approximately $369 million to accretively fund its REIT Portfolio acquisition pipeline and its Henderson Avenue development project in Dallas, TX.</w:t>
      </w:r>
    </w:p>
    <w:p>
      <w:pPr>
        <w:pStyle w:val="TextBody"/>
        <w:bidi w:val="0"/>
        <w:spacing w:before="100" w:after="283"/>
        <w:jc w:val="both"/>
        <w:rPr>
          <w:rFonts w:ascii="PP Fragment;PP Fragment Sans;sans-serif" w:hAnsi="PP Fragment;PP Fragment Sans;sans-serif"/>
          <w:b/>
          <w:color w:val="F73929"/>
          <w:sz w:val="22"/>
        </w:rPr>
      </w:pPr>
      <w:r>
        <w:rPr>
          <w:rFonts w:ascii="PP Fragment;PP Fragment Sans;sans-serif" w:hAnsi="PP Fragment;PP Fragment Sans;sans-serif"/>
          <w:b/>
          <w:color w:val="F73929"/>
          <w:sz w:val="22"/>
        </w:rPr>
        <w:t>Extension and Expansion of $1.425 Billion Corporate Credit Facility</w:t>
      </w:r>
    </w:p>
    <w:p>
      <w:pPr>
        <w:pStyle w:val="TextBody"/>
        <w:bidi w:val="0"/>
        <w:spacing w:before="200" w:after="100"/>
        <w:jc w:val="both"/>
        <w:rPr>
          <w:color w:val="000000"/>
        </w:rPr>
      </w:pPr>
      <w:r>
        <w:rPr>
          <w:color w:val="000000"/>
        </w:rPr>
        <w:t>•</w:t>
      </w:r>
    </w:p>
    <w:p>
      <w:pPr>
        <w:pStyle w:val="TextBody"/>
        <w:bidi w:val="0"/>
        <w:spacing w:before="2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 xml:space="preserve">In April 2026, the Company amended and upsized its corporate credit facility as previously disclosed by $250 million to $1.425 billion, and extended maturity dates. The credit facility has an accordion feature that allows the Company to increase the capacity to $2.0 billion. The facility was oversubscribed and priced at improved spreads relative to the prior facility. </w:t>
      </w:r>
    </w:p>
    <w:tbl>
      <w:tblPr>
        <w:tblW w:w="3912" w:type="dxa"/>
        <w:jc w:val="left"/>
        <w:tblInd w:w="0" w:type="dxa"/>
        <w:tblLayout w:type="fixed"/>
        <w:tblCellMar>
          <w:top w:w="28" w:type="dxa"/>
          <w:left w:w="28" w:type="dxa"/>
          <w:bottom w:w="28" w:type="dxa"/>
          <w:right w:w="28" w:type="dxa"/>
        </w:tblCellMar>
      </w:tblPr>
      <w:tblGrid>
        <w:gridCol w:w="3641"/>
        <w:gridCol w:w="271"/>
      </w:tblGrid>
      <w:tr>
        <w:trPr/>
        <w:tc>
          <w:tcPr>
            <w:tcW w:w="36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47900" cy="371475"/>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sz w:val="20"/>
        </w:rPr>
      </w:pPr>
      <w:r>
        <w:rPr>
          <w:rFonts w:ascii="PP Fragment;PP Fragment Sans;sans-serif" w:hAnsi="PP Fragment;PP Fragment Sans;sans-serif"/>
          <w:b/>
          <w:color w:val="F73929"/>
          <w:sz w:val="22"/>
        </w:rPr>
        <w:t>Pro-Rata REIT Portfolio and Investment Management Debt-to-EBITDA (as adjusted):</w:t>
      </w:r>
      <w:r>
        <w:rPr>
          <w:rFonts w:ascii="Times New Roman" w:hAnsi="Times New Roman"/>
          <w:color w:val="F73929"/>
          <w:sz w:val="20"/>
        </w:rPr>
        <w:t xml:space="preserve"> </w:t>
      </w:r>
    </w:p>
    <w:p>
      <w:pPr>
        <w:pStyle w:val="TextBody"/>
        <w:bidi w:val="0"/>
        <w:spacing w:before="200" w:after="100"/>
        <w:jc w:val="both"/>
        <w:rPr>
          <w:color w:val="000000"/>
        </w:rPr>
      </w:pPr>
      <w:r>
        <w:rPr>
          <w:color w:val="000000"/>
        </w:rPr>
        <w:t>•</w:t>
      </w:r>
    </w:p>
    <w:p>
      <w:pPr>
        <w:pStyle w:val="TextBody"/>
        <w:bidi w:val="0"/>
        <w:spacing w:before="2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Net Debt-to-EBITDA, as adjusted, inclusive of pro-rata share of Investment Management platform debt and unsettled forward equity contracts as discussed above, was 5.1x at June 30, 2026. Refer to the second quarter 2026 Supplemental Information package for reconciliations and details on financial ratios.</w:t>
      </w:r>
    </w:p>
    <w:p>
      <w:pPr>
        <w:pStyle w:val="TextBody"/>
        <w:bidi w:val="0"/>
        <w:spacing w:before="100" w:after="100"/>
        <w:jc w:val="left"/>
        <w:rPr>
          <w:rFonts w:ascii="PP Fragment;PP Fragment Sans;sans-serif" w:hAnsi="PP Fragment;PP Fragment Sans;sans-serif"/>
          <w:b/>
          <w:color w:val="F73929"/>
          <w:sz w:val="22"/>
        </w:rPr>
      </w:pPr>
      <w:r>
        <w:rPr>
          <w:rFonts w:ascii="PP Fragment;PP Fragment Sans;sans-serif" w:hAnsi="PP Fragment;PP Fragment Sans;sans-serif"/>
          <w:b/>
          <w:color w:val="F73929"/>
          <w:sz w:val="22"/>
        </w:rPr>
        <w:t>No Significant REIT Portfolio Debt Maturities until 2029:</w:t>
      </w:r>
    </w:p>
    <w:p>
      <w:pPr>
        <w:pStyle w:val="TextBody"/>
        <w:bidi w:val="0"/>
        <w:spacing w:before="20" w:after="283"/>
        <w:jc w:val="left"/>
        <w:rPr>
          <w:color w:val="000000"/>
        </w:rPr>
      </w:pPr>
      <w:r>
        <w:rPr>
          <w:color w:val="000000"/>
        </w:rPr>
        <w:t>•</w:t>
      </w:r>
    </w:p>
    <w:p>
      <w:pPr>
        <w:pStyle w:val="TextBody"/>
        <w:bidi w:val="0"/>
        <w:spacing w:before="20" w:after="283"/>
        <w:jc w:val="lef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The Company has REIT Portfolio debt maturing (as extended) of 2.4 %, 2.5%, and 7.1% in 2026, 2027, and 2028, respectively.</w:t>
      </w:r>
    </w:p>
    <w:p>
      <w:pPr>
        <w:pStyle w:val="TextBody"/>
        <w:bidi w:val="0"/>
        <w:spacing w:before="200" w:after="100"/>
        <w:jc w:val="left"/>
        <w:rPr>
          <w:rFonts w:ascii="PP Fragment;PP Fragment Sans;sans-serif" w:hAnsi="PP Fragment;PP Fragment Sans;sans-serif"/>
          <w:b/>
          <w:color w:val="F73929"/>
          <w:sz w:val="36"/>
        </w:rPr>
      </w:pPr>
      <w:r>
        <w:rPr>
          <w:rFonts w:ascii="PP Fragment;PP Fragment Sans;sans-serif" w:hAnsi="PP Fragment;PP Fragment Sans;sans-serif"/>
          <w:b/>
          <w:color w:val="F73929"/>
          <w:sz w:val="36"/>
        </w:rPr>
        <w:t>Guidance</w:t>
      </w:r>
    </w:p>
    <w:p>
      <w:pPr>
        <w:pStyle w:val="TextBody"/>
        <w:bidi w:val="0"/>
        <w:spacing w:before="100" w:after="10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The Company increased its full year Net Earnings, NAREIT FFO and FFO As Adjusted guidance. The following updated guidance is based upon Acadia’s current view of market conditions and assumptions for the year ended December 31, 2026.</w:t>
      </w:r>
    </w:p>
    <w:p>
      <w:pPr>
        <w:pStyle w:val="TextBody"/>
        <w:bidi w:val="0"/>
        <w:spacing w:before="100" w:after="100"/>
        <w:jc w:val="both"/>
        <w:rPr/>
      </w:pPr>
      <w:r>
        <w:rPr/>
        <w:t> </w:t>
      </w:r>
    </w:p>
    <w:tbl>
      <w:tblPr>
        <w:tblW w:w="10205" w:type="dxa"/>
        <w:jc w:val="left"/>
        <w:tblInd w:w="0" w:type="dxa"/>
        <w:tblLayout w:type="fixed"/>
        <w:tblCellMar>
          <w:top w:w="28" w:type="dxa"/>
          <w:left w:w="28" w:type="dxa"/>
          <w:bottom w:w="28" w:type="dxa"/>
          <w:right w:w="28" w:type="dxa"/>
        </w:tblCellMar>
      </w:tblPr>
      <w:tblGrid>
        <w:gridCol w:w="7698"/>
        <w:gridCol w:w="146"/>
        <w:gridCol w:w="1040"/>
        <w:gridCol w:w="146"/>
        <w:gridCol w:w="982"/>
        <w:gridCol w:w="193"/>
      </w:tblGrid>
      <w:tr>
        <w:trPr/>
        <w:tc>
          <w:tcPr>
            <w:tcW w:w="7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69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168" w:type="dxa"/>
            <w:gridSpan w:val="3"/>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FFFFFF"/>
                <w:sz w:val="20"/>
              </w:rPr>
              <w:t xml:space="preserve">2026 Guidance </w:t>
            </w:r>
            <w:r>
              <w:rPr>
                <w:rFonts w:ascii="Arial" w:hAnsi="Arial"/>
                <w:b/>
                <w:color w:val="FFFFFF"/>
                <w:sz w:val="13"/>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Revised</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Prior</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earnings per share attributable to Acadia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$0.40-$0.41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$0.37-$0.39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of real estate and amortization of leasing costs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0.96-0.97</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0.95-0.97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disposition on real estate properties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(0.24)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 of redeemable noncontrolling interest to estimated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Noncontrolling interest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0.03</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pPr>
            <w:r>
              <w:rPr/>
              <w:t> </w:t>
            </w:r>
          </w:p>
        </w:tc>
        <w:tc>
          <w:tcPr>
            <w:tcW w:w="9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NAREIT FFO per share attributable to Common Shareholders and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$1.19-$1.21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$1.17-$1.21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EEF3FB"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Adjustments to FFO:</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Transaction and other expenses </w:t>
            </w: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FFF5ED"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EEF3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 xml:space="preserve">FFO As Adjusted per share attributable to Common Shareholders and Common OP Unit Holders </w:t>
            </w:r>
            <w:r>
              <w:rPr>
                <w:rFonts w:ascii="Arial" w:hAnsi="Arial"/>
                <w:b/>
                <w:color w:val="000000"/>
                <w:sz w:val="13"/>
              </w:rPr>
              <w:t>3</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EEF3FB"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$1.24-$1.26</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shd w:fill="EEF3FB"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$1.22-$1.26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Totals may not foot due to rounding.</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Transaction and other expenses include those costs that the Company believes are not reflective of ongoing core operating results, including investment transaction costs, debt extinguishment costs and employee retirement costs.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jc w:val="both"/>
        <w:rPr/>
      </w:pPr>
      <w:r>
        <w:rPr>
          <w:rFonts w:ascii="PP Fragment;PP Fragment Sans Light;sans-serif" w:hAnsi="PP Fragment;PP Fragment Sans Light;sans-serif"/>
          <w:b w:val="false"/>
          <w:color w:val="000000"/>
          <w:sz w:val="16"/>
        </w:rPr>
        <w:t>Refer to the “Notes to Financial Highlights” on page 12</w:t>
      </w:r>
      <w:r>
        <w:rPr>
          <w:color w:val="000000"/>
        </w:rPr>
        <w:t xml:space="preserve"> </w:t>
      </w:r>
      <w:r>
        <w:rPr>
          <w:rFonts w:ascii="PP Fragment;PP Fragment Sans Light;sans-serif" w:hAnsi="PP Fragment;PP Fragment Sans Light;sans-serif"/>
          <w:b w:val="false"/>
          <w:color w:val="000000"/>
          <w:sz w:val="16"/>
        </w:rPr>
        <w:t>of this release for definitions of non-GAAP measures</w:t>
      </w:r>
    </w:p>
    <w:p>
      <w:pPr>
        <w:pStyle w:val="TextBody"/>
        <w:bidi w:val="0"/>
        <w:jc w:val="both"/>
        <w:rPr/>
      </w:pPr>
      <w:r>
        <w:rPr/>
        <w:t> </w:t>
      </w:r>
    </w:p>
    <w:tbl>
      <w:tblPr>
        <w:tblW w:w="3912" w:type="dxa"/>
        <w:jc w:val="left"/>
        <w:tblInd w:w="0" w:type="dxa"/>
        <w:tblLayout w:type="fixed"/>
        <w:tblCellMar>
          <w:top w:w="28" w:type="dxa"/>
          <w:left w:w="28" w:type="dxa"/>
          <w:bottom w:w="28" w:type="dxa"/>
          <w:right w:w="28" w:type="dxa"/>
        </w:tblCellMar>
      </w:tblPr>
      <w:tblGrid>
        <w:gridCol w:w="3641"/>
        <w:gridCol w:w="271"/>
      </w:tblGrid>
      <w:tr>
        <w:trPr/>
        <w:tc>
          <w:tcPr>
            <w:tcW w:w="36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47900" cy="371475"/>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Management will conduct a conference call on Wednesday, July 29, 2026 at 11:00 AM ET to review the Company’s earnings and operating results. Participant registration and webcast information is listed below.</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024"/>
        <w:gridCol w:w="7181"/>
      </w:tblGrid>
      <w:tr>
        <w:trPr/>
        <w:tc>
          <w:tcPr>
            <w:tcW w:w="3024" w:type="dxa"/>
            <w:tcBorders/>
            <w:vAlign w:val="center"/>
          </w:tcPr>
          <w:p>
            <w:pPr>
              <w:pStyle w:val="TableContents"/>
              <w:bidi w:val="0"/>
              <w:spacing w:before="0" w:after="283"/>
              <w:jc w:val="left"/>
              <w:rPr>
                <w:sz w:val="4"/>
                <w:szCs w:val="4"/>
              </w:rPr>
            </w:pPr>
            <w:r>
              <w:rPr>
                <w:sz w:val="4"/>
                <w:szCs w:val="4"/>
              </w:rPr>
            </w:r>
          </w:p>
        </w:tc>
        <w:tc>
          <w:tcPr>
            <w:tcW w:w="7181" w:type="dxa"/>
            <w:tcBorders/>
            <w:vAlign w:val="center"/>
          </w:tcPr>
          <w:p>
            <w:pPr>
              <w:pStyle w:val="TableContents"/>
              <w:bidi w:val="0"/>
              <w:spacing w:before="0" w:after="283"/>
              <w:jc w:val="left"/>
              <w:rPr>
                <w:sz w:val="4"/>
                <w:szCs w:val="4"/>
              </w:rPr>
            </w:pPr>
            <w:r>
              <w:rPr>
                <w:sz w:val="4"/>
                <w:szCs w:val="4"/>
              </w:rPr>
            </w:r>
          </w:p>
        </w:tc>
      </w:tr>
      <w:tr>
        <w:trPr/>
        <w:tc>
          <w:tcPr>
            <w:tcW w:w="3024" w:type="dxa"/>
            <w:tcBorders>
              <w:left w:val="single" w:sz="4" w:space="0" w:color="A77E4A"/>
            </w:tcBorders>
            <w:shd w:fill="A77E4A" w:val="clear"/>
            <w:tcMar>
              <w:top w:w="0" w:type="dxa"/>
              <w:left w:w="108" w:type="dxa"/>
              <w:bottom w:w="0" w:type="dxa"/>
              <w:right w:w="0" w:type="dxa"/>
            </w:tcMar>
            <w:vAlign w:val="center"/>
          </w:tcPr>
          <w:p>
            <w:pPr>
              <w:pStyle w:val="TableContents"/>
              <w:bidi w:val="0"/>
              <w:spacing w:before="100" w:after="100"/>
              <w:jc w:val="right"/>
              <w:rPr>
                <w:rFonts w:ascii="PP Fragment;PP Fragment Sans Light;sans-serif" w:hAnsi="PP Fragment;PP Fragment Sans Light;sans-serif"/>
                <w:b w:val="false"/>
                <w:color w:val="FFFFFF"/>
                <w:sz w:val="22"/>
              </w:rPr>
            </w:pPr>
            <w:r>
              <w:rPr>
                <w:rFonts w:ascii="PP Fragment;PP Fragment Sans Light;sans-serif" w:hAnsi="PP Fragment;PP Fragment Sans Light;sans-serif"/>
                <w:b w:val="false"/>
                <w:color w:val="FFFFFF"/>
                <w:sz w:val="22"/>
              </w:rPr>
              <w:t>Live Conference Call:</w:t>
            </w:r>
          </w:p>
        </w:tc>
        <w:tc>
          <w:tcPr>
            <w:tcW w:w="7181" w:type="dxa"/>
            <w:tcBorders>
              <w:right w:val="single" w:sz="4" w:space="0" w:color="A77E4A"/>
            </w:tcBorders>
            <w:shd w:fill="A77E4A" w:val="clear"/>
            <w:tcMar>
              <w:top w:w="0" w:type="dxa"/>
              <w:left w:w="0" w:type="dxa"/>
              <w:bottom w:w="0" w:type="dxa"/>
              <w:right w:w="108" w:type="dxa"/>
            </w:tcMar>
            <w:vAlign w:val="center"/>
          </w:tcPr>
          <w:p>
            <w:pPr>
              <w:pStyle w:val="TableContents"/>
              <w:bidi w:val="0"/>
              <w:spacing w:before="100" w:after="100"/>
              <w:jc w:val="right"/>
              <w:rPr/>
            </w:pPr>
            <w:r>
              <w:rPr/>
              <w:t> </w:t>
            </w:r>
          </w:p>
        </w:tc>
      </w:tr>
      <w:tr>
        <w:trPr/>
        <w:tc>
          <w:tcPr>
            <w:tcW w:w="3024" w:type="dxa"/>
            <w:tcBorders>
              <w:top w:val="single" w:sz="4" w:space="0" w:color="A77E4A"/>
              <w:left w:val="single" w:sz="4" w:space="0" w:color="A77E4A"/>
              <w:bottom w:val="single" w:sz="4" w:space="0" w:color="A77E4A"/>
              <w:right w:val="single" w:sz="4" w:space="0" w:color="A77E4A"/>
            </w:tcBorders>
            <w:shd w:fill="FFFFFF" w:val="clear"/>
            <w:tcMar>
              <w:left w:w="108" w:type="dxa"/>
            </w:tcMar>
            <w:vAlign w:val="center"/>
          </w:tcPr>
          <w:p>
            <w:pPr>
              <w:pStyle w:val="TableContents"/>
              <w:bidi w:val="0"/>
              <w:spacing w:before="100" w:after="100"/>
              <w:jc w:val="righ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Date:</w:t>
            </w:r>
          </w:p>
        </w:tc>
        <w:tc>
          <w:tcPr>
            <w:tcW w:w="7181" w:type="dxa"/>
            <w:tcBorders>
              <w:top w:val="single" w:sz="4" w:space="0" w:color="A77E4A"/>
              <w:bottom w:val="single" w:sz="4" w:space="0" w:color="A77E4A"/>
              <w:right w:val="single" w:sz="4" w:space="0" w:color="A77E4A"/>
            </w:tcBorders>
            <w:tcMar>
              <w:left w:w="0" w:type="dxa"/>
              <w:right w:w="108" w:type="dxa"/>
            </w:tcMar>
            <w:vAlign w:val="center"/>
          </w:tcPr>
          <w:p>
            <w:pPr>
              <w:pStyle w:val="TableContents"/>
              <w:bidi w:val="0"/>
              <w:spacing w:before="100" w:after="100"/>
              <w:jc w:val="righ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Wednesday, July 29, 2026</w:t>
            </w:r>
          </w:p>
        </w:tc>
      </w:tr>
      <w:tr>
        <w:trPr/>
        <w:tc>
          <w:tcPr>
            <w:tcW w:w="3024" w:type="dxa"/>
            <w:tcBorders>
              <w:left w:val="single" w:sz="4" w:space="0" w:color="A77E4A"/>
              <w:bottom w:val="single" w:sz="4" w:space="0" w:color="A77E4A"/>
              <w:right w:val="single" w:sz="4" w:space="0" w:color="A77E4A"/>
            </w:tcBorders>
            <w:shd w:fill="FFFFFF" w:val="clear"/>
            <w:tcMar>
              <w:top w:w="0" w:type="dxa"/>
              <w:left w:w="108" w:type="dxa"/>
            </w:tcMar>
            <w:vAlign w:val="center"/>
          </w:tcPr>
          <w:p>
            <w:pPr>
              <w:pStyle w:val="TableContents"/>
              <w:bidi w:val="0"/>
              <w:spacing w:before="100" w:after="100"/>
              <w:jc w:val="righ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Time:</w:t>
            </w:r>
          </w:p>
        </w:tc>
        <w:tc>
          <w:tcPr>
            <w:tcW w:w="7181" w:type="dxa"/>
            <w:tcBorders>
              <w:bottom w:val="single" w:sz="4" w:space="0" w:color="A77E4A"/>
              <w:right w:val="single" w:sz="4" w:space="0" w:color="A77E4A"/>
            </w:tcBorders>
            <w:tcMar>
              <w:top w:w="0" w:type="dxa"/>
              <w:left w:w="0" w:type="dxa"/>
              <w:right w:w="108" w:type="dxa"/>
            </w:tcMar>
            <w:vAlign w:val="center"/>
          </w:tcPr>
          <w:p>
            <w:pPr>
              <w:pStyle w:val="TableContents"/>
              <w:bidi w:val="0"/>
              <w:spacing w:before="100" w:after="100"/>
              <w:jc w:val="righ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11:00 AM ET</w:t>
            </w:r>
          </w:p>
        </w:tc>
      </w:tr>
      <w:tr>
        <w:trPr/>
        <w:tc>
          <w:tcPr>
            <w:tcW w:w="3024" w:type="dxa"/>
            <w:tcBorders>
              <w:left w:val="single" w:sz="4" w:space="0" w:color="A77E4A"/>
              <w:bottom w:val="single" w:sz="4" w:space="0" w:color="A77E4A"/>
              <w:right w:val="single" w:sz="4" w:space="0" w:color="A77E4A"/>
            </w:tcBorders>
            <w:shd w:fill="FFFFFF" w:val="clear"/>
            <w:tcMar>
              <w:top w:w="0" w:type="dxa"/>
              <w:left w:w="108" w:type="dxa"/>
            </w:tcMar>
            <w:vAlign w:val="center"/>
          </w:tcPr>
          <w:p>
            <w:pPr>
              <w:pStyle w:val="TableContents"/>
              <w:bidi w:val="0"/>
              <w:spacing w:before="100" w:after="100"/>
              <w:jc w:val="righ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Participant call:</w:t>
            </w:r>
          </w:p>
        </w:tc>
        <w:tc>
          <w:tcPr>
            <w:tcW w:w="7181" w:type="dxa"/>
            <w:tcBorders>
              <w:bottom w:val="single" w:sz="4" w:space="0" w:color="A77E4A"/>
              <w:right w:val="single" w:sz="4" w:space="0" w:color="A77E4A"/>
            </w:tcBorders>
            <w:tcMar>
              <w:top w:w="0" w:type="dxa"/>
              <w:left w:w="0" w:type="dxa"/>
              <w:right w:w="108" w:type="dxa"/>
            </w:tcMar>
            <w:vAlign w:val="center"/>
          </w:tcPr>
          <w:p>
            <w:pPr>
              <w:pStyle w:val="TableContents"/>
              <w:bidi w:val="0"/>
              <w:spacing w:before="100" w:after="100"/>
              <w:jc w:val="right"/>
              <w:rPr>
                <w:rFonts w:ascii="PP Fragment;PP Fragment Sans Light;sans-serif" w:hAnsi="PP Fragment;PP Fragment Sans Light;sans-serif"/>
                <w:b w:val="false"/>
                <w:sz w:val="22"/>
              </w:rPr>
            </w:pPr>
            <w:r>
              <w:rPr>
                <w:rFonts w:ascii="PP Fragment;PP Fragment Sans Light;sans-serif" w:hAnsi="PP Fragment;PP Fragment Sans Light;sans-serif"/>
                <w:b w:val="false"/>
                <w:sz w:val="22"/>
              </w:rPr>
              <w:t>Second Quarter 2026 Dial-In</w:t>
            </w:r>
          </w:p>
        </w:tc>
      </w:tr>
      <w:tr>
        <w:trPr/>
        <w:tc>
          <w:tcPr>
            <w:tcW w:w="3024" w:type="dxa"/>
            <w:tcBorders>
              <w:left w:val="single" w:sz="4" w:space="0" w:color="A77E4A"/>
              <w:bottom w:val="single" w:sz="4" w:space="0" w:color="A77E4A"/>
              <w:right w:val="single" w:sz="4" w:space="0" w:color="A77E4A"/>
            </w:tcBorders>
            <w:shd w:fill="FFFFFF" w:val="clear"/>
            <w:tcMar>
              <w:top w:w="0" w:type="dxa"/>
              <w:left w:w="108" w:type="dxa"/>
            </w:tcMar>
            <w:vAlign w:val="center"/>
          </w:tcPr>
          <w:p>
            <w:pPr>
              <w:pStyle w:val="TableContents"/>
              <w:bidi w:val="0"/>
              <w:spacing w:before="100" w:after="100"/>
              <w:jc w:val="righ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Participant webcast:</w:t>
            </w:r>
          </w:p>
        </w:tc>
        <w:tc>
          <w:tcPr>
            <w:tcW w:w="7181" w:type="dxa"/>
            <w:tcBorders>
              <w:bottom w:val="single" w:sz="4" w:space="0" w:color="A77E4A"/>
              <w:right w:val="single" w:sz="4" w:space="0" w:color="A77E4A"/>
            </w:tcBorders>
            <w:tcMar>
              <w:top w:w="0" w:type="dxa"/>
              <w:left w:w="0" w:type="dxa"/>
              <w:right w:w="108" w:type="dxa"/>
            </w:tcMar>
            <w:vAlign w:val="center"/>
          </w:tcPr>
          <w:p>
            <w:pPr>
              <w:pStyle w:val="TableContents"/>
              <w:bidi w:val="0"/>
              <w:spacing w:before="100" w:after="100"/>
              <w:jc w:val="right"/>
              <w:rPr>
                <w:rFonts w:ascii="PP Fragment;PP Fragment Sans Light;sans-serif" w:hAnsi="PP Fragment;PP Fragment Sans Light;sans-serif"/>
                <w:b w:val="false"/>
                <w:sz w:val="22"/>
              </w:rPr>
            </w:pPr>
            <w:r>
              <w:rPr>
                <w:rFonts w:ascii="PP Fragment;PP Fragment Sans Light;sans-serif" w:hAnsi="PP Fragment;PP Fragment Sans Light;sans-serif"/>
                <w:b w:val="false"/>
                <w:sz w:val="22"/>
              </w:rPr>
              <w:t>Second Quarter 2026 Webcast</w:t>
            </w:r>
          </w:p>
        </w:tc>
      </w:tr>
      <w:tr>
        <w:trPr/>
        <w:tc>
          <w:tcPr>
            <w:tcW w:w="3024" w:type="dxa"/>
            <w:tcBorders>
              <w:left w:val="single" w:sz="4" w:space="0" w:color="A77E4A"/>
              <w:bottom w:val="single" w:sz="4" w:space="0" w:color="A77E4A"/>
              <w:right w:val="single" w:sz="4" w:space="0" w:color="A77E4A"/>
            </w:tcBorders>
            <w:shd w:fill="FFFFFF" w:val="clear"/>
            <w:tcMar>
              <w:top w:w="0" w:type="dxa"/>
              <w:left w:w="108" w:type="dxa"/>
            </w:tcMar>
            <w:vAlign w:val="center"/>
          </w:tcPr>
          <w:p>
            <w:pPr>
              <w:pStyle w:val="TableContents"/>
              <w:bidi w:val="0"/>
              <w:spacing w:before="100" w:after="100"/>
              <w:jc w:val="right"/>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Webcast Listen-only and Replay:</w:t>
            </w:r>
          </w:p>
        </w:tc>
        <w:tc>
          <w:tcPr>
            <w:tcW w:w="7181" w:type="dxa"/>
            <w:tcBorders>
              <w:bottom w:val="single" w:sz="4" w:space="0" w:color="A77E4A"/>
              <w:right w:val="single" w:sz="4" w:space="0" w:color="A77E4A"/>
            </w:tcBorders>
            <w:tcMar>
              <w:top w:w="0" w:type="dxa"/>
              <w:left w:w="0" w:type="dxa"/>
              <w:right w:w="108" w:type="dxa"/>
            </w:tcMar>
            <w:vAlign w:val="center"/>
          </w:tcPr>
          <w:p>
            <w:pPr>
              <w:pStyle w:val="TableContents"/>
              <w:bidi w:val="0"/>
              <w:spacing w:before="100" w:after="100"/>
              <w:jc w:val="right"/>
              <w:rPr>
                <w:rFonts w:ascii="Times New Roman" w:hAnsi="Times New Roman"/>
                <w:sz w:val="22"/>
              </w:rPr>
            </w:pPr>
            <w:r>
              <w:rPr>
                <w:rFonts w:ascii="PP Fragment;PP Fragment Sans Light;sans-serif" w:hAnsi="PP Fragment;PP Fragment Sans Light;sans-serif"/>
                <w:b w:val="false"/>
                <w:sz w:val="22"/>
              </w:rPr>
              <w:t>www.acadiarealty.com/investors</w:t>
            </w:r>
            <w:r>
              <w:rPr>
                <w:rFonts w:ascii="Times New Roman" w:hAnsi="Times New Roman"/>
                <w:color w:val="4471C4"/>
                <w:sz w:val="22"/>
              </w:rPr>
              <w:t xml:space="preserve"> </w:t>
            </w:r>
            <w:r>
              <w:rPr>
                <w:rFonts w:ascii="PP Fragment;PP Fragment Sans Light;sans-serif" w:hAnsi="PP Fragment;PP Fragment Sans Light;sans-serif"/>
                <w:b w:val="false"/>
                <w:color w:val="000000"/>
                <w:sz w:val="22"/>
              </w:rPr>
              <w:t>under Events, Presentations &amp; Portfolio Updates</w:t>
            </w:r>
          </w:p>
        </w:tc>
      </w:tr>
    </w:tbl>
    <w:p>
      <w:pPr>
        <w:pStyle w:val="TextBody"/>
        <w:bidi w:val="0"/>
        <w:spacing w:before="120" w:after="283"/>
        <w:jc w:val="both"/>
        <w:rPr>
          <w:rFonts w:ascii="Times New Roman" w:hAnsi="Times New Roman"/>
          <w:sz w:val="20"/>
        </w:rPr>
      </w:pPr>
      <w:r>
        <w:rPr>
          <w:rFonts w:ascii="PP Fragment;PP Fragment Sans Light;sans-serif" w:hAnsi="PP Fragment;PP Fragment Sans Light;sans-serif"/>
          <w:b w:val="false"/>
          <w:color w:val="000000"/>
          <w:sz w:val="22"/>
        </w:rPr>
        <w:t xml:space="preserve">The Company uses, and intends to use, the Investors page of its website, which can be found at </w:t>
      </w:r>
      <w:r>
        <w:rPr>
          <w:rFonts w:ascii="PP Fragment;PP Fragment Sans Light;sans-serif" w:hAnsi="PP Fragment;PP Fragment Sans Light;sans-serif"/>
          <w:b w:val="false"/>
          <w:sz w:val="22"/>
        </w:rPr>
        <w:t>https://www.acadiarealty.com/investors</w:t>
      </w:r>
      <w:r>
        <w:rPr>
          <w:rFonts w:ascii="PP Fragment;PP Fragment Sans Light;sans-serif" w:hAnsi="PP Fragment;PP Fragment Sans Light;sans-serif"/>
          <w:b w:val="false"/>
          <w:color w:val="000000"/>
          <w:sz w:val="22"/>
        </w:rPr>
        <w:t>, as a means of disclosing material nonpublic information and of complying with its disclosure obligations under Regulation FD, including, without limitation, through the posting of investor presentations and certain portfolio updates. Additionally, the Company also uses its LinkedIn profile to communicate with its investors and the public. Accordingly, investors are encouraged to monitor the Investors page of the Company's website and its LinkedIn profile, in addition to following the Company’s press releases, SEC filings, public conference calls, presentations and webcasts.</w:t>
      </w:r>
    </w:p>
    <w:p>
      <w:pPr>
        <w:pStyle w:val="TextBody"/>
        <w:bidi w:val="0"/>
        <w:spacing w:before="120" w:after="283"/>
        <w:jc w:val="both"/>
        <w:rPr>
          <w:rFonts w:ascii="PP Fragment;PP Fragment Sans;sans-serif" w:hAnsi="PP Fragment;PP Fragment Sans;sans-serif"/>
          <w:b/>
          <w:color w:val="000000"/>
          <w:sz w:val="22"/>
        </w:rPr>
      </w:pPr>
      <w:r>
        <w:rPr>
          <w:rFonts w:ascii="PP Fragment;PP Fragment Sans;sans-serif" w:hAnsi="PP Fragment;PP Fragment Sans;sans-serif"/>
          <w:b/>
          <w:color w:val="000000"/>
          <w:sz w:val="22"/>
        </w:rPr>
        <w:t>About Acadia Realty Trust</w:t>
      </w:r>
    </w:p>
    <w:p>
      <w:pPr>
        <w:pStyle w:val="TextBody"/>
        <w:bidi w:val="0"/>
        <w:spacing w:before="120" w:after="283"/>
        <w:jc w:val="both"/>
        <w:rPr>
          <w:rFonts w:ascii="Times New Roman" w:hAnsi="Times New Roman"/>
          <w:sz w:val="20"/>
        </w:rPr>
      </w:pPr>
      <w:r>
        <w:rPr>
          <w:rFonts w:ascii="PP Fragment;PP Fragment Sans Light;sans-serif" w:hAnsi="PP Fragment;PP Fragment Sans Light;sans-serif"/>
          <w:b w:val="false"/>
          <w:color w:val="000000"/>
          <w:sz w:val="22"/>
        </w:rPr>
        <w:t xml:space="preserve">Acadia Realty Trust is an equity real estate investment trust focused on delivering long-term, profitable growth. Acadia owns and operates a high-quality real estate portfolio of street and open-air retail properties in the nation's most dynamic retail corridors (“REIT Portfolio”), along with an investment management platform that targets opportunistic and value-add investments through its institutional co-investment vehicles (“Investment Management”). For further information, please visit </w:t>
      </w:r>
      <w:r>
        <w:rPr>
          <w:rFonts w:ascii="PP Fragment;PP Fragment Sans Light;sans-serif" w:hAnsi="PP Fragment;PP Fragment Sans Light;sans-serif"/>
          <w:b w:val="false"/>
          <w:sz w:val="22"/>
        </w:rPr>
        <w:t>www.acadiarealty.com</w:t>
      </w:r>
      <w:r>
        <w:rPr>
          <w:rFonts w:ascii="PP Fragment;PP Fragment Sans Light;sans-serif" w:hAnsi="PP Fragment;PP Fragment Sans Light;sans-serif"/>
          <w:b w:val="false"/>
          <w:color w:val="000000"/>
          <w:sz w:val="22"/>
        </w:rPr>
        <w:t>.</w:t>
      </w:r>
    </w:p>
    <w:p>
      <w:pPr>
        <w:pStyle w:val="TextBody"/>
        <w:bidi w:val="0"/>
        <w:spacing w:before="120" w:after="283"/>
        <w:jc w:val="both"/>
        <w:rPr>
          <w:rFonts w:ascii="PP Fragment;PP Fragment Sans;sans-serif" w:hAnsi="PP Fragment;PP Fragment Sans;sans-serif"/>
          <w:b/>
          <w:color w:val="000000"/>
          <w:sz w:val="22"/>
        </w:rPr>
      </w:pPr>
      <w:r>
        <w:rPr>
          <w:rFonts w:ascii="PP Fragment;PP Fragment Sans;sans-serif" w:hAnsi="PP Fragment;PP Fragment Sans;sans-serif"/>
          <w:b/>
          <w:color w:val="000000"/>
          <w:sz w:val="22"/>
        </w:rPr>
        <w:t>Safe Harbor Statement</w:t>
      </w:r>
    </w:p>
    <w:p>
      <w:pPr>
        <w:pStyle w:val="TextBody"/>
        <w:bidi w:val="0"/>
        <w:spacing w:before="120" w:after="283"/>
        <w:jc w:val="both"/>
        <w:rPr>
          <w:rFonts w:ascii="Times New Roman" w:hAnsi="Times New Roman"/>
          <w:sz w:val="20"/>
        </w:rPr>
      </w:pPr>
      <w:r>
        <w:rPr>
          <w:rFonts w:ascii="PP Fragment;PP Fragment Sans Light;sans-serif" w:hAnsi="PP Fragment;PP Fragment Sans Light;sans-serif"/>
          <w:b w:val="false"/>
          <w:color w:val="000000"/>
          <w:sz w:val="22"/>
        </w:rPr>
        <w:t>Certain statements in this press release may contain forward-looking statements within the meaning of Section 27A of the Securities Act of 1933, as amended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the purposes of complying with those safe harbor provisions, in each case, to the extent applicable. Forward-looking statements, which are based on certain assumptions and describe the Company's future plans, strategies and expectations (including with regards to its acquisition pipeline and development activities) are generally identifiable by the use of words, such as “may,” “will,” “should,” “expect,” “anticipate,” “estimate,” “believe,” “intend” or “project,” or the negative thereof, or other variations thereon or comparable terminology. Forward-looking statements involve known and unknown risks, uncertainties and other factors that could cause the Company's actual results and financial performance to be materially different from future results</w:t>
      </w:r>
      <w:r>
        <w:rPr>
          <w:rFonts w:ascii="Times New Roman" w:hAnsi="Times New Roman"/>
          <w:color w:val="000000"/>
          <w:sz w:val="20"/>
        </w:rPr>
        <w:t xml:space="preserve"> </w:t>
      </w:r>
    </w:p>
    <w:tbl>
      <w:tblPr>
        <w:tblW w:w="3912" w:type="dxa"/>
        <w:jc w:val="left"/>
        <w:tblInd w:w="0" w:type="dxa"/>
        <w:tblLayout w:type="fixed"/>
        <w:tblCellMar>
          <w:top w:w="28" w:type="dxa"/>
          <w:left w:w="28" w:type="dxa"/>
          <w:bottom w:w="28" w:type="dxa"/>
          <w:right w:w="28" w:type="dxa"/>
        </w:tblCellMar>
      </w:tblPr>
      <w:tblGrid>
        <w:gridCol w:w="3641"/>
        <w:gridCol w:w="271"/>
      </w:tblGrid>
      <w:tr>
        <w:trPr/>
        <w:tc>
          <w:tcPr>
            <w:tcW w:w="36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47900" cy="371475"/>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and financial performance expressed or implied by such forward-looking statements, including, but not limited to: (i) macroeconomic conditions, including due to geopolitical instability (such as ongoing armed conflicts and heightened regional tensions in the Middle East), contemplated tariff increases and other trade restrictions, which may lead to a disruption of or lack of access to the capital markets, disruptions and instability in the banking and financial services industries and rising inflation; (ii) the Company’s success in implementing its business strategy and its ability to identify, underwrite, finance, consummate and integrate diversifying acquisitions and investments; (including the potential acquisitions discussed in this press release); (iii) changes in general economic conditions or economic conditions in the markets in which the Company may, from time to time, compete, including the impact of recently announced tariffs on our tenants and their customers, and their effect on the Company’s and our tenants' revenues, earnings and funding sources and those of our tenants; (iv) increases in the Company’s borrowing costs as a result of rising inflation, changes in interest rates and other factors; (v) the Company’s ability to pay down, refinance, restructure or extend its indebtedness as it becomes due; (vi) the Company’s investments in joint ventures and unconsolidated entities, including its lack of sole decision-making authority and its reliance on its joint venture partners’ financial condition; (vii) the Company’s ability to obtain the financial results expected from its development and redevelopment projects; (viii) the ability and willingness of the Company's tenants to renew their leases with the Company upon expiration, the Company’s ability to re-lease its properties on the same or better terms in the event of nonrenewal or in the event the Company exercises its right to replace an existing tenant, and obligations the Company may incur in connection with the replacement of an existing tenant; (ix) the Company’s potential liability for environmental matters; (x) damage to the Company’s properties from catastrophic weather and other natural events, and the physical effects of climate change; (xi) the economic, political and social impact of, and uncertainty surrounding, any future public health crisis which may adversely affect us and our tenants’ business, financial condition, results of operations and liquidity; (xii) uninsured losses; (xiii) the Company’s ability and willingness to maintain its qualification as a REIT in light of economic, market, legal, tax and other considerations; (xiv) information technology (“IT”) security breaches, including increased cybersecurity risks relating to the use of remote technology and artificial intelligence (“AI”); (xv) risks associated with our use of AI tools, which could result in reputational harm, and legal or regulatory liability; (xvi) the loss of key executives; and (xvii) the accuracy of the Company’s methodologies and estimates regarding corporate responsibility metrics, goals and targets, tenant willingness and ability to collaborate towards reporting such metrics and meeting such goals and targets, and the impact of governmental regulation on our corporate responsibility efforts.</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22"/>
        </w:rPr>
      </w:pPr>
      <w:r>
        <w:rPr>
          <w:rFonts w:ascii="PP Fragment;PP Fragment Sans Light;sans-serif" w:hAnsi="PP Fragment;PP Fragment Sans Light;sans-serif"/>
          <w:b w:val="false"/>
          <w:color w:val="000000"/>
          <w:sz w:val="22"/>
        </w:rPr>
        <w:t>The factors described above are not exhaustive and additional factors could adversely affect the Company’s future results and financial performance, including the risk factors discussed under the section captioned “Risk Factors” in the Company’s most recent Annual Report on Form 10-K and other periodic or current reports the Company files with the SEC. Any forward-looking statements in this press release speak only as of the date hereof. The Company expressly disclaims any obligation or undertaking to release publicly any updates or revisions to any forward-looking statements to reflect any changes in the Company’s expectations with regard thereto or changes in the events, conditions or circumstances on which such forward-looking statements are based.</w:t>
      </w:r>
    </w:p>
    <w:tbl>
      <w:tblPr>
        <w:tblW w:w="3912" w:type="dxa"/>
        <w:jc w:val="left"/>
        <w:tblInd w:w="0" w:type="dxa"/>
        <w:tblLayout w:type="fixed"/>
        <w:tblCellMar>
          <w:top w:w="28" w:type="dxa"/>
          <w:left w:w="28" w:type="dxa"/>
          <w:bottom w:w="28" w:type="dxa"/>
          <w:right w:w="28" w:type="dxa"/>
        </w:tblCellMar>
      </w:tblPr>
      <w:tblGrid>
        <w:gridCol w:w="3641"/>
        <w:gridCol w:w="271"/>
      </w:tblGrid>
      <w:tr>
        <w:trPr/>
        <w:tc>
          <w:tcPr>
            <w:tcW w:w="36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247900" cy="371475"/>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Acadia Realty Trust and Subsidiaries</w:t>
      </w:r>
    </w:p>
    <w:p>
      <w:pPr>
        <w:pStyle w:val="TextBody"/>
        <w:bidi w:val="0"/>
        <w:spacing w:before="240" w:after="283"/>
        <w:jc w:val="left"/>
        <w:rPr>
          <w:rFonts w:ascii="Times New Roman" w:hAnsi="Times New Roman"/>
          <w:sz w:val="20"/>
        </w:rPr>
      </w:pPr>
      <w:r>
        <w:rPr>
          <w:rFonts w:ascii="PP Fragment;PP Fragment Sans Light;sans-serif" w:hAnsi="PP Fragment;PP Fragment Sans Light;sans-serif"/>
          <w:b/>
          <w:color w:val="000000"/>
          <w:sz w:val="24"/>
        </w:rPr>
        <w:t>Condensed Consolidated Statements of Operations</w:t>
      </w:r>
      <w:r>
        <w:rPr>
          <w:rFonts w:ascii="Times New Roman" w:hAnsi="Times New Roman"/>
          <w:color w:val="000000"/>
          <w:sz w:val="20"/>
        </w:rPr>
        <w:t xml:space="preserve"> </w:t>
      </w:r>
      <w:r>
        <w:rPr>
          <w:rFonts w:ascii="PP Fragment;PP Fragment Sans Light;sans-serif" w:hAnsi="PP Fragment;PP Fragment Sans Light;sans-serif"/>
          <w:b/>
          <w:color w:val="000000"/>
          <w:sz w:val="16"/>
        </w:rPr>
        <w:t>(1)</w:t>
      </w:r>
    </w:p>
    <w:p>
      <w:pPr>
        <w:pStyle w:val="TextBody"/>
        <w:bidi w:val="0"/>
        <w:jc w:val="left"/>
        <w:rPr>
          <w:rFonts w:ascii="PP Fragment;PP Fragment Sans Light;sans-serif" w:hAnsi="PP Fragment;PP Fragment Sans Light;sans-serif"/>
          <w:b w:val="false"/>
          <w:i/>
          <w:color w:val="000000"/>
          <w:sz w:val="18"/>
        </w:rPr>
      </w:pPr>
      <w:r>
        <w:rPr>
          <w:rFonts w:ascii="PP Fragment;PP Fragment Sans Light;sans-serif" w:hAnsi="PP Fragment;PP Fragment Sans Light;sans-serif"/>
          <w:b w:val="false"/>
          <w:i/>
          <w:color w:val="000000"/>
          <w:sz w:val="18"/>
        </w:rPr>
        <w:t>(Unaudited, Dollars and Common Shares and Units 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29"/>
        <w:gridCol w:w="146"/>
        <w:gridCol w:w="226"/>
        <w:gridCol w:w="886"/>
        <w:gridCol w:w="181"/>
        <w:gridCol w:w="146"/>
        <w:gridCol w:w="226"/>
        <w:gridCol w:w="886"/>
        <w:gridCol w:w="181"/>
        <w:gridCol w:w="146"/>
        <w:gridCol w:w="226"/>
        <w:gridCol w:w="961"/>
        <w:gridCol w:w="181"/>
        <w:gridCol w:w="146"/>
        <w:gridCol w:w="226"/>
        <w:gridCol w:w="886"/>
        <w:gridCol w:w="226"/>
      </w:tblGrid>
      <w:tr>
        <w:trPr/>
        <w:tc>
          <w:tcPr>
            <w:tcW w:w="4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32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Three Months Ended</w:t>
              <w:br/>
              <w:t> June 30,</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 xml:space="preserve">Six Months Ended </w:t>
              <w:br/>
              <w:t>June 30,</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9"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2026</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2025</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2026</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2025</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91,188</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98,297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189,756</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200,937</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4,235</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2,295</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8,659</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4,049</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95,423</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100,592</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198,415</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204,986</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35,162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39,269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75,317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78,709</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11,782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11,532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27,085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23,129</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12,735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13,317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25,657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26,620</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Property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17,039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17,524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35,288</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35,804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18,190</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24,640</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76,718</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99,832</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163,347</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188,902</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3,969</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146,117</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22,674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760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181,185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16,084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Equity in earnings (losses)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13,929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(4,191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12,421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(5,904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6,557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6,358</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11,345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12,454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Realized and unrealized holding (losses) gains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(649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1,567</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(20,143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(23,604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(42,195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(46,851</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Loss on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(9,622</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Income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22,984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(20,731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162,107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(32,272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(154</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(211</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(166</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(327</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22,830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(20,942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161,941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(32,599</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981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1,724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1,679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3,393</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(12,773</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21,181</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(122,105</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32,777</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11,038</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1,963</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96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41,515</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3,571</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Less: earnings attributable to unvested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(332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(338</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(665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(677</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Less: adjustment of redeemable noncontrolling interests to estimated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(3,868</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(5,661</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Income from continuing operations net of income attributable to participating securities for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6,838</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1,625</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96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35,189</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2,894</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Weighted average shares for basic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133,627</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130,981</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132,444</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126,182</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Weighted average shares for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133,825</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130,981</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132,642</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126,182</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Net earnings per share - basic </w:t>
            </w:r>
            <w:r>
              <w:rPr>
                <w:rFonts w:ascii="DM Sans;sans-serif" w:hAnsi="DM Sans;sans-serif"/>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0.05</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0.01</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96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0.27</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A77E4A"/>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0.02</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Net earnings per share - diluted </w:t>
            </w:r>
            <w:r>
              <w:rPr>
                <w:rFonts w:ascii="DM Sans;sans-serif" w:hAnsi="DM Sans;sans-serif"/>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0.05</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0.01</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96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0.27</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0.02</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432" w:type="dxa"/>
        <w:jc w:val="left"/>
        <w:tblInd w:w="0" w:type="dxa"/>
        <w:tblLayout w:type="fixed"/>
        <w:tblCellMar>
          <w:top w:w="28" w:type="dxa"/>
          <w:left w:w="28" w:type="dxa"/>
          <w:bottom w:w="28" w:type="dxa"/>
          <w:right w:w="28" w:type="dxa"/>
        </w:tblCellMar>
      </w:tblPr>
      <w:tblGrid>
        <w:gridCol w:w="161"/>
        <w:gridCol w:w="271"/>
      </w:tblGrid>
      <w:tr>
        <w:trPr/>
        <w:tc>
          <w:tcPr>
            <w:tcW w:w="1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color w:val="F73929"/>
                <w:sz w:val="20"/>
              </w:rPr>
            </w:pPr>
            <w:r>
              <w:rPr>
                <w:rFonts w:ascii="Source Sans Pro;sans-serif" w:hAnsi="Source Sans Pro;sans-serif"/>
                <w:color w:val="F73929"/>
                <w:sz w:val="20"/>
              </w:rPr>
              <w:t>8</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Acadia Realty Trust and Subsidiaries</w:t>
      </w:r>
    </w:p>
    <w:p>
      <w:pPr>
        <w:pStyle w:val="TextBody"/>
        <w:bidi w:val="0"/>
        <w:spacing w:before="240" w:after="283"/>
        <w:jc w:val="left"/>
        <w:rPr>
          <w:rFonts w:ascii="Times New Roman" w:hAnsi="Times New Roman"/>
          <w:sz w:val="20"/>
        </w:rPr>
      </w:pPr>
      <w:r>
        <w:rPr>
          <w:rFonts w:ascii="PP Fragment;PP Fragment Sans Light;sans-serif" w:hAnsi="PP Fragment;PP Fragment Sans Light;sans-serif"/>
          <w:b/>
          <w:color w:val="000000"/>
          <w:sz w:val="24"/>
        </w:rPr>
        <w:t xml:space="preserve">Reconciliation of Consolidated Net Income to Funds from Operations and Funds from Operations As Adjusted </w:t>
      </w:r>
      <w:r>
        <w:rPr>
          <w:rFonts w:ascii="PP Fragment;PP Fragment Sans Light;sans-serif" w:hAnsi="PP Fragment;PP Fragment Sans Light;sans-serif"/>
          <w:b/>
          <w:color w:val="000000"/>
          <w:sz w:val="16"/>
        </w:rPr>
        <w:t>(1,3)</w:t>
      </w:r>
    </w:p>
    <w:p>
      <w:pPr>
        <w:pStyle w:val="TextBody"/>
        <w:bidi w:val="0"/>
        <w:jc w:val="left"/>
        <w:rPr>
          <w:rFonts w:ascii="PP Fragment;PP Fragment Sans Light;sans-serif" w:hAnsi="PP Fragment;PP Fragment Sans Light;sans-serif"/>
          <w:b w:val="false"/>
          <w:i/>
          <w:color w:val="000000"/>
          <w:sz w:val="18"/>
        </w:rPr>
      </w:pPr>
      <w:r>
        <w:rPr>
          <w:rFonts w:ascii="PP Fragment;PP Fragment Sans Light;sans-serif" w:hAnsi="PP Fragment;PP Fragment Sans Light;sans-serif"/>
          <w:b w:val="false"/>
          <w:i/>
          <w:color w:val="000000"/>
          <w:sz w:val="18"/>
        </w:rPr>
        <w:t>(Unaudited, Dollars and Common Shares and Units 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39"/>
        <w:gridCol w:w="146"/>
        <w:gridCol w:w="226"/>
        <w:gridCol w:w="886"/>
        <w:gridCol w:w="181"/>
        <w:gridCol w:w="146"/>
        <w:gridCol w:w="226"/>
        <w:gridCol w:w="886"/>
        <w:gridCol w:w="146"/>
        <w:gridCol w:w="146"/>
        <w:gridCol w:w="226"/>
        <w:gridCol w:w="886"/>
        <w:gridCol w:w="181"/>
        <w:gridCol w:w="146"/>
        <w:gridCol w:w="226"/>
        <w:gridCol w:w="886"/>
        <w:gridCol w:w="226"/>
      </w:tblGrid>
      <w:tr>
        <w:trPr/>
        <w:tc>
          <w:tcPr>
            <w:tcW w:w="4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3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 xml:space="preserve">Three Months Ended </w:t>
              <w:br/>
              <w:t>June 30,</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 xml:space="preserve">Six Months Ended </w:t>
              <w:br/>
              <w:t>June 30,</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9"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2026</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2025</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2026</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2025</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income attributable to Acadia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11,038</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1,963</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41,515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3,571</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Depreciation of real estate and amortization of leasing costs (net of</w:t>
              <w:br/>
              <w:t>   noncontrolling interests'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35,113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31,665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70,964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63,272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Impairment charges (net of noncontrolling interests'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4,185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5,768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(Gain) loss on disposition of properties (net of noncontrolling interests'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(3,601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(34,555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86</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Loss on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9,622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Income attributable to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580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2,076</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204</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Distributions - Preferred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67</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134</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Funds from operations attributable to Common Shareholders and Common OP Unit 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43,135</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38,074</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80,010</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82,657</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Transaction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1,523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5,881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678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Unrealized holding loss (gain) (net of noncontrolling interest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494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649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(1,178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Tenant lease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(8,309</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FFO As Adjusted attributable to Common Shareholder and Common OP Unit holders </w:t>
            </w:r>
            <w:r>
              <w:rPr>
                <w:rFonts w:ascii="DM Sans;sans-serif" w:hAnsi="DM Sans;sans-serif"/>
                <w:b/>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44,691</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38,720</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86,540</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73,848</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Funds From Operations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133,825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130,981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132,642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126,182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Weighted-average OP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8,543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7,672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8,424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7,828</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Assumed conversion of Preferred OP Units to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256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256</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Weighted-average number of Common Shares and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142,393</w:t>
            </w:r>
          </w:p>
        </w:tc>
        <w:tc>
          <w:tcPr>
            <w:tcW w:w="1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138,909</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141,091</w:t>
            </w:r>
          </w:p>
        </w:tc>
        <w:tc>
          <w:tcPr>
            <w:tcW w:w="1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134,266</w:t>
            </w:r>
          </w:p>
        </w:tc>
        <w:tc>
          <w:tcPr>
            <w:tcW w:w="22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Diluted Funds From Operations, per Common Share and Common OP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0.30</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0.27</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0.57</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0.62</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Diluted Funds From Operations As Adjusted, per Common Share and Common OP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0.31</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0.28</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0.61</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0.55</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3912" w:type="dxa"/>
        <w:jc w:val="left"/>
        <w:tblInd w:w="0" w:type="dxa"/>
        <w:tblLayout w:type="fixed"/>
        <w:tblCellMar>
          <w:top w:w="28" w:type="dxa"/>
          <w:left w:w="28" w:type="dxa"/>
          <w:bottom w:w="28" w:type="dxa"/>
          <w:right w:w="28" w:type="dxa"/>
        </w:tblCellMar>
      </w:tblPr>
      <w:tblGrid>
        <w:gridCol w:w="3641"/>
        <w:gridCol w:w="271"/>
      </w:tblGrid>
      <w:tr>
        <w:trPr/>
        <w:tc>
          <w:tcPr>
            <w:tcW w:w="36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247900" cy="371475"/>
                          </a:xfrm>
                          <a:prstGeom prst="rect">
                            <a:avLst/>
                          </a:prstGeom>
                        </pic:spPr>
                      </pic:pic>
                    </a:graphicData>
                  </a:graphic>
                </wp:inline>
              </w:drawing>
            </w:r>
          </w:p>
        </w:tc>
        <w:tc>
          <w:tcPr>
            <w:tcW w:w="27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Acadia Realty Trust and Subsidiaries</w:t>
      </w:r>
    </w:p>
    <w:p>
      <w:pPr>
        <w:pStyle w:val="TextBody"/>
        <w:bidi w:val="0"/>
        <w:spacing w:before="240" w:after="283"/>
        <w:jc w:val="left"/>
        <w:rPr>
          <w:rFonts w:ascii="Times New Roman" w:hAnsi="Times New Roman"/>
          <w:sz w:val="20"/>
        </w:rPr>
      </w:pPr>
      <w:r>
        <w:rPr>
          <w:rFonts w:ascii="PP Fragment;PP Fragment Sans;sans-serif" w:hAnsi="PP Fragment;PP Fragment Sans;sans-serif"/>
          <w:b/>
          <w:color w:val="000000"/>
          <w:sz w:val="23"/>
        </w:rPr>
        <w:t xml:space="preserve">Reconciliation of Consolidated Operating Income to Net Property Operating Income (“NOI”) </w:t>
      </w:r>
      <w:r>
        <w:rPr>
          <w:rFonts w:ascii="PP Fragment;PP Fragment Sans;sans-serif" w:hAnsi="PP Fragment;PP Fragment Sans;sans-serif"/>
          <w:b/>
          <w:color w:val="000000"/>
          <w:sz w:val="15"/>
        </w:rPr>
        <w:t>(1)</w:t>
      </w:r>
      <w:r>
        <w:rPr>
          <w:rFonts w:ascii="Times New Roman" w:hAnsi="Times New Roman"/>
          <w:color w:val="70AD47"/>
          <w:sz w:val="20"/>
        </w:rPr>
        <w:t xml:space="preserve"> </w:t>
      </w:r>
    </w:p>
    <w:p>
      <w:pPr>
        <w:pStyle w:val="TextBody"/>
        <w:bidi w:val="0"/>
        <w:jc w:val="left"/>
        <w:rPr>
          <w:rFonts w:ascii="PP Fragment;PP Fragment Sans;sans-serif" w:hAnsi="PP Fragment;PP Fragment Sans;sans-serif"/>
          <w:i/>
          <w:color w:val="000000"/>
          <w:sz w:val="18"/>
        </w:rPr>
      </w:pPr>
      <w:r>
        <w:rPr>
          <w:rFonts w:ascii="PP Fragment;PP Fragment Sans;sans-serif" w:hAnsi="PP Fragment;PP Fragment Sans;sans-serif"/>
          <w:i/>
          <w:color w:val="000000"/>
          <w:sz w:val="18"/>
        </w:rPr>
        <w:t>(Unaudited,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9"/>
        <w:gridCol w:w="146"/>
        <w:gridCol w:w="226"/>
        <w:gridCol w:w="841"/>
        <w:gridCol w:w="181"/>
        <w:gridCol w:w="146"/>
        <w:gridCol w:w="226"/>
        <w:gridCol w:w="841"/>
        <w:gridCol w:w="181"/>
        <w:gridCol w:w="146"/>
        <w:gridCol w:w="226"/>
        <w:gridCol w:w="961"/>
        <w:gridCol w:w="181"/>
        <w:gridCol w:w="146"/>
        <w:gridCol w:w="226"/>
        <w:gridCol w:w="886"/>
        <w:gridCol w:w="326"/>
      </w:tblGrid>
      <w:tr>
        <w:trPr/>
        <w:tc>
          <w:tcPr>
            <w:tcW w:w="4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31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Three Months Ended</w:t>
              <w:br/>
              <w:t> June 30,</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 xml:space="preserve">Six Months Ended </w:t>
              <w:br/>
              <w:t>June 30,</w:t>
            </w:r>
          </w:p>
        </w:tc>
        <w:tc>
          <w:tcPr>
            <w:tcW w:w="3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9"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2026</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2025</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2026</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2025</w:t>
            </w:r>
          </w:p>
        </w:tc>
        <w:tc>
          <w:tcPr>
            <w:tcW w:w="32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Consolidated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22,674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760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181,185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16,084</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11,782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11,532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27,085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23,129</w:t>
            </w:r>
          </w:p>
        </w:tc>
        <w:tc>
          <w:tcPr>
            <w:tcW w:w="326"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35,162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39,269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75,317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78,709</w:t>
            </w:r>
          </w:p>
        </w:tc>
        <w:tc>
          <w:tcPr>
            <w:tcW w:w="326"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18,190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24,640</w:t>
            </w:r>
          </w:p>
        </w:tc>
        <w:tc>
          <w:tcPr>
            <w:tcW w:w="326"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(3,969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(146,117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Above/below-market rent, straight-line rent and 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(5,556</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(3,194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(12,541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(5,906</w:t>
            </w:r>
          </w:p>
        </w:tc>
        <w:tc>
          <w:tcPr>
            <w:tcW w:w="326"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Termination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(8,366</w:t>
            </w:r>
          </w:p>
        </w:tc>
        <w:tc>
          <w:tcPr>
            <w:tcW w:w="3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Consolidated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60,093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66,557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124,929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128,290</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Redeemable noncontrolling interest in consolidated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(1,659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(1,376</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(3,499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(3,264</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Noncontrolling interest in consolidated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(10,244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(19,489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(25,241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(37,144</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Operating Partnership's interest in Investment Management NOI included above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(4,701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(7,936</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(12,243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(14,683</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Operating Partnership's share of unconsolidated joint ventures NOI </w:t>
            </w:r>
            <w:r>
              <w:rPr>
                <w:rFonts w:ascii="DM Sans;sans-serif" w:hAnsi="DM Sans;sans-serif"/>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1,641</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873</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2,999</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2,160</w:t>
            </w:r>
          </w:p>
        </w:tc>
        <w:tc>
          <w:tcPr>
            <w:tcW w:w="3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1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REIT Portfolio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45,130</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38,629</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96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86,945</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75,359</w:t>
            </w:r>
          </w:p>
        </w:tc>
        <w:tc>
          <w:tcPr>
            <w:tcW w:w="3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PP Fragment;PP Fragment Sans;sans-serif" w:hAnsi="PP Fragment;PP Fragment Sans;sans-serif"/>
          <w:b/>
          <w:color w:val="000000"/>
          <w:sz w:val="24"/>
        </w:rPr>
        <w:t>Reconciliation of Same-Property NOI</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PP Fragment;PP Fragment Sans Light;sans-serif" w:hAnsi="PP Fragment;PP Fragment Sans Light;sans-serif"/>
          <w:b w:val="false"/>
          <w:i/>
          <w:color w:val="000000"/>
          <w:sz w:val="18"/>
        </w:rPr>
        <w:t>(Unaudited, Dollars 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314"/>
        <w:gridCol w:w="146"/>
        <w:gridCol w:w="226"/>
        <w:gridCol w:w="841"/>
        <w:gridCol w:w="271"/>
        <w:gridCol w:w="146"/>
        <w:gridCol w:w="226"/>
        <w:gridCol w:w="841"/>
        <w:gridCol w:w="181"/>
        <w:gridCol w:w="146"/>
        <w:gridCol w:w="226"/>
        <w:gridCol w:w="886"/>
        <w:gridCol w:w="271"/>
        <w:gridCol w:w="146"/>
        <w:gridCol w:w="226"/>
        <w:gridCol w:w="886"/>
        <w:gridCol w:w="226"/>
      </w:tblGrid>
      <w:tr>
        <w:trPr/>
        <w:tc>
          <w:tcPr>
            <w:tcW w:w="4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314"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Three Months Ended</w:t>
              <w:br/>
              <w:t> June 30,</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64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 xml:space="preserve">Six Months Ended </w:t>
              <w:br/>
              <w:t>June 30,</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4"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2026</w:t>
            </w:r>
          </w:p>
        </w:tc>
        <w:tc>
          <w:tcPr>
            <w:tcW w:w="27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2025</w:t>
            </w:r>
          </w:p>
        </w:tc>
        <w:tc>
          <w:tcPr>
            <w:tcW w:w="18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2026</w:t>
            </w:r>
          </w:p>
        </w:tc>
        <w:tc>
          <w:tcPr>
            <w:tcW w:w="27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2025</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REIT Portfolio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45,130</w:t>
            </w:r>
          </w:p>
        </w:tc>
        <w:tc>
          <w:tcPr>
            <w:tcW w:w="27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38,629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86,945</w:t>
            </w:r>
          </w:p>
        </w:tc>
        <w:tc>
          <w:tcPr>
            <w:tcW w:w="27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75,359</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Less properties excluded from 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(5,566</w:t>
            </w:r>
          </w:p>
        </w:tc>
        <w:tc>
          <w:tcPr>
            <w:tcW w:w="27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(2,243</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(8,538</w:t>
            </w:r>
          </w:p>
        </w:tc>
        <w:tc>
          <w:tcPr>
            <w:tcW w:w="27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(2,295</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39,564</w:t>
            </w:r>
          </w:p>
        </w:tc>
        <w:tc>
          <w:tcPr>
            <w:tcW w:w="27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36,386</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78,407</w:t>
            </w:r>
          </w:p>
        </w:tc>
        <w:tc>
          <w:tcPr>
            <w:tcW w:w="27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73,064</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Percent change from prior year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8.7</w:t>
            </w:r>
          </w:p>
        </w:tc>
        <w:tc>
          <w:tcPr>
            <w:tcW w:w="27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7.3</w:t>
            </w:r>
          </w:p>
        </w:tc>
        <w:tc>
          <w:tcPr>
            <w:tcW w:w="27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Components of 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Same-Property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54,573</w:t>
            </w:r>
          </w:p>
        </w:tc>
        <w:tc>
          <w:tcPr>
            <w:tcW w:w="27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50,560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109,283</w:t>
            </w:r>
          </w:p>
        </w:tc>
        <w:tc>
          <w:tcPr>
            <w:tcW w:w="27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102,002</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Same-Property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(15,009</w:t>
            </w:r>
          </w:p>
        </w:tc>
        <w:tc>
          <w:tcPr>
            <w:tcW w:w="27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(14,174</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(30,876</w:t>
            </w:r>
          </w:p>
        </w:tc>
        <w:tc>
          <w:tcPr>
            <w:tcW w:w="27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(28,938</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31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39,564</w:t>
            </w:r>
          </w:p>
        </w:tc>
        <w:tc>
          <w:tcPr>
            <w:tcW w:w="27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36,386</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78,407</w:t>
            </w:r>
          </w:p>
        </w:tc>
        <w:tc>
          <w:tcPr>
            <w:tcW w:w="27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73,064</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032" w:type="dxa"/>
        <w:jc w:val="left"/>
        <w:tblInd w:w="0" w:type="dxa"/>
        <w:tblLayout w:type="fixed"/>
        <w:tblCellMar>
          <w:top w:w="28" w:type="dxa"/>
          <w:left w:w="28" w:type="dxa"/>
          <w:bottom w:w="28" w:type="dxa"/>
          <w:right w:w="28" w:type="dxa"/>
        </w:tblCellMar>
      </w:tblPr>
      <w:tblGrid>
        <w:gridCol w:w="3641"/>
        <w:gridCol w:w="391"/>
      </w:tblGrid>
      <w:tr>
        <w:trPr/>
        <w:tc>
          <w:tcPr>
            <w:tcW w:w="36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247900" cy="371475"/>
                          </a:xfrm>
                          <a:prstGeom prst="rect">
                            <a:avLst/>
                          </a:prstGeom>
                        </pic:spPr>
                      </pic:pic>
                    </a:graphicData>
                  </a:graphic>
                </wp:inline>
              </w:drawing>
            </w:r>
          </w:p>
        </w:tc>
        <w:tc>
          <w:tcPr>
            <w:tcW w:w="39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10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Acadia Realty Trust and Subsidiaries</w:t>
      </w:r>
    </w:p>
    <w:p>
      <w:pPr>
        <w:pStyle w:val="TextBody"/>
        <w:bidi w:val="0"/>
        <w:spacing w:before="120" w:after="283"/>
        <w:jc w:val="left"/>
        <w:rPr>
          <w:rFonts w:ascii="Times New Roman" w:hAnsi="Times New Roman"/>
          <w:sz w:val="20"/>
        </w:rPr>
      </w:pPr>
      <w:r>
        <w:rPr>
          <w:rFonts w:ascii="PP Fragment;PP Fragment Sans;sans-serif" w:hAnsi="PP Fragment;PP Fragment Sans;sans-serif"/>
          <w:b/>
          <w:color w:val="000000"/>
          <w:sz w:val="23"/>
        </w:rPr>
        <w:t xml:space="preserve">Condensed Consolidated Balance Sheets </w:t>
      </w:r>
      <w:r>
        <w:rPr>
          <w:rFonts w:ascii="PP Fragment;PP Fragment Sans;sans-serif" w:hAnsi="PP Fragment;PP Fragment Sans;sans-serif"/>
          <w:b/>
          <w:color w:val="000000"/>
          <w:sz w:val="15"/>
        </w:rPr>
        <w:t>(1)</w:t>
      </w:r>
      <w:r>
        <w:rPr>
          <w:rFonts w:ascii="Times New Roman" w:hAnsi="Times New Roman"/>
          <w:color w:val="000000"/>
          <w:sz w:val="20"/>
        </w:rPr>
        <w:t xml:space="preserve"> </w:t>
      </w:r>
    </w:p>
    <w:p>
      <w:pPr>
        <w:pStyle w:val="TextBody"/>
        <w:bidi w:val="0"/>
        <w:jc w:val="left"/>
        <w:rPr>
          <w:rFonts w:ascii="PP Fragment;PP Fragment Sans Light;sans-serif" w:hAnsi="PP Fragment;PP Fragment Sans Light;sans-serif"/>
          <w:b w:val="false"/>
          <w:i/>
          <w:color w:val="000000"/>
          <w:sz w:val="19"/>
        </w:rPr>
      </w:pPr>
      <w:r>
        <w:rPr>
          <w:rFonts w:ascii="PP Fragment;PP Fragment Sans Light;sans-serif" w:hAnsi="PP Fragment;PP Fragment Sans Light;sans-serif"/>
          <w:b w:val="false"/>
          <w:i/>
          <w:color w:val="000000"/>
          <w:sz w:val="19"/>
        </w:rPr>
        <w:t>(Unaudited, Dollars in thousands, except shares)</w:t>
      </w:r>
    </w:p>
    <w:tbl>
      <w:tblPr>
        <w:tblW w:w="10205" w:type="dxa"/>
        <w:jc w:val="left"/>
        <w:tblInd w:w="0" w:type="dxa"/>
        <w:tblLayout w:type="fixed"/>
        <w:tblCellMar>
          <w:top w:w="28" w:type="dxa"/>
          <w:left w:w="28" w:type="dxa"/>
          <w:bottom w:w="28" w:type="dxa"/>
          <w:right w:w="28" w:type="dxa"/>
        </w:tblCellMar>
      </w:tblPr>
      <w:tblGrid>
        <w:gridCol w:w="6832"/>
        <w:gridCol w:w="146"/>
        <w:gridCol w:w="212"/>
        <w:gridCol w:w="999"/>
        <w:gridCol w:w="166"/>
        <w:gridCol w:w="146"/>
        <w:gridCol w:w="244"/>
        <w:gridCol w:w="1147"/>
        <w:gridCol w:w="313"/>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FFFFFF"/>
                <w:sz w:val="16"/>
              </w:rPr>
            </w:pPr>
            <w:r>
              <w:rPr>
                <w:rFonts w:ascii="DM Sans;sans-serif" w:hAnsi="DM Sans;sans-serif"/>
                <w:color w:val="FFFFFF"/>
                <w:sz w:val="16"/>
              </w:rPr>
              <w:t>As of: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2"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June 30, 2026</w:t>
            </w:r>
          </w:p>
        </w:tc>
        <w:tc>
          <w:tcPr>
            <w:tcW w:w="16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DDE8F7"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December 31, 2025</w:t>
            </w:r>
          </w:p>
        </w:tc>
        <w:tc>
          <w:tcPr>
            <w:tcW w:w="313"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Investments in real estate,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3,089,483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3,421,366</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324,002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339,414</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1,176,836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1,147,236</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30,564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32,969</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61,366</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61,366</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4,682,251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5,002,351</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(1,004,812</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(1,018,597</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3,677,439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3,983,754</w:t>
            </w:r>
          </w:p>
        </w:tc>
        <w:tc>
          <w:tcPr>
            <w:tcW w:w="313"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Real estate under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194,222</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167,051</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3,871,661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4,150,805</w:t>
            </w:r>
          </w:p>
        </w:tc>
        <w:tc>
          <w:tcPr>
            <w:tcW w:w="313"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Notes receivable, net ($2,180 and $1,638 of allowance for credit losses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154,501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154,892</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263,598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161,955</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194,661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223,980</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21,589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23,594</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32,960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38,818</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16,272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18,081</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55,430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65,027</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6,835</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9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4,617,507</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47"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4,837,152</w:t>
            </w:r>
          </w:p>
        </w:tc>
        <w:tc>
          <w:tcPr>
            <w:tcW w:w="31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Mortgage and other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480,045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893,944</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Unsecured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1,113,650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879,462</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Unsecured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43,323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89,500</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229,641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273,479</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liabilities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23,852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25,972</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Dividends and distributions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29,185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28,526</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Distributions in excess of income from, and 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16,914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16,838</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999"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1,936,610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1147"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2,207,721</w:t>
            </w:r>
          </w:p>
        </w:tc>
        <w:tc>
          <w:tcPr>
            <w:tcW w:w="313"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4,499</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9,113</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Common shares, $0.001 par value per share, authorized 200,000,000 shares, issued and outstanding 137,329,896 and 131,036,560 shares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131</w:t>
            </w:r>
          </w:p>
        </w:tc>
        <w:tc>
          <w:tcPr>
            <w:tcW w:w="313"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2,829,749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2,710,651</w:t>
            </w:r>
          </w:p>
        </w:tc>
        <w:tc>
          <w:tcPr>
            <w:tcW w:w="313"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25,838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15,585</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Distributions in excess of 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(519,027</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(500,720</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2,336,697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2,225,647</w:t>
            </w:r>
          </w:p>
        </w:tc>
        <w:tc>
          <w:tcPr>
            <w:tcW w:w="31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339,701</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394,671</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2,676,398</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2,620,318</w:t>
            </w:r>
          </w:p>
        </w:tc>
        <w:tc>
          <w:tcPr>
            <w:tcW w:w="31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liabilities, redeemable noncontrolling interests,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9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4,617,507</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47"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4,837,152</w:t>
            </w:r>
          </w:p>
        </w:tc>
        <w:tc>
          <w:tcPr>
            <w:tcW w:w="31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032" w:type="dxa"/>
        <w:jc w:val="left"/>
        <w:tblInd w:w="0" w:type="dxa"/>
        <w:tblLayout w:type="fixed"/>
        <w:tblCellMar>
          <w:top w:w="28" w:type="dxa"/>
          <w:left w:w="28" w:type="dxa"/>
          <w:bottom w:w="28" w:type="dxa"/>
          <w:right w:w="28" w:type="dxa"/>
        </w:tblCellMar>
      </w:tblPr>
      <w:tblGrid>
        <w:gridCol w:w="3641"/>
        <w:gridCol w:w="391"/>
      </w:tblGrid>
      <w:tr>
        <w:trPr/>
        <w:tc>
          <w:tcPr>
            <w:tcW w:w="36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247900" cy="371475"/>
                          </a:xfrm>
                          <a:prstGeom prst="rect">
                            <a:avLst/>
                          </a:prstGeom>
                        </pic:spPr>
                      </pic:pic>
                    </a:graphicData>
                  </a:graphic>
                </wp:inline>
              </w:drawing>
            </w:r>
          </w:p>
        </w:tc>
        <w:tc>
          <w:tcPr>
            <w:tcW w:w="39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Acadia Realty Trust and Subsidiaries</w:t>
      </w:r>
    </w:p>
    <w:p>
      <w:pPr>
        <w:pStyle w:val="TextBody"/>
        <w:bidi w:val="0"/>
        <w:spacing w:before="240" w:after="283"/>
        <w:jc w:val="left"/>
        <w:rPr>
          <w:rFonts w:ascii="PP Fragment;PP Fragment Sans Light;sans-serif" w:hAnsi="PP Fragment;PP Fragment Sans Light;sans-serif"/>
          <w:b w:val="false"/>
          <w:color w:val="000000"/>
          <w:sz w:val="24"/>
        </w:rPr>
      </w:pPr>
      <w:bookmarkStart w:id="6" w:name="notes_to_fin_highlights"/>
      <w:bookmarkEnd w:id="6"/>
      <w:r>
        <w:rPr>
          <w:rFonts w:ascii="PP Fragment;PP Fragment Sans Light;sans-serif" w:hAnsi="PP Fragment;PP Fragment Sans Light;sans-serif"/>
          <w:b w:val="false"/>
          <w:color w:val="000000"/>
          <w:sz w:val="24"/>
        </w:rPr>
        <w:t>Notes to Financial Highlights:</w:t>
      </w:r>
    </w:p>
    <w:p>
      <w:pPr>
        <w:pStyle w:val="TextBody"/>
        <w:bidi w:val="0"/>
        <w:spacing w:before="120" w:after="283"/>
        <w:jc w:val="both"/>
        <w:rPr>
          <w:rFonts w:ascii="PP Fragment Sans Light;sans-serif" w:hAnsi="PP Fragment Sans Light;sans-serif"/>
          <w:b w:val="false"/>
          <w:color w:val="000000"/>
          <w:sz w:val="18"/>
        </w:rPr>
      </w:pPr>
      <w:r>
        <w:rPr>
          <w:rFonts w:ascii="PP Fragment Sans Light;sans-serif" w:hAnsi="PP Fragment Sans Light;sans-serif"/>
          <w:b w:val="false"/>
          <w:color w:val="000000"/>
          <w:sz w:val="18"/>
        </w:rPr>
        <w:t>(1)</w:t>
      </w:r>
    </w:p>
    <w:p>
      <w:pPr>
        <w:pStyle w:val="TextBody"/>
        <w:bidi w:val="0"/>
        <w:spacing w:before="120" w:after="283"/>
        <w:jc w:val="both"/>
        <w:rPr/>
      </w:pPr>
      <w:r>
        <w:rPr>
          <w:rFonts w:ascii="PP Fragment;PP Fragment Sans Light;sans-serif" w:hAnsi="PP Fragment;PP Fragment Sans Light;sans-serif"/>
          <w:b w:val="false"/>
          <w:color w:val="000000"/>
          <w:sz w:val="18"/>
        </w:rPr>
        <w:t xml:space="preserve">For additional information and analysis concerning the Company’s balance sheet and results of operations, reference is made to the Company’s quarterly supplemental disclosures for the relevant periods furnished on the Company's Current Report on Form 8-K, which is available on the SEC's website at www.sec.gov and on the Company’s website at </w:t>
      </w:r>
      <w:r>
        <w:rPr>
          <w:rFonts w:ascii="PP Fragment;PP Fragment Sans Light;sans-serif" w:hAnsi="PP Fragment;PP Fragment Sans Light;sans-serif"/>
          <w:b w:val="false"/>
          <w:sz w:val="18"/>
        </w:rPr>
        <w:t>www.acadiarealty.com</w:t>
      </w:r>
      <w:r>
        <w:rPr>
          <w:rFonts w:ascii="PP Fragment;PP Fragment Sans Light;sans-serif" w:hAnsi="PP Fragment;PP Fragment Sans Light;sans-serif"/>
          <w:b w:val="false"/>
          <w:color w:val="4472C4"/>
          <w:sz w:val="18"/>
        </w:rPr>
        <w:t>.</w:t>
      </w:r>
    </w:p>
    <w:p>
      <w:pPr>
        <w:pStyle w:val="TextBody"/>
        <w:bidi w:val="0"/>
        <w:spacing w:before="120" w:after="283"/>
        <w:jc w:val="both"/>
        <w:rPr>
          <w:rFonts w:ascii="PP Fragment Sans Light;sans-serif" w:hAnsi="PP Fragment Sans Light;sans-serif"/>
          <w:b w:val="false"/>
          <w:color w:val="000000"/>
          <w:sz w:val="18"/>
        </w:rPr>
      </w:pPr>
      <w:r>
        <w:rPr>
          <w:rFonts w:ascii="PP Fragment Sans Light;sans-serif" w:hAnsi="PP Fragment Sans Light;sans-serif"/>
          <w:b w:val="false"/>
          <w:color w:val="000000"/>
          <w:sz w:val="18"/>
        </w:rPr>
        <w:t>(2)</w:t>
      </w:r>
    </w:p>
    <w:p>
      <w:pPr>
        <w:pStyle w:val="TextBody"/>
        <w:bidi w:val="0"/>
        <w:spacing w:before="120" w:after="283"/>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Diluted earnings per share reflects the potential dilution that could occur if securities or other contracts to issue common shares of the Company were exercised or converted into common shares. The effect of the conversion of units of limited partnership interest (“OP Units”) in Acadia Realty Limited Partnership, the operating partnership of the Company (the “Operating Partnership”), is not reflected in the above table; OP Units are exchangeable into common shares on a one-for-one basis. The income allocable to such OP units is allocated on the same basis and reflected as noncontrolling interests in the consolidated financial statements. As such, the assumed conversion of these OP Units would have no net impact on the determination of diluted earnings per share.</w:t>
      </w:r>
    </w:p>
    <w:p>
      <w:pPr>
        <w:pStyle w:val="TextBody"/>
        <w:bidi w:val="0"/>
        <w:spacing w:before="120" w:after="283"/>
        <w:jc w:val="both"/>
        <w:rPr>
          <w:rFonts w:ascii="PP Fragment Sans Light;sans-serif" w:hAnsi="PP Fragment Sans Light;sans-serif"/>
          <w:b w:val="false"/>
          <w:color w:val="000000"/>
          <w:sz w:val="18"/>
        </w:rPr>
      </w:pPr>
      <w:r>
        <w:rPr>
          <w:rFonts w:ascii="PP Fragment Sans Light;sans-serif" w:hAnsi="PP Fragment Sans Light;sans-serif"/>
          <w:b w:val="false"/>
          <w:color w:val="000000"/>
          <w:sz w:val="18"/>
        </w:rPr>
        <w:t>(3)</w:t>
      </w:r>
    </w:p>
    <w:p>
      <w:pPr>
        <w:pStyle w:val="TextBody"/>
        <w:bidi w:val="0"/>
        <w:spacing w:before="120" w:after="283"/>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 xml:space="preserve">The Company considers funds from operations (“FFO”) as defined by the National Association of Real Estate Investment Trusts (“NAREIT”) and net property operating income (“NOI”) to be appropriate supplemental disclosures of operating performance for an equity REIT due to their widespread acceptance and use within the REIT and analyst communities. In addition, the Company believes that given the atypical nature of certain unusual items (as further described below), “FFO As Adjusted” is also an appropriate supplemental disclosure of operating performance. FFO, FFO As Adjusted and NOI are presented to assist investors in analyzing the performance of the Company. The Company believes they are helpful as they exclude various items included in net income (loss) that are not indicative of operating performance, such as (i) gains (losses) from sales of real estate properties; (ii) depreciation and amortization, (iii) impairment of depreciable real estate assets related to the Company’s main business and land held for the development of property, and (iv) items that management believes are not reflective of ongoing core operating results, including non-comparable revenues, expenses, gains, and losses. While these adjustments may be subject to fluctuations from period to period, with both positive and negative short-term impacts, management believes that the removal of the impacts of these items enhances our understanding of the operating performance of our properties. The Company’s method of calculating FFO, FFO As Adjusted and NOI may be different from methods used by other REITs and, accordingly, may not be comparable to such other REITs. Neither FFO nor FFO As Adjusted represent cash generated from operations as defined by generally accepted accounting principles (“GAAP”), nor are indicative of cash available to fund all cash needs, including distributions. Such measures should not be considered as an alternative to net income (loss) for the purpose of evaluating the Company’s performance or to cash flows as a measure of liquidity. </w:t>
      </w:r>
    </w:p>
    <w:p>
      <w:pPr>
        <w:pStyle w:val="TextBody"/>
        <w:bidi w:val="0"/>
        <w:spacing w:before="120" w:after="283"/>
        <w:jc w:val="both"/>
        <w:rPr>
          <w:rFonts w:ascii="PP Fragment Sans Light;sans-serif" w:hAnsi="PP Fragment Sans Light;sans-serif"/>
          <w:b w:val="false"/>
          <w:color w:val="000000"/>
          <w:sz w:val="18"/>
        </w:rPr>
      </w:pPr>
      <w:r>
        <w:rPr>
          <w:rFonts w:ascii="PP Fragment Sans Light;sans-serif" w:hAnsi="PP Fragment Sans Light;sans-serif"/>
          <w:b w:val="false"/>
          <w:color w:val="000000"/>
          <w:sz w:val="18"/>
        </w:rPr>
        <w:t>a.</w:t>
      </w:r>
    </w:p>
    <w:p>
      <w:pPr>
        <w:pStyle w:val="TextBody"/>
        <w:bidi w:val="0"/>
        <w:spacing w:before="120" w:after="283"/>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 xml:space="preserve">Consistent with the NAREIT definition, the Company defines FFO As net income (computed in accordance with GAAP) excluding: (i) gains (losses) from sales of real estate properties; (ii) depreciation and amortization; (iii) impairment of real estate assets related to the Company’s main business and land held for the development of property for its operating portfolio; (iv) gains and losses from change in control; and (v) adjustments for unconsolidated partnerships and joint ventures. </w:t>
      </w:r>
    </w:p>
    <w:p>
      <w:pPr>
        <w:pStyle w:val="TextBody"/>
        <w:bidi w:val="0"/>
        <w:spacing w:before="120" w:after="283"/>
        <w:jc w:val="both"/>
        <w:rPr>
          <w:rFonts w:ascii="PP Fragment Sans Light;sans-serif" w:hAnsi="PP Fragment Sans Light;sans-serif"/>
          <w:b w:val="false"/>
          <w:color w:val="000000"/>
          <w:sz w:val="18"/>
        </w:rPr>
      </w:pPr>
      <w:r>
        <w:rPr>
          <w:rFonts w:ascii="PP Fragment Sans Light;sans-serif" w:hAnsi="PP Fragment Sans Light;sans-serif"/>
          <w:b w:val="false"/>
          <w:color w:val="000000"/>
          <w:sz w:val="18"/>
        </w:rPr>
        <w:t>b.</w:t>
      </w:r>
    </w:p>
    <w:p>
      <w:pPr>
        <w:pStyle w:val="TextBody"/>
        <w:bidi w:val="0"/>
        <w:spacing w:before="120" w:after="283"/>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 xml:space="preserve">Also consistent with NAREIT’s definition of FFO, the Company has elected to include: the impact of the unrealized holding gains (losses) incidental to its main business, including those related to its investments in Albertsons in FFO. </w:t>
      </w:r>
    </w:p>
    <w:p>
      <w:pPr>
        <w:pStyle w:val="TextBody"/>
        <w:bidi w:val="0"/>
        <w:spacing w:before="120" w:after="283"/>
        <w:jc w:val="both"/>
        <w:rPr>
          <w:rFonts w:ascii="PP Fragment Sans Light;sans-serif" w:hAnsi="PP Fragment Sans Light;sans-serif"/>
          <w:b w:val="false"/>
          <w:color w:val="000000"/>
          <w:sz w:val="18"/>
        </w:rPr>
      </w:pPr>
      <w:r>
        <w:rPr>
          <w:rFonts w:ascii="PP Fragment Sans Light;sans-serif" w:hAnsi="PP Fragment Sans Light;sans-serif"/>
          <w:b w:val="false"/>
          <w:color w:val="000000"/>
          <w:sz w:val="18"/>
        </w:rPr>
        <w:t>c.</w:t>
      </w:r>
    </w:p>
    <w:p>
      <w:pPr>
        <w:pStyle w:val="TextBody"/>
        <w:bidi w:val="0"/>
        <w:spacing w:before="120" w:after="283"/>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FFO As Adjusted (new metric starting in 2026) begins with the NAREIT definition of FFO and adjusts FFO (or as an adjustment to the numerator within its earnings per share calculations) to take into account FFO without regard to certain unusual items including charges, income and gains that management believes are not comparable and indicative of the results of the Company’s operating real estate portfolio.</w:t>
      </w:r>
    </w:p>
    <w:p>
      <w:pPr>
        <w:pStyle w:val="TextBody"/>
        <w:bidi w:val="0"/>
        <w:spacing w:before="120" w:after="283"/>
        <w:jc w:val="both"/>
        <w:rPr>
          <w:rFonts w:ascii="PP Fragment Sans Light;sans-serif" w:hAnsi="PP Fragment Sans Light;sans-serif"/>
          <w:b w:val="false"/>
          <w:color w:val="000000"/>
          <w:sz w:val="18"/>
        </w:rPr>
      </w:pPr>
      <w:r>
        <w:rPr>
          <w:rFonts w:ascii="PP Fragment Sans Light;sans-serif" w:hAnsi="PP Fragment Sans Light;sans-serif"/>
          <w:b w:val="false"/>
          <w:color w:val="000000"/>
          <w:sz w:val="18"/>
        </w:rPr>
        <w:t>(4)</w:t>
      </w:r>
    </w:p>
    <w:p>
      <w:pPr>
        <w:pStyle w:val="TextBody"/>
        <w:bidi w:val="0"/>
        <w:spacing w:before="120" w:after="283"/>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The pro-rata share of NOI is based upon the Operating Partnership’s stated ownership percentages in each venture’s operating agreement and does not include the Operating Partnership's share of NOI from unconsolidated partnerships and joint ventures within Investment Management.</w:t>
      </w:r>
    </w:p>
    <w:tbl>
      <w:tblPr>
        <w:tblW w:w="4032" w:type="dxa"/>
        <w:jc w:val="left"/>
        <w:tblInd w:w="0" w:type="dxa"/>
        <w:tblLayout w:type="fixed"/>
        <w:tblCellMar>
          <w:top w:w="28" w:type="dxa"/>
          <w:left w:w="28" w:type="dxa"/>
          <w:bottom w:w="28" w:type="dxa"/>
          <w:right w:w="28" w:type="dxa"/>
        </w:tblCellMar>
      </w:tblPr>
      <w:tblGrid>
        <w:gridCol w:w="3641"/>
        <w:gridCol w:w="391"/>
      </w:tblGrid>
      <w:tr>
        <w:trPr/>
        <w:tc>
          <w:tcPr>
            <w:tcW w:w="36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7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247900" cy="371475"/>
                          </a:xfrm>
                          <a:prstGeom prst="rect">
                            <a:avLst/>
                          </a:prstGeom>
                        </pic:spPr>
                      </pic:pic>
                    </a:graphicData>
                  </a:graphic>
                </wp:inline>
              </w:drawing>
            </w:r>
          </w:p>
        </w:tc>
        <w:tc>
          <w:tcPr>
            <w:tcW w:w="391" w:type="dxa"/>
            <w:tcBorders/>
            <w:tcMar>
              <w:top w:w="0" w:type="dxa"/>
              <w:left w:w="0" w:type="dxa"/>
              <w:bottom w:w="0" w:type="dxa"/>
              <w:right w:w="0" w:type="dxa"/>
            </w:tcMar>
            <w:vAlign w:val="center"/>
          </w:tcPr>
          <w:p>
            <w:pPr>
              <w:pStyle w:val="TableContents"/>
              <w:bidi w:val="0"/>
              <w:jc w:val="right"/>
              <w:rPr/>
            </w:pPr>
            <w:r>
              <w:rPr/>
              <w:t> </w:t>
            </w:r>
          </w:p>
          <w:p>
            <w:pPr>
              <w:pStyle w:val="TableContents"/>
              <w:bidi w:val="0"/>
              <w:jc w:val="right"/>
              <w:rPr/>
            </w:pPr>
            <w:r>
              <w:rPr/>
              <w:t> </w:t>
            </w:r>
          </w:p>
          <w:p>
            <w:pPr>
              <w:pStyle w:val="TableContents"/>
              <w:bidi w:val="0"/>
              <w:spacing w:before="0" w:after="283"/>
              <w:jc w:val="right"/>
              <w:rPr>
                <w:rFonts w:ascii="Source Sans Pro;sans-serif" w:hAnsi="Source Sans Pro;sans-serif"/>
                <w:b/>
                <w:color w:val="F73929"/>
                <w:sz w:val="18"/>
              </w:rPr>
            </w:pPr>
            <w:r>
              <w:rPr>
                <w:rFonts w:ascii="Source Sans Pro;sans-serif" w:hAnsi="Source Sans Pro;sans-serif"/>
                <w:b/>
                <w:color w:val="F73929"/>
                <w:sz w:val="18"/>
              </w:rPr>
              <w:t>12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 w:name="akr-ex99_2.htm"/>
      <w:bookmarkStart w:id="8" w:name="ksakrex99_2"/>
      <w:bookmarkEnd w:id="7"/>
      <w:bookmarkEnd w:id="8"/>
      <w:r>
        <w:rPr/>
        <w:t> </w:t>
      </w:r>
      <w:r>
        <w:br w:type="page"/>
      </w:r>
    </w:p>
    <w:p>
      <w:pPr>
        <w:pStyle w:val="TextBody"/>
        <w:bidi w:val="0"/>
        <w:jc w:val="left"/>
        <w:rPr/>
      </w:pPr>
      <w:r>
        <w:rPr/>
        <w:t> </w:t>
      </w:r>
    </w:p>
    <w:p>
      <w:pPr>
        <w:pStyle w:val="TextBody"/>
        <w:bidi w:val="0"/>
        <w:jc w:val="right"/>
        <w:rPr>
          <w:rFonts w:ascii="Times New Roman" w:hAnsi="Times New Roman"/>
          <w:sz w:val="20"/>
        </w:rPr>
      </w:pPr>
      <w:r>
        <w:rPr>
          <w:rFonts w:ascii="PP Fragment;PP Fragment Sans;sans-serif" w:hAnsi="PP Fragment;PP Fragment Sans;sans-serif"/>
          <w:b/>
          <w:color w:val="000000"/>
          <w:sz w:val="22"/>
        </w:rPr>
        <w:t>Exhibit 99.2</w:t>
      </w:r>
      <w:r>
        <w:rPr>
          <w:rFonts w:ascii="Times New Roman" w:hAnsi="Times New Roman"/>
          <w:color w:val="000000"/>
          <w:sz w:val="20"/>
        </w:rPr>
        <w:t xml:space="preserve"> </w:t>
      </w:r>
    </w:p>
    <w:p>
      <w:pPr>
        <w:pStyle w:val="TextBody"/>
        <w:bidi w:val="0"/>
        <w:spacing w:before="100" w:after="100"/>
        <w:jc w:val="center"/>
        <w:rPr/>
      </w:pPr>
      <w:r>
        <w:rPr/>
        <w:drawing>
          <wp:inline distT="0" distB="0" distL="0" distR="0">
            <wp:extent cx="6448425" cy="8343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448425" cy="83439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484" w:type="dxa"/>
        <w:jc w:val="left"/>
        <w:tblInd w:w="0" w:type="dxa"/>
        <w:tblLayout w:type="fixed"/>
        <w:tblCellMar>
          <w:top w:w="28" w:type="dxa"/>
          <w:left w:w="28" w:type="dxa"/>
          <w:bottom w:w="28" w:type="dxa"/>
          <w:right w:w="28" w:type="dxa"/>
        </w:tblCellMar>
      </w:tblPr>
      <w:tblGrid>
        <w:gridCol w:w="3001"/>
        <w:gridCol w:w="146"/>
        <w:gridCol w:w="146"/>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sans-serif" w:hAnsi="PP Fragment;PP Fragment Sans;sans-serif"/>
                <w:b/>
                <w:color w:val="F73929"/>
                <w:sz w:val="28"/>
              </w:rPr>
            </w:pPr>
            <w:bookmarkStart w:id="9" w:name="table_of_contents"/>
            <w:bookmarkStart w:id="10" w:name="toc_page"/>
            <w:bookmarkEnd w:id="9"/>
            <w:bookmarkEnd w:id="10"/>
            <w:r>
              <w:rPr>
                <w:rFonts w:ascii="PP Fragment;PP Fragment Sans;sans-serif" w:hAnsi="PP Fragment;PP Fragment Sans;sans-serif"/>
                <w:b/>
                <w:color w:val="F73929"/>
                <w:sz w:val="28"/>
              </w:rPr>
              <w:t>Table of Contents</w:t>
            </w:r>
          </w:p>
        </w:tc>
        <w:tc>
          <w:tcPr>
            <w:tcW w:w="146"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F73929"/>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26"/>
        <w:gridCol w:w="679"/>
      </w:tblGrid>
      <w:tr>
        <w:trPr/>
        <w:tc>
          <w:tcPr>
            <w:tcW w:w="952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ind w:left="0" w:right="0" w:firstLine="27"/>
              <w:jc w:val="left"/>
              <w:rPr>
                <w:sz w:val="4"/>
                <w:szCs w:val="4"/>
              </w:rPr>
            </w:pPr>
            <w:r>
              <w:rPr>
                <w:sz w:val="4"/>
                <w:szCs w:val="4"/>
              </w:rPr>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I – Second Quarter 2026 Earnings Press Release</w:t>
            </w:r>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right"/>
              <w:rPr/>
            </w:pPr>
            <w:r>
              <w:rPr/>
              <w:t> </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II – Financial &amp; Operating Highlights</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mpany_information">
              <w:r>
                <w:rPr>
                  <w:rStyle w:val="InternetLink"/>
                  <w:rFonts w:ascii="PP Fragment;PP Fragment Sans Light;sans-serif" w:hAnsi="PP Fragment;PP Fragment Sans Light;sans-serif"/>
                  <w:b w:val="false"/>
                  <w:color w:val="000000"/>
                  <w:sz w:val="20"/>
                  <w:u w:val="single"/>
                </w:rPr>
                <w:t>Company Information</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highlights">
              <w:r>
                <w:rPr>
                  <w:rStyle w:val="InternetLink"/>
                  <w:rFonts w:ascii="PP Fragment;PP Fragment Sans Light;sans-serif" w:hAnsi="PP Fragment;PP Fragment Sans Light;sans-serif"/>
                  <w:b w:val="false"/>
                  <w:color w:val="000000"/>
                  <w:sz w:val="20"/>
                  <w:u w:val="single"/>
                </w:rPr>
                <w:t>Highlights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4</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market_capitalization">
              <w:r>
                <w:rPr>
                  <w:rStyle w:val="InternetLink"/>
                  <w:rFonts w:ascii="PP Fragment;PP Fragment Sans Light;sans-serif" w:hAnsi="PP Fragment;PP Fragment Sans Light;sans-serif"/>
                  <w:b w:val="false"/>
                  <w:color w:val="000000"/>
                  <w:sz w:val="20"/>
                  <w:u w:val="single"/>
                </w:rPr>
                <w:t>Market Capitalization</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5</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orward_offerings">
              <w:r>
                <w:rPr>
                  <w:rStyle w:val="InternetLink"/>
                  <w:rFonts w:ascii="PP Fragment;PP Fragment Sans Light;sans-serif" w:hAnsi="PP Fragment;PP Fragment Sans Light;sans-serif"/>
                  <w:b w:val="false"/>
                  <w:color w:val="000000"/>
                  <w:sz w:val="20"/>
                  <w:u w:val="single"/>
                </w:rPr>
                <w:t>Equity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6</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unds_from_operations">
              <w:r>
                <w:rPr>
                  <w:rStyle w:val="InternetLink"/>
                  <w:rFonts w:ascii="PP Fragment;PP Fragment Sans Light;sans-serif" w:hAnsi="PP Fragment;PP Fragment Sans Light;sans-serif"/>
                  <w:b w:val="false"/>
                  <w:color w:val="000000"/>
                  <w:sz w:val="20"/>
                  <w:u w:val="single"/>
                </w:rPr>
                <w:t>Funds from Operations (“FFO”), Funds From Operations As Adjusted, Adjusted Funds from Operations (“AFFO”)</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7</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ebitda">
              <w:r>
                <w:rPr>
                  <w:rStyle w:val="InternetLink"/>
                  <w:rFonts w:ascii="PP Fragment;PP Fragment Sans Light;sans-serif" w:hAnsi="PP Fragment;PP Fragment Sans Light;sans-serif"/>
                  <w:b w:val="false"/>
                  <w:color w:val="000000"/>
                  <w:sz w:val="20"/>
                  <w:u w:val="single"/>
                </w:rPr>
                <w:t>EBITDA</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8</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ame_property_net_op_income">
              <w:r>
                <w:rPr>
                  <w:rStyle w:val="InternetLink"/>
                  <w:rFonts w:ascii="PP Fragment;PP Fragment Sans Light;sans-serif" w:hAnsi="PP Fragment;PP Fragment Sans Light;sans-serif"/>
                  <w:b w:val="false"/>
                  <w:color w:val="000000"/>
                  <w:sz w:val="20"/>
                  <w:u w:val="single"/>
                </w:rPr>
                <w:t>Same Property Net Operating Income</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9</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new_and_renewal_rent_spreads">
              <w:r>
                <w:rPr>
                  <w:rStyle w:val="InternetLink"/>
                  <w:rFonts w:ascii="PP Fragment;PP Fragment Sans Light;sans-serif" w:hAnsi="PP Fragment;PP Fragment Sans Light;sans-serif"/>
                  <w:b w:val="false"/>
                  <w:color w:val="000000"/>
                  <w:sz w:val="20"/>
                  <w:u w:val="single"/>
                </w:rPr>
                <w:t>New and Renewal Rent Spreads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10</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transactional_activity">
              <w:r>
                <w:rPr>
                  <w:rStyle w:val="InternetLink"/>
                  <w:rFonts w:ascii="PP Fragment;PP Fragment Sans Light;sans-serif" w:hAnsi="PP Fragment;PP Fragment Sans Light;sans-serif"/>
                  <w:b w:val="false"/>
                  <w:color w:val="000000"/>
                  <w:sz w:val="20"/>
                  <w:u w:val="single"/>
                </w:rPr>
                <w:t>Transactional Activity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11</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guidance">
              <w:r>
                <w:rPr>
                  <w:rStyle w:val="InternetLink"/>
                  <w:rFonts w:ascii="PP Fragment;PP Fragment Sans Light;sans-serif" w:hAnsi="PP Fragment;PP Fragment Sans Light;sans-serif"/>
                  <w:b w:val="false"/>
                  <w:color w:val="000000"/>
                  <w:sz w:val="20"/>
                  <w:u w:val="single"/>
                </w:rPr>
                <w:t>2026 Guidance</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13</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III – Financial Statements and Data</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nsolidated_income_statement">
              <w:r>
                <w:rPr>
                  <w:rStyle w:val="InternetLink"/>
                  <w:rFonts w:ascii="PP Fragment;PP Fragment Sans Light;sans-serif" w:hAnsi="PP Fragment;PP Fragment Sans Light;sans-serif"/>
                  <w:b w:val="false"/>
                  <w:color w:val="000000"/>
                  <w:sz w:val="20"/>
                  <w:u w:val="single"/>
                </w:rPr>
                <w:t>Consolidated Statements of Operations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14</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tatements_of_ops_pro_rata">
              <w:r>
                <w:rPr>
                  <w:rStyle w:val="InternetLink"/>
                  <w:rFonts w:ascii="PP Fragment;PP Fragment Sans Light;sans-serif" w:hAnsi="PP Fragment;PP Fragment Sans Light;sans-serif"/>
                  <w:b w:val="false"/>
                  <w:color w:val="000000"/>
                  <w:sz w:val="20"/>
                  <w:u w:val="single"/>
                </w:rPr>
                <w:t>Statements of Operations - Pro-rata Adjustments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16</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nsolidated_balance_sheet">
              <w:r>
                <w:rPr>
                  <w:rStyle w:val="InternetLink"/>
                  <w:rFonts w:ascii="PP Fragment;PP Fragment Sans Light;sans-serif" w:hAnsi="PP Fragment;PP Fragment Sans Light;sans-serif"/>
                  <w:b w:val="false"/>
                  <w:color w:val="000000"/>
                  <w:sz w:val="20"/>
                  <w:u w:val="single"/>
                </w:rPr>
                <w:t>Consolidated Balance Sheet</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17</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balance_sheet_pro_rata">
              <w:r>
                <w:rPr>
                  <w:rStyle w:val="InternetLink"/>
                  <w:rFonts w:ascii="PP Fragment;PP Fragment Sans Light;sans-serif" w:hAnsi="PP Fragment;PP Fragment Sans Light;sans-serif"/>
                  <w:b w:val="false"/>
                  <w:color w:val="000000"/>
                  <w:sz w:val="20"/>
                  <w:u w:val="single"/>
                </w:rPr>
                <w:t>Balance Sheet - Pro-rata Adjustments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18</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ee_income">
              <w:r>
                <w:rPr>
                  <w:rStyle w:val="InternetLink"/>
                  <w:rFonts w:ascii="PP Fragment;PP Fragment Sans Light;sans-serif" w:hAnsi="PP Fragment;PP Fragment Sans Light;sans-serif"/>
                  <w:b w:val="false"/>
                  <w:color w:val="000000"/>
                  <w:sz w:val="20"/>
                  <w:u w:val="single"/>
                </w:rPr>
                <w:t>Fee Income Detail</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20</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structured_financing_portfolio">
              <w:r>
                <w:rPr>
                  <w:rStyle w:val="InternetLink"/>
                  <w:rFonts w:ascii="PP Fragment;PP Fragment Sans Light;sans-serif" w:hAnsi="PP Fragment;PP Fragment Sans Light;sans-serif"/>
                  <w:b w:val="false"/>
                  <w:color w:val="000000"/>
                  <w:sz w:val="20"/>
                  <w:u w:val="single"/>
                </w:rPr>
                <w:t>Structured Financing</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net_asset_valuation_information">
              <w:r>
                <w:rPr>
                  <w:rStyle w:val="InternetLink"/>
                  <w:rFonts w:ascii="PP Fragment;PP Fragment Sans Light;sans-serif" w:hAnsi="PP Fragment;PP Fragment Sans Light;sans-serif"/>
                  <w:b w:val="false"/>
                  <w:color w:val="000000"/>
                  <w:sz w:val="20"/>
                  <w:u w:val="single"/>
                </w:rPr>
                <w:t>Net Asset Valuation Information</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22</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development_and_redevelopment_activity">
              <w:r>
                <w:rPr>
                  <w:rStyle w:val="InternetLink"/>
                  <w:rFonts w:ascii="PP Fragment;PP Fragment Sans Light;sans-serif" w:hAnsi="PP Fragment;PP Fragment Sans Light;sans-serif"/>
                  <w:b w:val="false"/>
                  <w:color w:val="000000"/>
                  <w:sz w:val="20"/>
                  <w:u w:val="single"/>
                </w:rPr>
                <w:t>Development and Redevelopment Activity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23</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sans-serif" w:hAnsi="PP Fragment;PP Fragment Sans;sans-serif"/>
                <w:b/>
                <w:color w:val="4472C4"/>
                <w:sz w:val="20"/>
              </w:rPr>
              <w:t>Section IV – Capital Structure and Debt Analysis</w:t>
            </w:r>
            <w:r>
              <w:rPr>
                <w:rFonts w:ascii="Times New Roman" w:hAnsi="Times New Roman"/>
                <w:color w:val="4472C4"/>
                <w:sz w:val="20"/>
              </w:rPr>
              <w:t xml:space="preserve"> </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r>
              <w:rPr>
                <w:rFonts w:ascii="PP Fragment;PP Fragment Sans Light;sans-serif" w:hAnsi="PP Fragment;PP Fragment Sans Light;sans-serif"/>
                <w:b w:val="false"/>
                <w:color w:val="000000"/>
                <w:sz w:val="20"/>
                <w:u w:val="single"/>
              </w:rPr>
              <w:t xml:space="preserve">Debt </w:t>
            </w:r>
            <w:hyperlink w:anchor="portfolio_debt_summary">
              <w:r>
                <w:rPr>
                  <w:rStyle w:val="InternetLink"/>
                  <w:rFonts w:ascii="PP Fragment;PP Fragment Sans Light;sans-serif" w:hAnsi="PP Fragment;PP Fragment Sans Light;sans-serif"/>
                  <w:b w:val="false"/>
                  <w:color w:val="000080"/>
                  <w:sz w:val="20"/>
                  <w:u w:val="single"/>
                </w:rPr>
                <w:t>Summary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25</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r>
              <w:rPr>
                <w:rFonts w:ascii="PP Fragment;PP Fragment Sans Light;sans-serif" w:hAnsi="PP Fragment;PP Fragment Sans Light;sans-serif"/>
                <w:b w:val="false"/>
                <w:color w:val="000000"/>
                <w:sz w:val="20"/>
                <w:u w:val="single"/>
              </w:rPr>
              <w:t xml:space="preserve">Debt </w:t>
            </w:r>
            <w:hyperlink w:anchor="portfolio_debt_detail">
              <w:r>
                <w:rPr>
                  <w:rStyle w:val="InternetLink"/>
                  <w:rFonts w:ascii="PP Fragment;PP Fragment Sans Light;sans-serif" w:hAnsi="PP Fragment;PP Fragment Sans Light;sans-serif"/>
                  <w:b w:val="false"/>
                  <w:color w:val="000080"/>
                  <w:sz w:val="20"/>
                  <w:u w:val="single"/>
                </w:rPr>
                <w:t>Detail</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26</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r>
              <w:rPr>
                <w:rFonts w:ascii="PP Fragment;PP Fragment Sans Light;sans-serif" w:hAnsi="PP Fragment;PP Fragment Sans Light;sans-serif"/>
                <w:b w:val="false"/>
                <w:color w:val="000000"/>
                <w:sz w:val="20"/>
                <w:u w:val="single"/>
              </w:rPr>
              <w:t xml:space="preserve">Debt </w:t>
            </w:r>
            <w:hyperlink w:anchor="future_debt_maturities">
              <w:r>
                <w:rPr>
                  <w:rStyle w:val="InternetLink"/>
                  <w:rFonts w:ascii="PP Fragment;PP Fragment Sans Light;sans-serif" w:hAnsi="PP Fragment;PP Fragment Sans Light;sans-serif"/>
                  <w:b w:val="false"/>
                  <w:color w:val="000080"/>
                  <w:sz w:val="20"/>
                  <w:u w:val="single"/>
                </w:rPr>
                <w:t>Maturities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28</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nterest_rate_summary">
              <w:r>
                <w:rPr>
                  <w:rStyle w:val="InternetLink"/>
                  <w:rFonts w:ascii="PP Fragment;PP Fragment Sans Light;sans-serif" w:hAnsi="PP Fragment;PP Fragment Sans Light;sans-serif"/>
                  <w:b w:val="false"/>
                  <w:color w:val="000000"/>
                  <w:sz w:val="20"/>
                  <w:u w:val="single"/>
                </w:rPr>
                <w:t>Interest Rate Summary</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30</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sans-serif" w:hAnsi="PP Fragment;PP Fragment Sans;sans-serif"/>
                <w:b/>
                <w:color w:val="4472C4"/>
                <w:sz w:val="20"/>
              </w:rPr>
              <w:t>Section V – REIT Portfolio and Leasing Information</w:t>
            </w:r>
            <w:r>
              <w:rPr>
                <w:rFonts w:ascii="Times New Roman" w:hAnsi="Times New Roman"/>
                <w:color w:val="4472C4"/>
                <w:sz w:val="20"/>
              </w:rPr>
              <w:t xml:space="preserve"> </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properties">
              <w:r>
                <w:rPr>
                  <w:rStyle w:val="InternetLink"/>
                  <w:rFonts w:ascii="PP Fragment;PP Fragment Sans Light;sans-serif" w:hAnsi="PP Fragment;PP Fragment Sans Light;sans-serif"/>
                  <w:b w:val="false"/>
                  <w:color w:val="000000"/>
                  <w:sz w:val="20"/>
                  <w:u w:val="single"/>
                </w:rPr>
                <w:t>REIT Properties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31</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portfolio_top_tenants">
              <w:r>
                <w:rPr>
                  <w:rStyle w:val="InternetLink"/>
                  <w:rFonts w:ascii="PP Fragment;PP Fragment Sans Light;sans-serif" w:hAnsi="PP Fragment;PP Fragment Sans Light;sans-serif"/>
                  <w:b w:val="false"/>
                  <w:color w:val="000000"/>
                  <w:sz w:val="20"/>
                  <w:u w:val="single"/>
                </w:rPr>
                <w:t>REIT Top Tenants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35</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core_portfolio_lease_expirations">
              <w:r>
                <w:rPr>
                  <w:rStyle w:val="InternetLink"/>
                  <w:rFonts w:ascii="PP Fragment;PP Fragment Sans Light;sans-serif" w:hAnsi="PP Fragment;PP Fragment Sans Light;sans-serif"/>
                  <w:b w:val="false"/>
                  <w:color w:val="000000"/>
                  <w:sz w:val="20"/>
                  <w:u w:val="single"/>
                </w:rPr>
                <w:t>REIT Lease Expirations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36</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VI – Investment Management Platform</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fund_overview">
              <w:r>
                <w:rPr>
                  <w:rStyle w:val="InternetLink"/>
                  <w:rFonts w:ascii="PP Fragment;PP Fragment Sans Light;sans-serif" w:hAnsi="PP Fragment;PP Fragment Sans Light;sans-serif"/>
                  <w:b w:val="false"/>
                  <w:color w:val="000000"/>
                  <w:sz w:val="20"/>
                  <w:u w:val="single"/>
                </w:rPr>
                <w:t>Fund Overview</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37</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nvestment_management_properties">
              <w:r>
                <w:rPr>
                  <w:rStyle w:val="InternetLink"/>
                  <w:rFonts w:ascii="PP Fragment;PP Fragment Sans Light;sans-serif" w:hAnsi="PP Fragment;PP Fragment Sans Light;sans-serif"/>
                  <w:b w:val="false"/>
                  <w:color w:val="000000"/>
                  <w:sz w:val="20"/>
                  <w:u w:val="single"/>
                </w:rPr>
                <w:t>Investment Management Properties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38</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nvestment_mgt_lease_exp">
              <w:r>
                <w:rPr>
                  <w:rStyle w:val="InternetLink"/>
                  <w:rFonts w:ascii="PP Fragment;PP Fragment Sans Light;sans-serif" w:hAnsi="PP Fragment;PP Fragment Sans Light;sans-serif"/>
                  <w:b w:val="false"/>
                  <w:color w:val="000000"/>
                  <w:sz w:val="20"/>
                  <w:u w:val="single"/>
                </w:rPr>
                <w:t>Investment Management Lease Expirations</w:t>
              </w:r>
            </w:hyperlink>
          </w:p>
        </w:tc>
        <w:tc>
          <w:tcPr>
            <w:tcW w:w="679"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41</w:t>
            </w:r>
          </w:p>
        </w:tc>
      </w:tr>
      <w:tr>
        <w:trPr/>
        <w:tc>
          <w:tcPr>
            <w:tcW w:w="9526"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Section VII – Other Information</w:t>
            </w:r>
          </w:p>
        </w:tc>
        <w:tc>
          <w:tcPr>
            <w:tcW w:w="679"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9526" w:type="dxa"/>
            <w:tcBorders/>
            <w:tcMar>
              <w:top w:w="0" w:type="dxa"/>
              <w:left w:w="0" w:type="dxa"/>
              <w:bottom w:w="0" w:type="dxa"/>
              <w:right w:w="0" w:type="dxa"/>
            </w:tcMar>
            <w:vAlign w:val="center"/>
          </w:tcPr>
          <w:p>
            <w:pPr>
              <w:pStyle w:val="TableContents"/>
              <w:bidi w:val="0"/>
              <w:spacing w:before="0" w:after="283"/>
              <w:ind w:left="0" w:right="0" w:firstLine="288"/>
              <w:jc w:val="left"/>
              <w:rPr/>
            </w:pPr>
            <w:hyperlink w:anchor="imp_notes">
              <w:r>
                <w:rPr>
                  <w:rStyle w:val="InternetLink"/>
                  <w:rFonts w:ascii="PP Fragment;PP Fragment Sans Light;sans-serif" w:hAnsi="PP Fragment;PP Fragment Sans Light;sans-serif"/>
                  <w:b w:val="false"/>
                  <w:color w:val="000000"/>
                  <w:sz w:val="20"/>
                  <w:u w:val="single"/>
                </w:rPr>
                <w:t>Important Notes</w:t>
              </w:r>
            </w:hyperlink>
          </w:p>
        </w:tc>
        <w:tc>
          <w:tcPr>
            <w:tcW w:w="679"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43</w:t>
            </w:r>
          </w:p>
        </w:tc>
      </w:tr>
    </w:tbl>
    <w:p>
      <w:pPr>
        <w:pStyle w:val="TextBody"/>
        <w:bidi w:val="0"/>
        <w:jc w:val="center"/>
        <w:rPr/>
      </w:pPr>
      <w:r>
        <w:rPr/>
        <w:t> </w:t>
      </w:r>
    </w:p>
    <w:p>
      <w:pPr>
        <w:pStyle w:val="TextBody"/>
        <w:bidi w:val="0"/>
        <w:jc w:val="center"/>
        <w:rPr>
          <w:rFonts w:ascii="Times New Roman" w:hAnsi="Times New Roman"/>
          <w:sz w:val="20"/>
        </w:rPr>
      </w:pPr>
      <w:r>
        <w:rPr>
          <w:rFonts w:ascii="PP Fragment;PP Fragment Sans Light;sans-serif" w:hAnsi="PP Fragment;PP Fragment Sans Light;sans-serif"/>
          <w:b/>
          <w:color w:val="828282"/>
          <w:sz w:val="20"/>
        </w:rPr>
        <w:t>Visit</w:t>
      </w:r>
      <w:r>
        <w:rPr>
          <w:rFonts w:ascii="Times New Roman" w:hAnsi="Times New Roman"/>
          <w:color w:val="000000"/>
          <w:sz w:val="20"/>
        </w:rPr>
        <w:t xml:space="preserve"> </w:t>
      </w:r>
      <w:r>
        <w:rPr>
          <w:rFonts w:ascii="PP Fragment;PP Fragment Sans Light;sans-serif" w:hAnsi="PP Fragment;PP Fragment Sans Light;sans-serif"/>
          <w:b/>
          <w:sz w:val="20"/>
        </w:rPr>
        <w:t>www.acadiarealty.com</w:t>
      </w:r>
      <w:r>
        <w:rPr>
          <w:rFonts w:ascii="Times New Roman" w:hAnsi="Times New Roman"/>
          <w:color w:val="000000"/>
          <w:sz w:val="20"/>
        </w:rPr>
        <w:t xml:space="preserve"> </w:t>
      </w:r>
      <w:r>
        <w:rPr>
          <w:rFonts w:ascii="PP Fragment;PP Fragment Sans Light;sans-serif" w:hAnsi="PP Fragment;PP Fragment Sans Light;sans-serif"/>
          <w:b/>
          <w:color w:val="828282"/>
          <w:sz w:val="20"/>
        </w:rPr>
        <w:t>for additional investor and portfolio information.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841" w:type="dxa"/>
        <w:jc w:val="left"/>
        <w:tblInd w:w="0" w:type="dxa"/>
        <w:tblLayout w:type="fixed"/>
        <w:tblCellMar>
          <w:top w:w="28" w:type="dxa"/>
          <w:left w:w="28" w:type="dxa"/>
          <w:bottom w:w="28" w:type="dxa"/>
          <w:right w:w="28" w:type="dxa"/>
        </w:tblCellMar>
      </w:tblPr>
      <w:tblGrid>
        <w:gridCol w:w="188"/>
        <w:gridCol w:w="173"/>
        <w:gridCol w:w="3523"/>
        <w:gridCol w:w="173"/>
        <w:gridCol w:w="3673"/>
        <w:gridCol w:w="173"/>
        <w:gridCol w:w="2938"/>
      </w:tblGrid>
      <w:tr>
        <w:trPr/>
        <w:tc>
          <w:tcPr>
            <w:tcW w:w="1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bottom w:val="single" w:sz="12" w:space="0" w:color="F73929"/>
            </w:tcBorders>
            <w:tcMar>
              <w:top w:w="0" w:type="dxa"/>
              <w:left w:w="0" w:type="dxa"/>
              <w:right w:w="0" w:type="dxa"/>
            </w:tcMar>
            <w:vAlign w:val="center"/>
          </w:tcPr>
          <w:p>
            <w:pPr>
              <w:pStyle w:val="TableContents"/>
              <w:bidi w:val="0"/>
              <w:spacing w:before="0" w:after="283"/>
              <w:ind w:left="0" w:right="0" w:firstLine="27"/>
              <w:jc w:val="left"/>
              <w:rPr>
                <w:rFonts w:ascii="PP Fragment;PP Fragment Sans;sans-serif" w:hAnsi="PP Fragment;PP Fragment Sans;sans-serif"/>
                <w:b/>
                <w:color w:val="F73929"/>
                <w:sz w:val="28"/>
              </w:rPr>
            </w:pPr>
            <w:bookmarkStart w:id="11" w:name="company_information"/>
            <w:bookmarkEnd w:id="11"/>
            <w:r>
              <w:rPr>
                <w:rFonts w:ascii="PP Fragment;PP Fragment Sans;sans-serif" w:hAnsi="PP Fragment;PP Fragment Sans;sans-serif"/>
                <w:b/>
                <w:color w:val="F73929"/>
                <w:sz w:val="28"/>
              </w:rPr>
              <w:t>Company Information</w:t>
            </w:r>
          </w:p>
        </w:tc>
        <w:tc>
          <w:tcPr>
            <w:tcW w:w="173" w:type="dxa"/>
            <w:tcBorders>
              <w:bottom w:val="single" w:sz="12" w:space="0" w:color="F73929"/>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6784" w:type="dxa"/>
            <w:gridSpan w:val="3"/>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0841" w:type="dxa"/>
            <w:gridSpan w:val="7"/>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PP Fragment;PP Fragment Sans Light;sans-serif" w:hAnsi="PP Fragment;PP Fragment Sans Light;sans-serif"/>
                <w:b w:val="false"/>
                <w:color w:val="000000"/>
                <w:sz w:val="20"/>
              </w:rPr>
              <w:t xml:space="preserve">Acadia Realty Trust is an equity real estate investment trust focused on delivering long-term, profitable growth. Acadia owns and operates a high-quality real estate portfolio of street and open-air retail properties in the nation's most dynamic retail corridors (“REIT Portfolio”), along with an investment management platform that targets opportunistic and value-add investments through its institutional co-investment vehicles (“Investment Management”). For further information, please visit </w:t>
            </w:r>
            <w:r>
              <w:rPr>
                <w:rFonts w:ascii="PP Fragment;PP Fragment Sans Light;sans-serif" w:hAnsi="PP Fragment;PP Fragment Sans Light;sans-serif"/>
                <w:b w:val="false"/>
                <w:sz w:val="20"/>
              </w:rPr>
              <w:t>www.acadiarealty.com</w:t>
            </w:r>
            <w:r>
              <w:rPr>
                <w:rFonts w:ascii="PP Fragment;PP Fragment Sans Light;sans-serif" w:hAnsi="PP Fragment;PP Fragment Sans Light;sans-serif"/>
                <w:b w:val="false"/>
                <w:color w:val="000000"/>
                <w:sz w:val="20"/>
              </w:rPr>
              <w:t>.</w:t>
            </w:r>
          </w:p>
        </w:tc>
      </w:tr>
      <w:tr>
        <w:trPr/>
        <w:tc>
          <w:tcPr>
            <w:tcW w:w="188"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bottom w:val="single" w:sz="4" w:space="0" w:color="828282"/>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120" w:after="283"/>
              <w:ind w:left="0" w:right="0" w:firstLine="27"/>
              <w:jc w:val="left"/>
              <w:rPr>
                <w:rFonts w:ascii="PP Fragment;PP Fragment Sans;sans-serif" w:hAnsi="PP Fragment;PP Fragment Sans;sans-serif"/>
                <w:b/>
                <w:color w:val="000000"/>
                <w:sz w:val="20"/>
              </w:rPr>
            </w:pPr>
            <w:r>
              <w:rPr>
                <w:rFonts w:ascii="PP Fragment;PP Fragment Sans;sans-serif" w:hAnsi="PP Fragment;PP Fragment Sans;sans-serif"/>
                <w:b/>
                <w:color w:val="000000"/>
                <w:sz w:val="20"/>
              </w:rPr>
              <w:t>Contact Information</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Corporate Headquarters</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Investor Relations</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New York Stock Exchange</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411 Theodore Fremd Avenue</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(914) 288-8100</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Symbol AKR</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Suite 300</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investorrelations@acadiarealty.com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Rye, NY 10580</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bottom w:val="single" w:sz="4" w:space="0" w:color="7F7F7F"/>
            </w:tcBorders>
            <w:tcMar>
              <w:top w:w="0" w:type="dxa"/>
              <w:left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120" w:after="283"/>
              <w:ind w:left="0" w:right="0" w:firstLine="27"/>
              <w:jc w:val="left"/>
              <w:rPr>
                <w:rFonts w:ascii="PP Fragment;PP Fragment Sans;sans-serif" w:hAnsi="PP Fragment;PP Fragment Sans;sans-serif"/>
                <w:b/>
                <w:color w:val="000000"/>
                <w:sz w:val="20"/>
              </w:rPr>
            </w:pPr>
            <w:r>
              <w:rPr>
                <w:rFonts w:ascii="PP Fragment;PP Fragment Sans;sans-serif" w:hAnsi="PP Fragment;PP Fragment Sans;sans-serif"/>
                <w:b/>
                <w:color w:val="000000"/>
                <w:sz w:val="20"/>
              </w:rPr>
              <w:t>Analyst Coverage</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Bank of America / Merrill Lynch</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Green Street Advisors</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KeyBanc Capital Markets, Inc.</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Samir Khanal</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(646) 855-1497</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Paulina Rojas Schmidt</w:t>
              <w:br/>
              <w:t>(949) 640-8780</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Todd Thomas</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(917) 368-2286</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samir.khanal@bofa.com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projasschmidt@greenstreet.com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tthomas@key.com</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Citigroup - Global Markets</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J.P. Morgan Securities, Inc.</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Ladenburg Thalmann</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Craig Mailman</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816-4471</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Michael W. Mueller, CFA</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622-6689</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Floris van Dijkum</w:t>
            </w:r>
          </w:p>
          <w:p>
            <w:pPr>
              <w:pStyle w:val="TableContents"/>
              <w:bidi w:val="0"/>
              <w:spacing w:before="0" w:after="283"/>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409-2075</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craig.mailman@citi.com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michael.w.mueller@jpmorgan.com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fvandijkum@ladenburg.com</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Compass Point Research &amp; Trading</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Jefferies</w:t>
            </w:r>
          </w:p>
        </w:tc>
        <w:tc>
          <w:tcPr>
            <w:tcW w:w="173" w:type="dxa"/>
            <w:tcBorders/>
            <w:tcMar>
              <w:top w:w="0" w:type="dxa"/>
              <w:left w:w="0" w:type="dxa"/>
              <w:bottom w:w="0" w:type="dxa"/>
              <w:right w:w="0" w:type="dxa"/>
            </w:tcMar>
            <w:vAlign w:val="center"/>
          </w:tcPr>
          <w:p>
            <w:pPr>
              <w:pStyle w:val="TableContents"/>
              <w:bidi w:val="0"/>
              <w:spacing w:before="0" w:after="283"/>
              <w:jc w:val="left"/>
              <w:rPr/>
            </w:pPr>
            <w:r>
              <w:rPr/>
              <w:t> </w:t>
            </w:r>
          </w:p>
        </w:tc>
        <w:tc>
          <w:tcPr>
            <w:tcW w:w="2938" w:type="dxa"/>
            <w:tcBorders/>
            <w:tcMar>
              <w:top w:w="0" w:type="dxa"/>
              <w:left w:w="0" w:type="dxa"/>
              <w:bottom w:w="0" w:type="dxa"/>
              <w:right w:w="0" w:type="dxa"/>
            </w:tcMar>
            <w:vAlign w:val="center"/>
          </w:tcPr>
          <w:p>
            <w:pPr>
              <w:pStyle w:val="TableContents"/>
              <w:bidi w:val="0"/>
              <w:spacing w:before="0" w:after="283"/>
              <w:jc w:val="left"/>
              <w:rPr>
                <w:rFonts w:ascii="PP Fragment;PP Fragment Sans;sans-serif" w:hAnsi="PP Fragment;PP Fragment Sans;sans-serif"/>
                <w:b/>
                <w:color w:val="4472C4"/>
                <w:sz w:val="20"/>
              </w:rPr>
            </w:pPr>
            <w:r>
              <w:rPr>
                <w:rFonts w:ascii="PP Fragment;PP Fragment Sans;sans-serif" w:hAnsi="PP Fragment;PP Fragment Sans;sans-serif"/>
                <w:b/>
                <w:color w:val="4472C4"/>
                <w:sz w:val="20"/>
              </w:rPr>
              <w:t>Truist</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Kenneth Billingsley</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(202) 534-1393</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Times New Roman" w:hAnsi="Times New Roman"/>
                <w:sz w:val="20"/>
              </w:rPr>
            </w:pPr>
            <w:r>
              <w:rPr>
                <w:rFonts w:ascii="PP Fragment;PP Fragment Sans Light;sans-serif" w:hAnsi="PP Fragment;PP Fragment Sans Light;sans-serif"/>
                <w:b w:val="false"/>
                <w:color w:val="000000"/>
                <w:sz w:val="20"/>
              </w:rPr>
              <w:t>Jonathan Petersen</w:t>
            </w:r>
            <w:r>
              <w:rPr>
                <w:rFonts w:ascii="Times New Roman" w:hAnsi="Times New Roman"/>
                <w:color w:val="000000"/>
                <w:sz w:val="20"/>
              </w:rPr>
              <w:t xml:space="preserve"> </w:t>
            </w:r>
          </w:p>
          <w:p>
            <w:pPr>
              <w:pStyle w:val="TableContents"/>
              <w:bidi w:val="0"/>
              <w:spacing w:before="40" w:after="283"/>
              <w:ind w:left="0" w:right="0" w:firstLine="27"/>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284-1705</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Anthony Hau</w:t>
            </w:r>
          </w:p>
          <w:p>
            <w:pPr>
              <w:pStyle w:val="TableContents"/>
              <w:bidi w:val="0"/>
              <w:spacing w:before="0" w:after="283"/>
              <w:jc w:val="left"/>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(212) 303-4176</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kbillingsley@compasspointllc.com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jpetersen@jefferies.com</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40" w:after="283"/>
              <w:ind w:left="0" w:right="0" w:firstLine="27"/>
              <w:jc w:val="left"/>
              <w:rPr>
                <w:rFonts w:ascii="PP Fragment;PP Fragment Sans Light;sans-serif" w:hAnsi="PP Fragment;PP Fragment Sans Light;sans-serif"/>
                <w:b w:val="false"/>
                <w:sz w:val="20"/>
              </w:rPr>
            </w:pPr>
            <w:r>
              <w:rPr>
                <w:rFonts w:ascii="PP Fragment;PP Fragment Sans Light;sans-serif" w:hAnsi="PP Fragment;PP Fragment Sans Light;sans-serif"/>
                <w:b w:val="false"/>
                <w:sz w:val="20"/>
              </w:rPr>
              <w:t>anthony.hau@truist.com</w:t>
            </w:r>
          </w:p>
        </w:tc>
      </w:tr>
      <w:tr>
        <w:trPr/>
        <w:tc>
          <w:tcPr>
            <w:tcW w:w="18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52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3673" w:type="dxa"/>
            <w:tcBorders/>
            <w:tcMar>
              <w:top w:w="0" w:type="dxa"/>
              <w:left w:w="0" w:type="dxa"/>
              <w:bottom w:w="0" w:type="dxa"/>
              <w:right w:w="0" w:type="dxa"/>
            </w:tcMar>
            <w:vAlign w:val="center"/>
          </w:tcPr>
          <w:p>
            <w:pPr>
              <w:pStyle w:val="TableContents"/>
              <w:bidi w:val="0"/>
              <w:spacing w:before="0" w:after="283"/>
              <w:ind w:left="0" w:right="0" w:firstLine="27"/>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c>
          <w:tcPr>
            <w:tcW w:w="2938" w:type="dxa"/>
            <w:tcBorders/>
            <w:tcMar>
              <w:top w:w="0" w:type="dxa"/>
              <w:left w:w="0" w:type="dxa"/>
              <w:bottom w:w="0" w:type="dxa"/>
              <w:right w:w="0" w:type="dxa"/>
            </w:tcMar>
            <w:vAlign w:val="center"/>
          </w:tcPr>
          <w:p>
            <w:pPr>
              <w:pStyle w:val="TableContents"/>
              <w:bidi w:val="0"/>
              <w:spacing w:before="0" w:after="283"/>
              <w:ind w:left="0" w:right="0" w:firstLine="27"/>
              <w:jc w:val="left"/>
              <w:rPr>
                <w:sz w:val="4"/>
                <w:szCs w:val="4"/>
              </w:rPr>
            </w:pPr>
            <w:r>
              <w:rPr>
                <w:sz w:val="4"/>
                <w:szCs w:val="4"/>
              </w:rPr>
            </w:r>
          </w:p>
        </w:tc>
      </w:tr>
    </w:tbl>
    <w:p>
      <w:pPr>
        <w:pStyle w:val="TextBody"/>
        <w:bidi w:val="0"/>
        <w:spacing w:before="0" w:after="160"/>
        <w:jc w:val="left"/>
        <w:rPr/>
      </w:pPr>
      <w:r>
        <w:rPr/>
        <w:t> </w:t>
      </w:r>
    </w:p>
    <w:tbl>
      <w:tblPr>
        <w:tblW w:w="7032" w:type="dxa"/>
        <w:jc w:val="left"/>
        <w:tblInd w:w="0" w:type="dxa"/>
        <w:tblLayout w:type="fixed"/>
        <w:tblCellMar>
          <w:top w:w="28" w:type="dxa"/>
          <w:left w:w="28" w:type="dxa"/>
          <w:bottom w:w="28" w:type="dxa"/>
          <w:right w:w="28" w:type="dxa"/>
        </w:tblCellMar>
      </w:tblPr>
      <w:tblGrid>
        <w:gridCol w:w="3641"/>
        <w:gridCol w:w="3391"/>
      </w:tblGrid>
      <w:tr>
        <w:trPr/>
        <w:tc>
          <w:tcPr>
            <w:tcW w:w="36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247900" cy="361950"/>
                          </a:xfrm>
                          <a:prstGeom prst="rect">
                            <a:avLst/>
                          </a:prstGeom>
                        </pic:spPr>
                      </pic:pic>
                    </a:graphicData>
                  </a:graphic>
                </wp:inline>
              </w:drawing>
            </w:r>
          </w:p>
        </w:tc>
        <w:tc>
          <w:tcPr>
            <w:tcW w:w="339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007" w:type="dxa"/>
        <w:jc w:val="left"/>
        <w:tblInd w:w="0" w:type="dxa"/>
        <w:tblLayout w:type="fixed"/>
        <w:tblCellMar>
          <w:top w:w="28" w:type="dxa"/>
          <w:left w:w="28" w:type="dxa"/>
          <w:bottom w:w="28" w:type="dxa"/>
          <w:right w:w="28" w:type="dxa"/>
        </w:tblCellMar>
      </w:tblPr>
      <w:tblGrid>
        <w:gridCol w:w="1816"/>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 Light;sans-serif" w:hAnsi="PP Fragment;PP Fragment Sans Light;sans-serif"/>
                <w:b/>
                <w:color w:val="F73929"/>
                <w:sz w:val="28"/>
              </w:rPr>
            </w:pPr>
            <w:r>
              <w:rPr>
                <w:rFonts w:ascii="PP Fragment;PP Fragment Sans Light;sans-serif" w:hAnsi="PP Fragment;PP Fragment Sans Light;sans-serif"/>
                <w:b/>
                <w:color w:val="F73929"/>
                <w:sz w:val="28"/>
              </w:rPr>
              <w:t>Highlights</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27"/>
        <w:gridCol w:w="146"/>
        <w:gridCol w:w="245"/>
        <w:gridCol w:w="907"/>
        <w:gridCol w:w="282"/>
        <w:gridCol w:w="161"/>
        <w:gridCol w:w="245"/>
        <w:gridCol w:w="907"/>
        <w:gridCol w:w="256"/>
        <w:gridCol w:w="146"/>
        <w:gridCol w:w="228"/>
        <w:gridCol w:w="847"/>
        <w:gridCol w:w="277"/>
        <w:gridCol w:w="158"/>
        <w:gridCol w:w="230"/>
        <w:gridCol w:w="854"/>
        <w:gridCol w:w="256"/>
        <w:gridCol w:w="146"/>
        <w:gridCol w:w="230"/>
        <w:gridCol w:w="851"/>
        <w:gridCol w:w="306"/>
      </w:tblGrid>
      <w:tr>
        <w:trPr/>
        <w:tc>
          <w:tcPr>
            <w:tcW w:w="2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bookmarkStart w:id="12" w:name="highlights"/>
            <w:bookmarkEnd w:id="12"/>
            <w:r>
              <w:rPr>
                <w:rFonts w:ascii="DM Sans;sans-serif" w:hAnsi="DM Sans;sans-serif"/>
                <w:b/>
                <w:color w:val="FFFFFF"/>
                <w:sz w:val="16"/>
              </w:rPr>
              <w:t>Summary Financial Results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For the three months ended June 30,</w:t>
            </w:r>
          </w:p>
        </w:tc>
        <w:tc>
          <w:tcPr>
            <w:tcW w:w="25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For the six months ended June 30,</w:t>
            </w:r>
          </w:p>
        </w:tc>
        <w:tc>
          <w:tcPr>
            <w:tcW w:w="25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(in thousands, except per share amounts)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28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REIT NOI at pro-rata share (pg 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45,130</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38,629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86,945</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75,359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 Management NOI at pro-rata share (pg 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11,749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10,901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24,992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20,520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NOI at pro-rata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56,879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111,937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95,879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Adjusted EBITDA (pg 8)</w:t>
            </w:r>
            <w:r>
              <w:rPr>
                <w:rFonts w:ascii="Times New Roman" w:hAnsi="Times New Roman"/>
                <w:color w:val="000000"/>
                <w:sz w:val="16"/>
              </w:rPr>
              <w:t> </w:t>
            </w:r>
            <w:r>
              <w:rPr>
                <w:rFonts w:ascii="DM Sans;sans-serif" w:hAnsi="DM Sans;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61,045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58,120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119,358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115,775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FFO As Adjusted per diluted Common Share and Common OP Unit (pg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0.31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0.61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NAREIT FFO per diluted Common Share and OP Unit (pg 7) </w:t>
            </w:r>
            <w:r>
              <w:rPr>
                <w:rFonts w:ascii="DM Sans;sans-serif" w:hAnsi="DM Sans;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0.30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0.57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Dividends declared per Common Share and Common OP Unit (pg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0.40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26"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Three months ended,</w:t>
            </w:r>
          </w:p>
        </w:tc>
        <w:tc>
          <w:tcPr>
            <w:tcW w:w="30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Summary Operating and Financial Ratios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2026</w:t>
            </w:r>
          </w:p>
        </w:tc>
        <w:tc>
          <w:tcPr>
            <w:tcW w:w="28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2026</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Dec 31, 2025</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Sept 30, 2025</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2025</w:t>
            </w:r>
          </w:p>
        </w:tc>
        <w:tc>
          <w:tcPr>
            <w:tcW w:w="3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REIT Portfolio Same-property NOI % (pg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Debt to Adjusted EBITDA (including IM debt) (pg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Fixed charge coverage ratio (annualized) (pg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Outstanding Common Stock</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26"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Three months ended,</w:t>
            </w:r>
          </w:p>
        </w:tc>
        <w:tc>
          <w:tcPr>
            <w:tcW w:w="30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(in thousands)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2026</w:t>
            </w:r>
          </w:p>
        </w:tc>
        <w:tc>
          <w:tcPr>
            <w:tcW w:w="28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2026</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Dec 31, 2025</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Sept 30, 2025</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2025</w:t>
            </w:r>
          </w:p>
        </w:tc>
        <w:tc>
          <w:tcPr>
            <w:tcW w:w="3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Diluted Weighted Average Common shares and units outstanding (pg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142,393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139,733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139,031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138,950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138,909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Unsettled forward equity (pg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17,772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12,294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14,739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12,760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2,445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FFFFFF"/>
                <w:sz w:val="16"/>
              </w:rPr>
              <w:t xml:space="preserve">Transactional Activity </w:t>
            </w:r>
            <w:r>
              <w:rPr>
                <w:rFonts w:ascii="DM Sans;sans-serif" w:hAnsi="DM Sans;sans-serif"/>
                <w:b/>
                <w:color w:val="FFFFFF"/>
                <w:sz w:val="11"/>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26"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Three months ended,</w:t>
            </w:r>
          </w:p>
        </w:tc>
        <w:tc>
          <w:tcPr>
            <w:tcW w:w="30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(in thousands)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2026</w:t>
            </w:r>
          </w:p>
        </w:tc>
        <w:tc>
          <w:tcPr>
            <w:tcW w:w="28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2026</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Dec 31, 2025</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Sept 30, 2025</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2025</w:t>
            </w:r>
          </w:p>
        </w:tc>
        <w:tc>
          <w:tcPr>
            <w:tcW w:w="3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REIT acquisitions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119,753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78,686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20,750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49,505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IM acquisitions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424,140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62,701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Aggregate purchase price of acquisitions (REIT and IM)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119,753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502,826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20,750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63,605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49,505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Recapitalizations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504,115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Aggregate sale price of dispositions (REIT and IM) (pg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106,500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476,463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201,540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99,540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26"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As of</w:t>
            </w:r>
          </w:p>
        </w:tc>
        <w:tc>
          <w:tcPr>
            <w:tcW w:w="30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Summary portfolio statistics (pro-rata)</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2026</w:t>
            </w:r>
          </w:p>
        </w:tc>
        <w:tc>
          <w:tcPr>
            <w:tcW w:w="28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March 31, 2026</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Dec 31, 2025</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Sept 30, 2025</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 2025</w:t>
            </w:r>
          </w:p>
        </w:tc>
        <w:tc>
          <w:tcPr>
            <w:tcW w:w="3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Percent leased - REIT Street and Urban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Percent leased - REIT Suburban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Percent leased - REIT Total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95.7</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Economic Occupancy - REIT Street and Urban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Economic Occupancy - REIT Suburban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Economic Occupancy - REIT Total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92.2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ABR PSF - REIT Total (pg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40.19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39.30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37.78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Current</w:t>
            </w:r>
          </w:p>
        </w:tc>
        <w:tc>
          <w:tcPr>
            <w:tcW w:w="282"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Prior</w:t>
            </w:r>
          </w:p>
        </w:tc>
        <w:tc>
          <w:tcPr>
            <w:tcW w:w="25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2026 Guidance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(as of 7/28/2026)</w:t>
            </w:r>
          </w:p>
        </w:tc>
        <w:tc>
          <w:tcPr>
            <w:tcW w:w="28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(as of 4/28/2026)</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Projected 2026 FFO As Adjusted per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$1.24 - $1.26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$1.22 - $1.26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Annual Projected Same-property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 - 9%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 - 9%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Includes approximately $8.4 million of income recognized in connection with a terminated lease for the six months ended June 30, 2025.</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Amounts reflect gross transaction value and are presented before giving effect to the Company’s pro-rata ownership interest.</w:t>
      </w:r>
    </w:p>
    <w:tbl>
      <w:tblPr>
        <w:tblW w:w="7032" w:type="dxa"/>
        <w:jc w:val="left"/>
        <w:tblInd w:w="0" w:type="dxa"/>
        <w:tblLayout w:type="fixed"/>
        <w:tblCellMar>
          <w:top w:w="28" w:type="dxa"/>
          <w:left w:w="28" w:type="dxa"/>
          <w:bottom w:w="28" w:type="dxa"/>
          <w:right w:w="28" w:type="dxa"/>
        </w:tblCellMar>
      </w:tblPr>
      <w:tblGrid>
        <w:gridCol w:w="3641"/>
        <w:gridCol w:w="3391"/>
      </w:tblGrid>
      <w:tr>
        <w:trPr/>
        <w:tc>
          <w:tcPr>
            <w:tcW w:w="36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247900" cy="361950"/>
                          </a:xfrm>
                          <a:prstGeom prst="rect">
                            <a:avLst/>
                          </a:prstGeom>
                        </pic:spPr>
                      </pic:pic>
                    </a:graphicData>
                  </a:graphic>
                </wp:inline>
              </w:drawing>
            </w:r>
          </w:p>
        </w:tc>
        <w:tc>
          <w:tcPr>
            <w:tcW w:w="339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077" w:type="dxa"/>
        <w:jc w:val="left"/>
        <w:tblInd w:w="0" w:type="dxa"/>
        <w:tblLayout w:type="fixed"/>
        <w:tblCellMar>
          <w:top w:w="28" w:type="dxa"/>
          <w:left w:w="28" w:type="dxa"/>
          <w:bottom w:w="28" w:type="dxa"/>
          <w:right w:w="28" w:type="dxa"/>
        </w:tblCellMar>
      </w:tblPr>
      <w:tblGrid>
        <w:gridCol w:w="9886"/>
        <w:gridCol w:w="191"/>
      </w:tblGrid>
      <w:tr>
        <w:trPr/>
        <w:tc>
          <w:tcPr>
            <w:tcW w:w="9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886"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 Light;sans-serif" w:hAnsi="PP Fragment;PP Fragment Sans Light;sans-serif"/>
                <w:b/>
                <w:color w:val="F73929"/>
                <w:sz w:val="28"/>
              </w:rPr>
            </w:pPr>
            <w:bookmarkStart w:id="13" w:name="market_capitalization"/>
            <w:bookmarkEnd w:id="13"/>
            <w:r>
              <w:rPr>
                <w:rFonts w:ascii="PP Fragment;PP Fragment Sans Light;sans-serif" w:hAnsi="PP Fragment;PP Fragment Sans Light;sans-serif"/>
                <w:b/>
                <w:color w:val="F73929"/>
                <w:sz w:val="28"/>
              </w:rPr>
              <w:t>Market Capitalization, Liquidity &amp; Debt Ratios</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988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(Including pro-rata share of Investment Management debt, in thousands, except per share amounts)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5"/>
        <w:gridCol w:w="146"/>
        <w:gridCol w:w="259"/>
        <w:gridCol w:w="1257"/>
        <w:gridCol w:w="271"/>
        <w:gridCol w:w="146"/>
        <w:gridCol w:w="1561"/>
      </w:tblGrid>
      <w:tr>
        <w:trPr/>
        <w:tc>
          <w:tcPr>
            <w:tcW w:w="6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656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Total Market</w:t>
            </w:r>
          </w:p>
        </w:tc>
        <w:tc>
          <w:tcPr>
            <w:tcW w:w="27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Capitalization</w:t>
            </w:r>
          </w:p>
        </w:tc>
      </w:tr>
      <w:tr>
        <w:trPr/>
        <w:tc>
          <w:tcPr>
            <w:tcW w:w="656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Capitalization</w:t>
              <w:br/>
              <w:t>($)</w:t>
            </w:r>
          </w:p>
        </w:tc>
        <w:tc>
          <w:tcPr>
            <w:tcW w:w="27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Based on Net</w:t>
              <w:br/>
              <w:t>Debt</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u w:val="single"/>
              </w:rPr>
            </w:pPr>
            <w:r>
              <w:rPr>
                <w:rFonts w:ascii="DM Sans;sans-serif" w:hAnsi="DM Sans;sans-serif"/>
                <w:b/>
                <w:color w:val="000000"/>
                <w:sz w:val="18"/>
                <w:u w:val="single"/>
              </w:rPr>
              <w:t>Equity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137,330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Common Operating Partnership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6,422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Combined Common Shares and OP Units </w:t>
            </w:r>
            <w:r>
              <w:rPr>
                <w:rFonts w:ascii="DM Sans;sans-serif" w:hAnsi="DM Sans;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143,752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Share Price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Equity Capitalization - Common Shares and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3,005,844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Preferred OP Units </w:t>
            </w:r>
            <w:r>
              <w:rPr>
                <w:rFonts w:ascii="DM Sans;sans-serif" w:hAnsi="DM Sans;sans-serif"/>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Total Equity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3,006,368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65%</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u w:val="single"/>
              </w:rPr>
            </w:pPr>
            <w:r>
              <w:rPr>
                <w:rFonts w:ascii="DM Sans;sans-serif" w:hAnsi="DM Sans;sans-serif"/>
                <w:b/>
                <w:color w:val="000000"/>
                <w:sz w:val="18"/>
                <w:u w:val="single"/>
              </w:rPr>
              <w:t>Debt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Consolidated Secured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480,045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Consolidated Revolving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43,323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8"/>
              </w:rPr>
            </w:pPr>
            <w:r>
              <w:rPr>
                <w:rFonts w:ascii="DM Sans;sans-serif" w:hAnsi="DM Sans;sans-serif"/>
                <w:color w:val="000000"/>
                <w:sz w:val="18"/>
              </w:rPr>
              <w:t>Consolidated Unsecured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1,113,650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Consolidated Principal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1,637,018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Less: Net unamortized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Add: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15,780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Consolidated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1,652,324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Adjustment to reflect pro-rata share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(9,027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Total Pro-Rata Debt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1,643,297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35%</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u w:val="single"/>
              </w:rPr>
            </w:pPr>
            <w:r>
              <w:rPr>
                <w:rFonts w:ascii="DM Sans;sans-serif" w:hAnsi="DM Sans;sans-serif"/>
                <w:b/>
                <w:color w:val="000000"/>
                <w:sz w:val="18"/>
                <w:u w:val="single"/>
              </w:rPr>
              <w:t>Total Market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1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4,649,665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100%</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u w:val="single"/>
              </w:rPr>
            </w:pPr>
            <w:r>
              <w:rPr>
                <w:rFonts w:ascii="DM Sans;sans-serif" w:hAnsi="DM Sans;sans-serif"/>
                <w:b/>
                <w:color w:val="000000"/>
                <w:sz w:val="18"/>
                <w:u w:val="single"/>
              </w:rPr>
              <w:t>Pro-Rata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46,099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Unsettled ATM forward equity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368,814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Net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t>
            </w:r>
          </w:p>
        </w:tc>
        <w:tc>
          <w:tcPr>
            <w:tcW w:w="1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1,228,384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Pro-Rata Adjusted EBITDA Annualized (page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241,448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Ratios</w:t>
            </w:r>
            <w:r>
              <w:rPr>
                <w:rFonts w:ascii="DM Sans;sans-serif" w:hAnsi="DM Sans;sans-serif"/>
                <w:b/>
                <w:color w:val="000000"/>
                <w:sz w:val="12"/>
              </w:rPr>
              <w:t>3</w:t>
            </w:r>
            <w:r>
              <w:rPr>
                <w:rFonts w:ascii="DM Sans;sans-serif" w:hAnsi="DM Sans;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Debt + Preferred Equity (Preferred OP Units) Total Market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Debt + Preferred Equity Total Market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Net Debt/Adjusted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Does not include the unsettled Common Shares sold under the </w:t>
      </w:r>
      <w:hyperlink w:anchor="forward_offerings">
        <w:r>
          <w:rPr>
            <w:rStyle w:val="InternetLink"/>
            <w:rFonts w:ascii="PP Fragment;PP Fragment Sans Light;sans-serif" w:hAnsi="PP Fragment;PP Fragment Sans Light;sans-serif"/>
            <w:b w:val="false"/>
            <w:color w:val="FF0000"/>
            <w:sz w:val="16"/>
            <w:u w:val="single"/>
          </w:rPr>
          <w:t>Forward Equity Offerings</w:t>
        </w:r>
      </w:hyperlink>
      <w:r>
        <w:rPr>
          <w:rFonts w:ascii="PP Fragment;PP Fragment Sans Light;sans-serif" w:hAnsi="PP Fragment;PP Fragment Sans Light;sans-serif"/>
          <w:b w:val="false"/>
          <w:color w:val="000000"/>
          <w:sz w:val="16"/>
        </w:rPr>
        <w:t>.</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188 Series A Preferred OP Units convertible into 25,067 Common OP Units multiplied by the Common Share price at quarter end.</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Ratios consider our pro-rata share of debt and net debt is net of cash, cash equivalents and restricted cash and unsettled forward equity.</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7032" w:type="dxa"/>
        <w:jc w:val="left"/>
        <w:tblInd w:w="0" w:type="dxa"/>
        <w:tblLayout w:type="fixed"/>
        <w:tblCellMar>
          <w:top w:w="28" w:type="dxa"/>
          <w:left w:w="28" w:type="dxa"/>
          <w:bottom w:w="28" w:type="dxa"/>
          <w:right w:w="28" w:type="dxa"/>
        </w:tblCellMar>
      </w:tblPr>
      <w:tblGrid>
        <w:gridCol w:w="3641"/>
        <w:gridCol w:w="3391"/>
      </w:tblGrid>
      <w:tr>
        <w:trPr/>
        <w:tc>
          <w:tcPr>
            <w:tcW w:w="36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247900" cy="361950"/>
                          </a:xfrm>
                          <a:prstGeom prst="rect">
                            <a:avLst/>
                          </a:prstGeom>
                        </pic:spPr>
                      </pic:pic>
                    </a:graphicData>
                  </a:graphic>
                </wp:inline>
              </w:drawing>
            </w:r>
          </w:p>
        </w:tc>
        <w:tc>
          <w:tcPr>
            <w:tcW w:w="339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07" w:type="dxa"/>
        <w:jc w:val="left"/>
        <w:tblInd w:w="0" w:type="dxa"/>
        <w:tblLayout w:type="fixed"/>
        <w:tblCellMar>
          <w:top w:w="28" w:type="dxa"/>
          <w:left w:w="28" w:type="dxa"/>
          <w:bottom w:w="28" w:type="dxa"/>
          <w:right w:w="28" w:type="dxa"/>
        </w:tblCellMar>
      </w:tblPr>
      <w:tblGrid>
        <w:gridCol w:w="151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bookmarkStart w:id="14" w:name="forward_offerings"/>
            <w:bookmarkEnd w:id="14"/>
            <w:r>
              <w:rPr>
                <w:rFonts w:ascii="PP Fragment;PP Fragment Sans;sans-serif" w:hAnsi="PP Fragment;PP Fragment Sans;sans-serif"/>
                <w:b/>
                <w:color w:val="F73929"/>
                <w:sz w:val="28"/>
              </w:rPr>
              <w:t>Equity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10613" w:type="dxa"/>
        <w:jc w:val="left"/>
        <w:tblInd w:w="0" w:type="dxa"/>
        <w:tblLayout w:type="fixed"/>
        <w:tblCellMar>
          <w:top w:w="28" w:type="dxa"/>
          <w:left w:w="28" w:type="dxa"/>
          <w:bottom w:w="28" w:type="dxa"/>
          <w:right w:w="28" w:type="dxa"/>
        </w:tblCellMar>
      </w:tblPr>
      <w:tblGrid>
        <w:gridCol w:w="1201"/>
        <w:gridCol w:w="146"/>
        <w:gridCol w:w="146"/>
        <w:gridCol w:w="901"/>
        <w:gridCol w:w="146"/>
        <w:gridCol w:w="146"/>
        <w:gridCol w:w="182"/>
        <w:gridCol w:w="824"/>
        <w:gridCol w:w="181"/>
        <w:gridCol w:w="146"/>
        <w:gridCol w:w="146"/>
        <w:gridCol w:w="901"/>
        <w:gridCol w:w="146"/>
        <w:gridCol w:w="146"/>
        <w:gridCol w:w="146"/>
        <w:gridCol w:w="901"/>
        <w:gridCol w:w="146"/>
        <w:gridCol w:w="146"/>
        <w:gridCol w:w="146"/>
        <w:gridCol w:w="901"/>
        <w:gridCol w:w="146"/>
        <w:gridCol w:w="146"/>
        <w:gridCol w:w="146"/>
        <w:gridCol w:w="901"/>
        <w:gridCol w:w="146"/>
        <w:gridCol w:w="146"/>
        <w:gridCol w:w="146"/>
        <w:gridCol w:w="901"/>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66" w:type="dxa"/>
            <w:gridSpan w:val="1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Changes in Total Outstanding Common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064"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Weighted Average</w:t>
            </w:r>
          </w:p>
        </w:tc>
        <w:tc>
          <w:tcPr>
            <w:tcW w:w="1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5066" w:type="dxa"/>
            <w:gridSpan w:val="1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Shares and OP Units</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Diluted EPS</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Diluted FFO</w:t>
            </w:r>
          </w:p>
        </w:tc>
        <w:tc>
          <w:tcPr>
            <w:tcW w:w="1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 xml:space="preserve">Common </w:t>
              <w:br/>
              <w:t>Shares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Common OP Units</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Quarter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YTD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Quarter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YTD</w:t>
            </w:r>
          </w:p>
        </w:tc>
        <w:tc>
          <w:tcPr>
            <w:tcW w:w="1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Balance at 12/31/2025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5,421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136,458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Vesting RS and LTIPs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OP 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Common Shares Issued Upon Forward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Balance at 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133,514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6,411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139,925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131,332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131,332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139,733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139,733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Vesting RS and LTIPs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OP 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Common Shares Issued Upon Forward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Balance at 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137,330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6,422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143,752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133,825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132,642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142,393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141,091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053" w:type="dxa"/>
        <w:jc w:val="left"/>
        <w:tblInd w:w="0" w:type="dxa"/>
        <w:tblLayout w:type="fixed"/>
        <w:tblCellMar>
          <w:top w:w="28" w:type="dxa"/>
          <w:left w:w="28" w:type="dxa"/>
          <w:bottom w:w="28" w:type="dxa"/>
          <w:right w:w="28" w:type="dxa"/>
        </w:tblCellMar>
      </w:tblPr>
      <w:tblGrid>
        <w:gridCol w:w="3691"/>
        <w:gridCol w:w="146"/>
        <w:gridCol w:w="146"/>
        <w:gridCol w:w="766"/>
        <w:gridCol w:w="181"/>
        <w:gridCol w:w="146"/>
        <w:gridCol w:w="326"/>
        <w:gridCol w:w="1279"/>
        <w:gridCol w:w="181"/>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8"/>
              </w:rPr>
            </w:pPr>
            <w:r>
              <w:rPr>
                <w:rFonts w:ascii="DM Sans;sans-serif" w:hAnsi="DM Sans;sans-serif"/>
                <w:b/>
                <w:color w:val="FFFFFF"/>
                <w:sz w:val="18"/>
              </w:rPr>
              <w:t>Forward Equity Offerings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Shares</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DM Sans;sans-serif" w:hAnsi="DM Sans;sans-serif"/>
                <w:b/>
                <w:color w:val="FFFFFF"/>
                <w:sz w:val="18"/>
              </w:rPr>
              <w:t xml:space="preserve">Net Proceeds </w:t>
            </w:r>
            <w:r>
              <w:rPr>
                <w:rFonts w:ascii="DM Sans;sans-serif" w:hAnsi="DM Sans;sans-serif"/>
                <w:b/>
                <w:color w:val="FFFFFF"/>
                <w:sz w:val="12"/>
              </w:rPr>
              <w:t>1</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Beginning balance 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12,294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239,225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Shares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9,243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200,897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Shares settled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(3,765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(72,094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Current-value settlement adjustments</w:t>
            </w:r>
            <w:r>
              <w:rPr>
                <w:rFonts w:ascii="Times New Roman" w:hAnsi="Times New Roman"/>
                <w:color w:val="000000"/>
                <w:sz w:val="18"/>
              </w:rPr>
              <w:t> </w:t>
            </w:r>
            <w:r>
              <w:rPr>
                <w:rFonts w:ascii="DM Sans;sans-serif" w:hAnsi="DM Sans;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Ending balance as of 6/30/2026 </w:t>
            </w:r>
            <w:r>
              <w:rPr>
                <w:rFonts w:ascii="DM Sans;sans-serif" w:hAnsi="DM Sans;sans-serif"/>
                <w:b/>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17,772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368,814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Amounts received upon settlement are subject to customary adjustments in accordance with the forward sales contracts, which are reflected in settlement adjustments above.</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Ending balance reflects the fair value of the shares unsettled as of June 30, 2026.</w:t>
      </w:r>
    </w:p>
    <w:p>
      <w:pPr>
        <w:pStyle w:val="TextBody"/>
        <w:bidi w:val="0"/>
        <w:jc w:val="left"/>
        <w:rPr/>
      </w:pPr>
      <w:r>
        <w:rPr/>
        <w:t> </w:t>
      </w:r>
    </w:p>
    <w:tbl>
      <w:tblPr>
        <w:tblW w:w="7032" w:type="dxa"/>
        <w:jc w:val="left"/>
        <w:tblInd w:w="0" w:type="dxa"/>
        <w:tblLayout w:type="fixed"/>
        <w:tblCellMar>
          <w:top w:w="28" w:type="dxa"/>
          <w:left w:w="28" w:type="dxa"/>
          <w:bottom w:w="28" w:type="dxa"/>
          <w:right w:w="28" w:type="dxa"/>
        </w:tblCellMar>
      </w:tblPr>
      <w:tblGrid>
        <w:gridCol w:w="3641"/>
        <w:gridCol w:w="3391"/>
      </w:tblGrid>
      <w:tr>
        <w:trPr/>
        <w:tc>
          <w:tcPr>
            <w:tcW w:w="36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247900" cy="361950"/>
                          </a:xfrm>
                          <a:prstGeom prst="rect">
                            <a:avLst/>
                          </a:prstGeom>
                        </pic:spPr>
                      </pic:pic>
                    </a:graphicData>
                  </a:graphic>
                </wp:inline>
              </w:drawing>
            </w:r>
          </w:p>
        </w:tc>
        <w:tc>
          <w:tcPr>
            <w:tcW w:w="339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412" w:type="dxa"/>
        <w:jc w:val="left"/>
        <w:tblInd w:w="0" w:type="dxa"/>
        <w:tblLayout w:type="fixed"/>
        <w:tblCellMar>
          <w:top w:w="28" w:type="dxa"/>
          <w:left w:w="28" w:type="dxa"/>
          <w:bottom w:w="28" w:type="dxa"/>
          <w:right w:w="28" w:type="dxa"/>
        </w:tblCellMar>
      </w:tblPr>
      <w:tblGrid>
        <w:gridCol w:w="8221"/>
        <w:gridCol w:w="191"/>
      </w:tblGrid>
      <w:tr>
        <w:trPr/>
        <w:tc>
          <w:tcPr>
            <w:tcW w:w="8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2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Funds from Operations (“FFO”), FFO As Adjusted,</w:t>
              <w:br/>
              <w:t>Adjusted Funds from Operations (“AFFO”)</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 except per share amounts)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8"/>
        <w:gridCol w:w="146"/>
        <w:gridCol w:w="877"/>
        <w:gridCol w:w="796"/>
        <w:gridCol w:w="146"/>
        <w:gridCol w:w="952"/>
        <w:gridCol w:w="146"/>
        <w:gridCol w:w="1028"/>
        <w:gridCol w:w="146"/>
        <w:gridCol w:w="1000"/>
      </w:tblGrid>
      <w:tr>
        <w:trPr/>
        <w:tc>
          <w:tcPr>
            <w:tcW w:w="4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5" w:name="funds_from_operations"/>
            <w:bookmarkStart w:id="16" w:name="funds_from_operations"/>
            <w:bookmarkEnd w:id="16"/>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8"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673"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Year to Date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Year to Date</w:t>
            </w:r>
          </w:p>
        </w:tc>
      </w:tr>
      <w:tr>
        <w:trPr/>
        <w:tc>
          <w:tcPr>
            <w:tcW w:w="4968"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March 31, </w:t>
              <w:br/>
              <w:t>2026</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June 30,</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June 30,</w:t>
              <w:br/>
              <w:t>2026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June 30,</w:t>
              <w:br/>
              <w:t>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June 30,</w:t>
              <w:br/>
              <w:t>2025</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Funds from operations ("FFO"):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Net Income attributable to Acadia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$30,477</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$41,515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$3,571</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Depreciation of real estate and amortization of leasing costs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35,851</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70,964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31,665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63,272</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(Gain) loss on disposition on real estate properties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(30,954)</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86</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Impairment charges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5,768</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Loss on change in control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9,622</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Income attributable to noncontrolling interests' share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1,501</w:t>
            </w:r>
          </w:p>
        </w:tc>
        <w:tc>
          <w:tcPr>
            <w:tcW w:w="79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338</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FFO to Common Shareholders and Common OP Unit 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$36,875</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$43,135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$80,010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$38,074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$82,657</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Transaction and other expenses </w:t>
            </w:r>
            <w:r>
              <w:rPr>
                <w:rFonts w:ascii="DM Sans;sans-serif" w:hAnsi="DM Sans;sans-serif"/>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4,358</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678</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Unrealized holding loss (gain) (net of noncontrolling interest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616</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(1,178)</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Tenant lease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(8,309)</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FFO As Adjusted to Common Shareholder and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$41,849</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$44,691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$86,540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$38,720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$73,848</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Adjusted Funds from operations ("AFFO"):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$36,875</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$80,010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$82,657</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Unrealized holding loss (gain) (net of noncontrolling interest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616</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(1,178)</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Realized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5,406</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Straight-line 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(369)</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Above/below-market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(2,562)</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(4,642)</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Amortization of 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1,618</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2,990</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Above/below-market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(155)</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(261)</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Non-real estate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93</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173</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6,189</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5,288</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Leasing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(1,447)</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(3,799)</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(2,694)</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(14,895)</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Maintenance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(1,735)</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(2,773)</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AFFO to Common Shareholders and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$36,835</w:t>
            </w:r>
          </w:p>
        </w:tc>
        <w:tc>
          <w:tcPr>
            <w:tcW w:w="796"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$37,667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952" w:type="dxa"/>
            <w:tcBorders>
              <w:top w:val="single" w:sz="4" w:space="0" w:color="000000"/>
              <w:bottom w:val="double" w:sz="6"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$74,502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$31,841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$68,597</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FFO per Diluted Common Share and Common OP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$0.26</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$0.62</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FFO As Adjusted per Diluted Common Share and Common OP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$0.30</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$0.55</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weighted-average diluted shares and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139,733</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142,393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141,091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138,909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134,266</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Additional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Dividends Declared (per Common Share/OP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$0.20</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$0.40</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Dividends (Shares) &amp; Distributions (OP Units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$28,320</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$55,285</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FFO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77%</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FFO As Adjusted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w:t>
            </w:r>
          </w:p>
        </w:tc>
      </w:tr>
      <w:tr>
        <w:trPr/>
        <w:tc>
          <w:tcPr>
            <w:tcW w:w="496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AFFO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77%</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81%</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Transaction and other expenses include those costs that the Company believes are not reflective of ongoing core operating results including investment transaction costs, debt extinguishment costs and employee retirement costs.</w:t>
      </w:r>
    </w:p>
    <w:tbl>
      <w:tblPr>
        <w:tblW w:w="7032" w:type="dxa"/>
        <w:jc w:val="left"/>
        <w:tblInd w:w="0" w:type="dxa"/>
        <w:tblLayout w:type="fixed"/>
        <w:tblCellMar>
          <w:top w:w="28" w:type="dxa"/>
          <w:left w:w="28" w:type="dxa"/>
          <w:bottom w:w="28" w:type="dxa"/>
          <w:right w:w="28" w:type="dxa"/>
        </w:tblCellMar>
      </w:tblPr>
      <w:tblGrid>
        <w:gridCol w:w="3641"/>
        <w:gridCol w:w="3391"/>
      </w:tblGrid>
      <w:tr>
        <w:trPr/>
        <w:tc>
          <w:tcPr>
            <w:tcW w:w="36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247900" cy="361950"/>
                          </a:xfrm>
                          <a:prstGeom prst="rect">
                            <a:avLst/>
                          </a:prstGeom>
                        </pic:spPr>
                      </pic:pic>
                    </a:graphicData>
                  </a:graphic>
                </wp:inline>
              </w:drawing>
            </w:r>
          </w:p>
        </w:tc>
        <w:tc>
          <w:tcPr>
            <w:tcW w:w="339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17" w:name="ebitda"/>
      <w:bookmarkEnd w:id="17"/>
      <w:r>
        <w:rPr/>
        <w:t> </w:t>
      </w:r>
    </w:p>
    <w:tbl>
      <w:tblPr>
        <w:tblW w:w="1707" w:type="dxa"/>
        <w:jc w:val="left"/>
        <w:tblInd w:w="0" w:type="dxa"/>
        <w:tblLayout w:type="fixed"/>
        <w:tblCellMar>
          <w:top w:w="28" w:type="dxa"/>
          <w:left w:w="28" w:type="dxa"/>
          <w:bottom w:w="28" w:type="dxa"/>
          <w:right w:w="28" w:type="dxa"/>
        </w:tblCellMar>
      </w:tblPr>
      <w:tblGrid>
        <w:gridCol w:w="151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EBITDA</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151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69"/>
        <w:gridCol w:w="146"/>
        <w:gridCol w:w="226"/>
        <w:gridCol w:w="766"/>
        <w:gridCol w:w="211"/>
        <w:gridCol w:w="146"/>
        <w:gridCol w:w="226"/>
        <w:gridCol w:w="766"/>
        <w:gridCol w:w="211"/>
        <w:gridCol w:w="146"/>
        <w:gridCol w:w="226"/>
        <w:gridCol w:w="886"/>
        <w:gridCol w:w="211"/>
        <w:gridCol w:w="146"/>
        <w:gridCol w:w="226"/>
        <w:gridCol w:w="886"/>
        <w:gridCol w:w="311"/>
      </w:tblGrid>
      <w:tr>
        <w:trPr/>
        <w:tc>
          <w:tcPr>
            <w:tcW w:w="4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69"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Quarter Ended</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Year to Date</w:t>
            </w:r>
          </w:p>
        </w:tc>
        <w:tc>
          <w:tcPr>
            <w:tcW w:w="3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9"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w:t>
            </w:r>
          </w:p>
        </w:tc>
        <w:tc>
          <w:tcPr>
            <w:tcW w:w="21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June 30,</w:t>
            </w:r>
          </w:p>
        </w:tc>
        <w:tc>
          <w:tcPr>
            <w:tcW w:w="31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4469"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3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11,038</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1,963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41,515</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3,571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000000"/>
                <w:sz w:val="16"/>
              </w:rPr>
              <w:t xml:space="preserve">Adjustments: </w:t>
            </w:r>
            <w:r>
              <w:rPr>
                <w:rFonts w:ascii="DM Sans;sans-serif" w:hAnsi="DM Sans;sans-serif"/>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35,167</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71,111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63,445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14,650</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29,521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25,230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Above/below-market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(155</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(310</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132</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174</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Amortization of finance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1,705</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3,323</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Noncontrolling interest - 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553</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2,049</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63,090</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47,797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147,383</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95,393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(Gain) loss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(3,601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(34,555</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Unrealized holding loss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649</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Realized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DM Sans;sans-serif" w:hAnsi="DM Sans;sans-serif"/>
                <w:color w:val="000000"/>
                <w:sz w:val="16"/>
              </w:rPr>
              <w:t xml:space="preserve">Transaction and other expenses </w:t>
            </w:r>
            <w:r>
              <w:rPr>
                <w:rFonts w:ascii="DM Sans;sans-serif" w:hAnsi="DM San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1,523</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5,881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678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5,768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Loss on 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61,045</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58,120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8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119,358</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115,775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Fixed-Charge Coverage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Adjusted EBITDA</w:t>
            </w:r>
            <w:r>
              <w:rPr>
                <w:rFonts w:ascii="DM Sans;sans-serif" w:hAnsi="DM Sans;sans-serif"/>
                <w:color w:val="000000"/>
                <w:sz w:val="11"/>
              </w:rPr>
              <w:t>1</w:t>
            </w:r>
            <w:r>
              <w:rPr>
                <w:rFonts w:ascii="Times New Roman" w:hAnsi="Times New Roman"/>
                <w:color w:val="000000"/>
                <w:sz w:val="16"/>
              </w:rPr>
              <w:t> </w:t>
            </w:r>
            <w:r>
              <w:rPr>
                <w:rFonts w:ascii="DM Sans;sans-serif" w:hAnsi="DM Sans;sans-serif"/>
                <w:color w:val="000000"/>
                <w:sz w:val="16"/>
              </w:rPr>
              <w:t>divided 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61,045</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58,120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119,358</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115,775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14,650</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29,521</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25,230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Principal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1,354</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2,853</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DM Sans;sans-serif" w:hAnsi="DM Sans;sans-serif"/>
                <w:color w:val="000000"/>
                <w:sz w:val="16"/>
              </w:rPr>
              <w:t>Preferred Dividends</w:t>
            </w:r>
            <w:r>
              <w:rPr>
                <w:rFonts w:ascii="DM Sans;sans-serif" w:hAnsi="DM Sans;sans-serif"/>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w:t>
            </w:r>
          </w:p>
        </w:tc>
        <w:tc>
          <w:tcPr>
            <w:tcW w:w="21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Fixed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16,009</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32,384</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28,386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Fixed-Charge Coverage Ratio - REIT Portfolio and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x</w:t>
            </w:r>
          </w:p>
        </w:tc>
      </w:tr>
    </w:tbl>
    <w:p>
      <w:pPr>
        <w:pStyle w:val="TextBody"/>
        <w:bidi w:val="0"/>
        <w:jc w:val="left"/>
        <w:rPr/>
      </w:pPr>
      <w:r>
        <w:rPr/>
        <w:t> </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4921"/>
        <w:gridCol w:w="146"/>
        <w:gridCol w:w="298"/>
        <w:gridCol w:w="1172"/>
        <w:gridCol w:w="146"/>
        <w:gridCol w:w="146"/>
        <w:gridCol w:w="417"/>
        <w:gridCol w:w="1638"/>
        <w:gridCol w:w="226"/>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3817"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EBITDA</w:t>
            </w:r>
          </w:p>
        </w:tc>
        <w:tc>
          <w:tcPr>
            <w:tcW w:w="22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Year to Date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205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Year ended</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8"/>
              </w:rPr>
            </w:pPr>
            <w:r>
              <w:rPr>
                <w:rFonts w:ascii="DM Sans;sans-serif" w:hAnsi="DM Sans;sans-serif"/>
                <w:b/>
                <w:color w:val="FFFFFF"/>
                <w:sz w:val="18"/>
              </w:rPr>
              <w:t>Reconciliation of EBITDA to Annualized EBITDA</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June 30, 2026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December 31, 2025</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Year to Date Adjusted EBITDA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17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119,358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63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236,728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Add: Estimated adjusted EBITDA (Q2 baseline)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122,090</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Annualized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241,448</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236,728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Year to Date Realized gain and Promote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(14,454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Annualized Adjusted EBITDA excluding realized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17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241,448</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w:t>
            </w:r>
          </w:p>
        </w:tc>
        <w:tc>
          <w:tcPr>
            <w:tcW w:w="1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222,274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These amounts represent the Company’s pro-rata share of consolidated and unconsolidated investments. </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Transaction and other expenses include those costs that the Company believes are not reflective of ongoing core operating results including investment transaction costs, debt extinguishment costs and employee retirement costs.</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preferred distributions on Preferred Operating Partnership Units</w:t>
      </w:r>
    </w:p>
    <w:tbl>
      <w:tblPr>
        <w:tblW w:w="7032" w:type="dxa"/>
        <w:jc w:val="left"/>
        <w:tblInd w:w="0" w:type="dxa"/>
        <w:tblLayout w:type="fixed"/>
        <w:tblCellMar>
          <w:top w:w="28" w:type="dxa"/>
          <w:left w:w="28" w:type="dxa"/>
          <w:bottom w:w="28" w:type="dxa"/>
          <w:right w:w="28" w:type="dxa"/>
        </w:tblCellMar>
      </w:tblPr>
      <w:tblGrid>
        <w:gridCol w:w="3641"/>
        <w:gridCol w:w="3391"/>
      </w:tblGrid>
      <w:tr>
        <w:trPr/>
        <w:tc>
          <w:tcPr>
            <w:tcW w:w="36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247900" cy="361950"/>
                          </a:xfrm>
                          <a:prstGeom prst="rect">
                            <a:avLst/>
                          </a:prstGeom>
                        </pic:spPr>
                      </pic:pic>
                    </a:graphicData>
                  </a:graphic>
                </wp:inline>
              </w:drawing>
            </w:r>
          </w:p>
        </w:tc>
        <w:tc>
          <w:tcPr>
            <w:tcW w:w="339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440" w:type="dxa"/>
        <w:jc w:val="left"/>
        <w:tblInd w:w="0" w:type="dxa"/>
        <w:tblLayout w:type="fixed"/>
        <w:tblCellMar>
          <w:top w:w="28" w:type="dxa"/>
          <w:left w:w="28" w:type="dxa"/>
          <w:bottom w:w="28" w:type="dxa"/>
          <w:right w:w="28" w:type="dxa"/>
        </w:tblCellMar>
      </w:tblPr>
      <w:tblGrid>
        <w:gridCol w:w="6543"/>
        <w:gridCol w:w="897"/>
      </w:tblGrid>
      <w:tr>
        <w:trPr/>
        <w:tc>
          <w:tcPr>
            <w:tcW w:w="654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7440" w:type="dxa"/>
            <w:gridSpan w:val="2"/>
            <w:tcBorders>
              <w:bottom w:val="single" w:sz="12" w:space="0" w:color="F73929"/>
            </w:tcBorders>
            <w:tcMar>
              <w:top w:w="0" w:type="dxa"/>
              <w:left w:w="0" w:type="dxa"/>
              <w:right w:w="0" w:type="dxa"/>
            </w:tcMar>
            <w:vAlign w:val="center"/>
          </w:tcPr>
          <w:p>
            <w:pPr>
              <w:pStyle w:val="TableContents"/>
              <w:bidi w:val="0"/>
              <w:spacing w:before="0" w:after="283"/>
              <w:jc w:val="left"/>
              <w:rPr>
                <w:rFonts w:ascii="Times New Roman" w:hAnsi="Times New Roman"/>
                <w:sz w:val="28"/>
              </w:rPr>
            </w:pPr>
            <w:bookmarkStart w:id="18" w:name="same_property_net_op_income"/>
            <w:bookmarkEnd w:id="18"/>
            <w:r>
              <w:rPr>
                <w:rFonts w:ascii="PP Fragment;PP Fragment Sans;sans-serif" w:hAnsi="PP Fragment;PP Fragment Sans;sans-serif"/>
                <w:b/>
                <w:color w:val="F73929"/>
                <w:sz w:val="28"/>
              </w:rPr>
              <w:t>Same Property Performance – REIT Portfolio</w:t>
            </w:r>
            <w:r>
              <w:rPr>
                <w:rFonts w:ascii="PP Fragment;PP Fragment Sans;sans-serif" w:hAnsi="PP Fragment;PP Fragment Sans;sans-serif"/>
                <w:b/>
                <w:color w:val="F73929"/>
                <w:sz w:val="19"/>
              </w:rPr>
              <w:t>1</w:t>
            </w:r>
          </w:p>
        </w:tc>
      </w:tr>
      <w:tr>
        <w:trPr/>
        <w:tc>
          <w:tcPr>
            <w:tcW w:w="6543"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8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6"/>
        <w:gridCol w:w="146"/>
        <w:gridCol w:w="212"/>
        <w:gridCol w:w="679"/>
        <w:gridCol w:w="257"/>
        <w:gridCol w:w="146"/>
        <w:gridCol w:w="212"/>
        <w:gridCol w:w="679"/>
        <w:gridCol w:w="256"/>
        <w:gridCol w:w="146"/>
        <w:gridCol w:w="243"/>
        <w:gridCol w:w="778"/>
        <w:gridCol w:w="316"/>
        <w:gridCol w:w="146"/>
        <w:gridCol w:w="211"/>
        <w:gridCol w:w="781"/>
        <w:gridCol w:w="146"/>
        <w:gridCol w:w="146"/>
        <w:gridCol w:w="211"/>
        <w:gridCol w:w="781"/>
        <w:gridCol w:w="146"/>
        <w:gridCol w:w="146"/>
        <w:gridCol w:w="243"/>
        <w:gridCol w:w="778"/>
        <w:gridCol w:w="364"/>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03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185"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Quarter Ended June 30,</w:t>
            </w:r>
          </w:p>
        </w:tc>
        <w:tc>
          <w:tcPr>
            <w:tcW w:w="25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Year to Date June 30,</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25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 Change</w:t>
            </w:r>
          </w:p>
        </w:tc>
        <w:tc>
          <w:tcPr>
            <w:tcW w:w="31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2025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 Change</w:t>
            </w:r>
          </w:p>
        </w:tc>
        <w:tc>
          <w:tcPr>
            <w:tcW w:w="364"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Summary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Minimum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43,467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40,086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85,839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80,088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7.2</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Expense reimbursements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10,386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720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(6.5</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54,573</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50,560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109,283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102,002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7.1</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Property operating - CAM &amp; 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13,231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12,678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property operating (Non-CAM)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1,778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13.2</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15,009</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14,174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6.7</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Same Property NOI - REIT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39,564</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36,386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8.7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78,407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73,064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7.3</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Reconciliation of Same Property NOI to REIT Portfolio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NOI of Properties excluded from Same 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5,566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2,243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REIT Portfolio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45,130</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38,629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Other same property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Economic Occupancy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Leased Occupancy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95.5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above amounts include the pro-rata share of the Company’s REIT Portfolio consolidated and unconsolidated investments.</w:t>
      </w:r>
    </w:p>
    <w:tbl>
      <w:tblPr>
        <w:tblW w:w="7032" w:type="dxa"/>
        <w:jc w:val="left"/>
        <w:tblInd w:w="0" w:type="dxa"/>
        <w:tblLayout w:type="fixed"/>
        <w:tblCellMar>
          <w:top w:w="28" w:type="dxa"/>
          <w:left w:w="28" w:type="dxa"/>
          <w:bottom w:w="28" w:type="dxa"/>
          <w:right w:w="28" w:type="dxa"/>
        </w:tblCellMar>
      </w:tblPr>
      <w:tblGrid>
        <w:gridCol w:w="3641"/>
        <w:gridCol w:w="3391"/>
      </w:tblGrid>
      <w:tr>
        <w:trPr/>
        <w:tc>
          <w:tcPr>
            <w:tcW w:w="36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247900" cy="361950"/>
                          </a:xfrm>
                          <a:prstGeom prst="rect">
                            <a:avLst/>
                          </a:prstGeom>
                        </pic:spPr>
                      </pic:pic>
                    </a:graphicData>
                  </a:graphic>
                </wp:inline>
              </w:drawing>
            </w:r>
          </w:p>
        </w:tc>
        <w:tc>
          <w:tcPr>
            <w:tcW w:w="339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100" w:type="dxa"/>
        <w:jc w:val="left"/>
        <w:tblInd w:w="0" w:type="dxa"/>
        <w:tblLayout w:type="fixed"/>
        <w:tblCellMar>
          <w:top w:w="28" w:type="dxa"/>
          <w:left w:w="28" w:type="dxa"/>
          <w:bottom w:w="28" w:type="dxa"/>
          <w:right w:w="28" w:type="dxa"/>
        </w:tblCellMar>
      </w:tblPr>
      <w:tblGrid>
        <w:gridCol w:w="3701"/>
        <w:gridCol w:w="4399"/>
      </w:tblGrid>
      <w:tr>
        <w:trPr/>
        <w:tc>
          <w:tcPr>
            <w:tcW w:w="3701" w:type="dxa"/>
            <w:tcBorders/>
            <w:vAlign w:val="center"/>
          </w:tcPr>
          <w:p>
            <w:pPr>
              <w:pStyle w:val="TableContents"/>
              <w:bidi w:val="0"/>
              <w:spacing w:before="0" w:after="283"/>
              <w:jc w:val="left"/>
              <w:rPr>
                <w:sz w:val="4"/>
                <w:szCs w:val="4"/>
              </w:rPr>
            </w:pPr>
            <w:r>
              <w:rPr>
                <w:sz w:val="4"/>
                <w:szCs w:val="4"/>
              </w:rPr>
            </w:r>
          </w:p>
        </w:tc>
        <w:tc>
          <w:tcPr>
            <w:tcW w:w="4399" w:type="dxa"/>
            <w:tcBorders/>
            <w:vAlign w:val="center"/>
          </w:tcPr>
          <w:p>
            <w:pPr>
              <w:pStyle w:val="TableContents"/>
              <w:bidi w:val="0"/>
              <w:spacing w:before="0" w:after="283"/>
              <w:jc w:val="left"/>
              <w:rPr>
                <w:sz w:val="4"/>
                <w:szCs w:val="4"/>
              </w:rPr>
            </w:pPr>
            <w:r>
              <w:rPr>
                <w:sz w:val="4"/>
                <w:szCs w:val="4"/>
              </w:rPr>
            </w:r>
          </w:p>
        </w:tc>
      </w:tr>
      <w:tr>
        <w:trPr/>
        <w:tc>
          <w:tcPr>
            <w:tcW w:w="8100"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bookmarkStart w:id="19" w:name="core_new_and_renewal_rent_spreads"/>
            <w:bookmarkEnd w:id="19"/>
            <w:r>
              <w:rPr>
                <w:rFonts w:ascii="PP Fragment;PP Fragment Sans;sans-serif" w:hAnsi="PP Fragment;PP Fragment Sans;sans-serif"/>
                <w:b/>
                <w:color w:val="F73929"/>
                <w:sz w:val="28"/>
              </w:rPr>
              <w:t>New and Renewal Rent Spreads – REIT Portfolio</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7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9"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3421"/>
        <w:gridCol w:w="146"/>
        <w:gridCol w:w="691"/>
        <w:gridCol w:w="146"/>
        <w:gridCol w:w="691"/>
        <w:gridCol w:w="781"/>
        <w:gridCol w:w="146"/>
        <w:gridCol w:w="691"/>
        <w:gridCol w:w="146"/>
        <w:gridCol w:w="691"/>
        <w:gridCol w:w="146"/>
        <w:gridCol w:w="73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w:t>
            </w:r>
          </w:p>
        </w:tc>
        <w:tc>
          <w:tcPr>
            <w:tcW w:w="161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157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Year to Date</w:t>
            </w:r>
          </w:p>
        </w:tc>
      </w:tr>
      <w:tr>
        <w:trPr/>
        <w:tc>
          <w:tcPr>
            <w:tcW w:w="34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March 31, 2026</w:t>
            </w:r>
          </w:p>
        </w:tc>
        <w:tc>
          <w:tcPr>
            <w:tcW w:w="161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June 30, 2026</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157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June 30, 2026</w:t>
            </w:r>
          </w:p>
        </w:tc>
      </w:tr>
      <w:tr>
        <w:trPr/>
        <w:tc>
          <w:tcPr>
            <w:tcW w:w="34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GAAP </w:t>
            </w:r>
            <w:r>
              <w:rPr>
                <w:rFonts w:ascii="DM Sans;sans-serif" w:hAnsi="DM Sans;sans-serif"/>
                <w:b/>
                <w:color w:val="FFFFFF"/>
                <w:sz w:val="10"/>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Cash </w:t>
            </w:r>
            <w:r>
              <w:rPr>
                <w:rFonts w:ascii="DM Sans;sans-serif" w:hAnsi="DM Sans;sans-serif"/>
                <w:b/>
                <w:color w:val="FFFFFF"/>
                <w:sz w:val="10"/>
              </w:rPr>
              <w:t>3</w:t>
            </w:r>
          </w:p>
        </w:tc>
        <w:tc>
          <w:tcPr>
            <w:tcW w:w="78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GAAP </w:t>
            </w:r>
            <w:r>
              <w:rPr>
                <w:rFonts w:ascii="DM Sans;sans-serif" w:hAnsi="DM Sans;sans-serif"/>
                <w:b/>
                <w:color w:val="FFFFFF"/>
                <w:sz w:val="10"/>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Cash </w:t>
            </w:r>
            <w:r>
              <w:rPr>
                <w:rFonts w:ascii="DM Sans;sans-serif" w:hAnsi="DM Sans;sans-serif"/>
                <w:b/>
                <w:color w:val="FFFFFF"/>
                <w:sz w:val="10"/>
              </w:rPr>
              <w:t>3</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GAAP </w:t>
            </w:r>
            <w:r>
              <w:rPr>
                <w:rFonts w:ascii="DM Sans;sans-serif" w:hAnsi="DM Sans;sans-serif"/>
                <w:b/>
                <w:color w:val="FFFFFF"/>
                <w:sz w:val="10"/>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Cash </w:t>
            </w:r>
            <w:r>
              <w:rPr>
                <w:rFonts w:ascii="DM Sans;sans-serif" w:hAnsi="DM Sans;sans-serif"/>
                <w:b/>
                <w:color w:val="FFFFFF"/>
                <w:sz w:val="10"/>
              </w:rPr>
              <w:t>3</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New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Number of new leases executed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20,214</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9,614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9,614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29,828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29,828</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$34.00</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$383.87</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$345.87</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$149.15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$134.52</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Previous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$26.04</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$179.11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$180.76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$74.69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$75.91</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Average cost per square foot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$173.55</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$260.43</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$260.43</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$201.55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$201.55</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Weighted Average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12.8</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Percentage growth in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30.6 %</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114.3 %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91.3 %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99.7 %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77.2 %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Renewal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Number of renewal leases executed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162,160</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9,144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9,144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171,304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171,304</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$47.34</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$36.02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$34.73</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$49.16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$46.67</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Expiring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$43.03</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$33.74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$34.09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$40.88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$42.56</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Average cost per square foot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$3.70</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$3.61</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Weighted Average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4.8</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Percentage growth in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10.0 %</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6.8 %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1.9 %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20.3 %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9.7 %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New and Renewal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Number of new and renewal leases executed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GLA commencing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182,374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182,374</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18,758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18,758</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201,132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201,132</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$45.86</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$214.30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$194.20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$63.99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$59.70</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Expiring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$41.15</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$108.25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$109.26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$45.89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$47.51</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Average cost per square foot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$22.53</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$134.46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$134.46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$32.96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$32.96</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Weighted Average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Percentage growth in 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11.4%</w:t>
            </w:r>
          </w:p>
        </w:tc>
        <w:tc>
          <w:tcPr>
            <w:tcW w:w="7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98.0 %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77.7%</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39.4 %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25.7 %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120" w:after="283"/>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120" w:after="283"/>
        <w:jc w:val="both"/>
        <w:rPr/>
      </w:pPr>
      <w:r>
        <w:rPr>
          <w:rFonts w:ascii="PP Fragment;PP Fragment Sans Light;sans-serif" w:hAnsi="PP Fragment;PP Fragment Sans Light;sans-serif"/>
          <w:b w:val="false"/>
          <w:color w:val="000000"/>
          <w:sz w:val="16"/>
        </w:rPr>
        <w:t xml:space="preserve">Based on lease execution dates. Does not include leased square footage and costs related to first generation space and the Company's construction and/or redevelopment projects (see </w:t>
      </w:r>
      <w:hyperlink w:anchor="development_and_redevelopment_activity">
        <w:r>
          <w:rPr>
            <w:rStyle w:val="InternetLink"/>
            <w:rFonts w:ascii="PP Fragment;PP Fragment Sans Light;sans-serif" w:hAnsi="PP Fragment;PP Fragment Sans Light;sans-serif"/>
            <w:b w:val="false"/>
            <w:color w:val="F73929"/>
            <w:sz w:val="16"/>
            <w:u w:val="single"/>
          </w:rPr>
          <w:t>Development and Redevelopment Activity</w:t>
        </w:r>
      </w:hyperlink>
      <w:r>
        <w:rPr>
          <w:color w:val="4472C4"/>
        </w:rPr>
        <w:t xml:space="preserve"> </w:t>
      </w:r>
      <w:r>
        <w:rPr>
          <w:rFonts w:ascii="PP Fragment;PP Fragment Sans Light;sans-serif" w:hAnsi="PP Fragment;PP Fragment Sans Light;sans-serif"/>
          <w:b w:val="false"/>
          <w:color w:val="000000"/>
          <w:sz w:val="16"/>
        </w:rPr>
        <w:t>page of this Supplemental Report) in both new and renewal leases. Renewal leases include exercised options.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Rents are calculated on a straight-line (GAAP) basis and do not incorporate above- or below-market lease adjustments.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Rents have not been calculated on a straight-line basis. The previous (or expiring) rent reflects the amount at the time of lease expiration, while the new rent represents the amount payable at lease commencement.</w:t>
      </w:r>
    </w:p>
    <w:p>
      <w:pPr>
        <w:pStyle w:val="TextBody"/>
        <w:bidi w:val="0"/>
        <w:spacing w:before="120" w:after="283"/>
        <w:jc w:val="left"/>
        <w:rPr>
          <w:rFonts w:ascii="PP Fragment Sans Light;sans-serif" w:hAnsi="PP Fragment Sans Light;sans-serif"/>
          <w:b w:val="false"/>
          <w:color w:val="000000"/>
          <w:sz w:val="2"/>
        </w:rPr>
      </w:pPr>
      <w:r>
        <w:rPr>
          <w:rFonts w:ascii="PP Fragment Sans Light;sans-serif" w:hAnsi="PP Fragment Sans Light;sans-serif"/>
          <w:b w:val="false"/>
          <w:color w:val="000000"/>
          <w:sz w:val="2"/>
        </w:rPr>
        <w:t>(1)</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852" w:type="dxa"/>
        <w:jc w:val="left"/>
        <w:tblInd w:w="0" w:type="dxa"/>
        <w:tblLayout w:type="fixed"/>
        <w:tblCellMar>
          <w:top w:w="28" w:type="dxa"/>
          <w:left w:w="28" w:type="dxa"/>
          <w:bottom w:w="28" w:type="dxa"/>
          <w:right w:w="28" w:type="dxa"/>
        </w:tblCellMar>
      </w:tblPr>
      <w:tblGrid>
        <w:gridCol w:w="3661"/>
        <w:gridCol w:w="191"/>
      </w:tblGrid>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Transactional Activity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bookmarkStart w:id="20" w:name="transactional_activity"/>
      <w:bookmarkEnd w:id="20"/>
      <w:r>
        <w:rPr/>
        <w:t> </w:t>
      </w:r>
    </w:p>
    <w:tbl>
      <w:tblPr>
        <w:tblW w:w="10205" w:type="dxa"/>
        <w:jc w:val="left"/>
        <w:tblInd w:w="0" w:type="dxa"/>
        <w:tblLayout w:type="fixed"/>
        <w:tblCellMar>
          <w:top w:w="28" w:type="dxa"/>
          <w:left w:w="28" w:type="dxa"/>
          <w:bottom w:w="28" w:type="dxa"/>
          <w:right w:w="28" w:type="dxa"/>
        </w:tblCellMar>
      </w:tblPr>
      <w:tblGrid>
        <w:gridCol w:w="2282"/>
        <w:gridCol w:w="146"/>
        <w:gridCol w:w="1250"/>
        <w:gridCol w:w="146"/>
        <w:gridCol w:w="1127"/>
        <w:gridCol w:w="146"/>
        <w:gridCol w:w="1111"/>
        <w:gridCol w:w="146"/>
        <w:gridCol w:w="1094"/>
        <w:gridCol w:w="146"/>
        <w:gridCol w:w="1515"/>
        <w:gridCol w:w="146"/>
        <w:gridCol w:w="950"/>
      </w:tblGrid>
      <w:tr>
        <w:trPr/>
        <w:tc>
          <w:tcPr>
            <w:tcW w:w="2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shd w:fill="ABC8EB"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5"/>
              </w:rPr>
            </w:pPr>
            <w:r>
              <w:rPr>
                <w:rFonts w:ascii="DM Sans;sans-serif" w:hAnsi="DM Sans;sans-serif"/>
                <w:b/>
                <w:color w:val="000000"/>
                <w:sz w:val="15"/>
              </w:rPr>
              <w:t>Property Acquisitions and Dispositions</w:t>
            </w:r>
          </w:p>
        </w:tc>
      </w:tr>
      <w:tr>
        <w:trPr/>
        <w:tc>
          <w:tcPr>
            <w:tcW w:w="2282"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Property Name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Location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Date of</w:t>
              <w:br/>
              <w:t>Transaction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Transaction</w:t>
              <w:br/>
              <w:t xml:space="preserve">Amount </w:t>
            </w:r>
            <w:r>
              <w:rPr>
                <w:rFonts w:ascii="DM Sans;sans-serif" w:hAnsi="DM Sans;sans-serif"/>
                <w:b/>
                <w:color w:val="FFFFFF"/>
                <w:sz w:val="10"/>
              </w:rPr>
              <w:t>1</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Ownership %</w:t>
            </w:r>
            <w:r>
              <w:rPr>
                <w:rFonts w:ascii="Times New Roman" w:hAnsi="Times New Roman"/>
                <w:color w:val="FFFFFF"/>
                <w:sz w:val="15"/>
              </w:rPr>
              <w:t> </w:t>
            </w:r>
            <w:r>
              <w:rPr>
                <w:rFonts w:ascii="DM Sans;sans-serif" w:hAnsi="DM Sans;sans-serif"/>
                <w:b/>
                <w:color w:val="FFFFFF"/>
                <w:sz w:val="10"/>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Investment Management </w:t>
              <w:br/>
              <w:t>Share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 Share</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ACQUISITIONS</w:t>
            </w:r>
            <w:r>
              <w:rPr>
                <w:rFonts w:ascii="Times New Roman" w:hAnsi="Times New Roman"/>
                <w:color w:val="000000"/>
                <w:sz w:val="15"/>
              </w:rPr>
              <w:t> </w:t>
            </w:r>
            <w:r>
              <w:rPr>
                <w:rFonts w:ascii="DM Sans;sans-serif" w:hAnsi="DM Sans;sans-serif"/>
                <w:b/>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1045 and 1165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$21,313</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Rhode Island Place (Strategic Add-on)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Washington 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9,464</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846 W. Armitage Avenue (Strategic Add-on)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4,440</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225 Worth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Palm Beach,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43,469</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4-6 and 28 Newbury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Boston, 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April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110,154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110,154</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129 5th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9,599</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8800-8804 Melrose Avenue </w:t>
            </w:r>
            <w:r>
              <w:rPr>
                <w:rFonts w:ascii="DM Sans;sans-serif" w:hAnsi="DM Sans;sans-serif"/>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West Hollywood,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July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29,000</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227,439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227,439</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u w:val="single"/>
              </w:rPr>
            </w:pPr>
            <w:r>
              <w:rPr>
                <w:rFonts w:ascii="DM Sans;sans-serif" w:hAnsi="DM Sans;sans-serif"/>
                <w:color w:val="000000"/>
                <w:sz w:val="15"/>
                <w:u w:val="single"/>
              </w:rPr>
              <w:t>Other Co-Investment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Shops at Skyview</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Queens,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424,140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84,828</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$651,579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$312,267</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RECAPITALIZATIONS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u w:val="single"/>
              </w:rPr>
            </w:pPr>
            <w:r>
              <w:rPr>
                <w:rFonts w:ascii="DM Sans;sans-serif" w:hAnsi="DM Sans;sans-serif"/>
                <w:color w:val="000000"/>
                <w:sz w:val="15"/>
                <w:u w:val="single"/>
              </w:rPr>
              <w:t>Other Co-Investment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Atlantic Portfolio </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Various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February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$373,203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$74,641</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Avenue at West Cobb</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Marietta, 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February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12,541</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Pinewood Square</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Lake Worth,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13,641</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$504,115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$100,823</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RECAPITALIZATIONS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DISPOSITIONS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u w:val="single"/>
              </w:rPr>
              <w:t>Investment Management</w:t>
            </w:r>
            <w:r>
              <w:rPr>
                <w:rFonts w:ascii="DM Sans;sans-serif" w:hAnsi="DM Sans;sans-serif"/>
                <w:b/>
                <w:color w:val="000000"/>
                <w:sz w:val="15"/>
              </w:rPr>
              <w:t xml:space="preserve">: </w:t>
            </w:r>
            <w:r>
              <w:rPr>
                <w:rFonts w:ascii="DM Sans;sans-serif" w:hAnsi="DM Sans;sans-serif"/>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u w:val="single"/>
              </w:rPr>
            </w:pPr>
            <w:r>
              <w:rPr>
                <w:rFonts w:ascii="DM Sans;sans-serif" w:hAnsi="DM Sans;sans-serif"/>
                <w:color w:val="000000"/>
                <w:sz w:val="15"/>
                <w:u w:val="single"/>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1964 Union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March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$541</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650 Bald Hill Road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Warwick, 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April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4,266</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4,807</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u w:val="single"/>
              </w:rPr>
            </w:pPr>
            <w:r>
              <w:rPr>
                <w:rFonts w:ascii="DM Sans;sans-serif" w:hAnsi="DM Sans;sans-serif"/>
                <w:color w:val="000000"/>
                <w:sz w:val="15"/>
                <w:u w:val="single"/>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Landstown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Virginia Beach,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20,502</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Atlantic Portfolio </w:t>
            </w:r>
            <w:r>
              <w:rPr>
                <w:rFonts w:ascii="DM Sans;sans-serif" w:hAnsi="DM Sans;sans-serif"/>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Various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February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74,744</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New Towne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Canton, MI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4,724</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Tri-City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Vernon, 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56,250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11,306</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559,863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553,613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111,276</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DISPOSITIONS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$582,963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$574,403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$116,083</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8" w:type="dxa"/>
            <w:gridSpan w:val="9"/>
            <w:tcBorders/>
            <w:shd w:fill="ABC8EB"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5"/>
              </w:rPr>
            </w:pPr>
            <w:r>
              <w:rPr>
                <w:rFonts w:ascii="DM Sans;sans-serif" w:hAnsi="DM Sans;sans-serif"/>
                <w:b/>
                <w:color w:val="000000"/>
                <w:sz w:val="15"/>
              </w:rPr>
              <w:t>Structured Financing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Note Description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Transaction Type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Date of </w:t>
              <w:br/>
              <w:t>Transaction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Transaction</w:t>
              <w:br/>
              <w:t>Amount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Acadia </w:t>
              <w:b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Shops at Skyview</w:t>
            </w:r>
            <w:r>
              <w:rPr>
                <w:rFonts w:ascii="DM Sans;sans-serif" w:hAnsi="DM Sans;sans-serif"/>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Preferred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January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Atlantic Portfolio (TPG Recapitalization)</w:t>
            </w:r>
            <w:r>
              <w:rPr>
                <w:rFonts w:ascii="DM Sans;sans-serif" w:hAnsi="DM Sans;sans-serif"/>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Preferred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February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City Point Loan </w:t>
            </w:r>
            <w:r>
              <w:rPr>
                <w:rFonts w:ascii="DM Sans;sans-serif" w:hAnsi="DM Sans;sans-serif"/>
                <w:color w:val="000000"/>
                <w:sz w:val="1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$69,200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$113,831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97" w:type="dxa"/>
        <w:jc w:val="left"/>
        <w:tblInd w:w="0" w:type="dxa"/>
        <w:tblLayout w:type="fixed"/>
        <w:tblCellMar>
          <w:top w:w="28" w:type="dxa"/>
          <w:left w:w="28" w:type="dxa"/>
          <w:bottom w:w="28" w:type="dxa"/>
          <w:right w:w="28" w:type="dxa"/>
        </w:tblCellMar>
      </w:tblPr>
      <w:tblGrid>
        <w:gridCol w:w="5206"/>
        <w:gridCol w:w="191"/>
      </w:tblGrid>
      <w:tr>
        <w:trPr/>
        <w:tc>
          <w:tcPr>
            <w:tcW w:w="520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520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Notes to Transactional Activity</w:t>
            </w:r>
            <w:r>
              <w:rPr>
                <w:rFonts w:ascii="Times New Roman" w:hAnsi="Times New Roman"/>
                <w:color w:val="F73929"/>
                <w:sz w:val="28"/>
              </w:rPr>
              <w:t xml:space="preserve"> </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Transaction amounts include capitalized costs, where applicable. Refer to Note 2 in the Company’s latest Form 10-Q or 10-K for further discussion of any such transactions.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Ownership percentages for those properties in Funds II, III, IV, and V within our Investment Management platform represent the respective Investment Management’s ownership, not the Company’s proportionate share.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Acquisitions that closed after June 30, 2026 do not reflect certain acquisitions costs that may be subsequently capitalized.</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The difference between the acquisition amounts and the disposition amounts are due to acquisition costs, which are included in the acquisition amount only.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 provided a $41.7 million preferred equity investment to the venture, of which it also holds a 20% ownership interest. The transaction amount presented reflects the Company’s preferred equity investment net of the portion attributable to its ownership interest.</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6.</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 provided a $27.5 million preferred equity investment to the venture, of which it also holds a 20% ownership interest. The transaction amount presented reflects the Company’s preferred equity investment net of the portion attributable to its ownership interest.</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7.</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During the three months ended June 30, 2026, the Company acquired the remaining interests of the other Fund II investors in City Point for total consideration of $67.1 million, comprised of the assumption of the remaining investors’ portion of the City Point Loan and accrued interest balance of $58.5 million and a cash payment of $8.6 million, increasing its ownership in Fund II from 80% to 100%. Refer to Note 10 in the Company’s 10-Q for the period ended June 30, 2026.</w:t>
      </w:r>
    </w:p>
    <w:p>
      <w:pPr>
        <w:pStyle w:val="TextBody"/>
        <w:bidi w:val="0"/>
        <w:jc w:val="both"/>
        <w:rPr/>
      </w:pPr>
      <w:r>
        <w:rPr/>
        <w:t> </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727" w:type="dxa"/>
        <w:jc w:val="left"/>
        <w:tblInd w:w="0" w:type="dxa"/>
        <w:tblLayout w:type="fixed"/>
        <w:tblCellMar>
          <w:top w:w="28" w:type="dxa"/>
          <w:left w:w="28" w:type="dxa"/>
          <w:bottom w:w="28" w:type="dxa"/>
          <w:right w:w="28" w:type="dxa"/>
        </w:tblCellMar>
      </w:tblPr>
      <w:tblGrid>
        <w:gridCol w:w="253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2026 Guidance</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sz w:val="4"/>
                <w:szCs w:val="4"/>
              </w:rPr>
            </w:pPr>
            <w:r>
              <w:rPr>
                <w:sz w:val="4"/>
                <w:szCs w:val="4"/>
              </w:rPr>
            </w:r>
            <w:bookmarkStart w:id="21" w:name="guidance"/>
            <w:bookmarkStart w:id="22" w:name="guidance"/>
            <w:bookmarkEnd w:id="22"/>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20"/>
        </w:rPr>
      </w:pPr>
      <w:r>
        <w:rPr>
          <w:rFonts w:ascii="PP Fragment;PP Fragment Sans Light;sans-serif" w:hAnsi="PP Fragment;PP Fragment Sans Light;sans-serif"/>
          <w:b w:val="false"/>
          <w:color w:val="000000"/>
          <w:sz w:val="20"/>
        </w:rPr>
        <w:t>The Company increased its full year Net Earnings, NAREIT FFO and FFO As Adjusted guidance. The following updated guidance is based upon Acadia’s current view of market conditions and assumptions for the year ended December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23"/>
        <w:gridCol w:w="146"/>
        <w:gridCol w:w="1132"/>
        <w:gridCol w:w="146"/>
        <w:gridCol w:w="1065"/>
        <w:gridCol w:w="193"/>
      </w:tblGrid>
      <w:tr>
        <w:trPr/>
        <w:tc>
          <w:tcPr>
            <w:tcW w:w="7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52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343" w:type="dxa"/>
            <w:gridSpan w:val="3"/>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DM Sans;sans-serif" w:hAnsi="DM Sans;sans-serif"/>
                <w:b/>
                <w:color w:val="FFFFFF"/>
                <w:sz w:val="18"/>
              </w:rPr>
              <w:t xml:space="preserve">2026 Guidance </w:t>
            </w:r>
            <w:r>
              <w:rPr>
                <w:rFonts w:ascii="DM Sans;sans-serif" w:hAnsi="DM Sans;sans-serif"/>
                <w:b/>
                <w:color w:val="FFFFFF"/>
                <w:sz w:val="12"/>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Revised</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Prior</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Net earnings per share attributable to Acadia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$0.40-$0.41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$0.37-$0.39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Depreciation of real estate and amortization of leasing costs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0.96-0.97</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0.95-0.97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Gain on disposition on real estate properties (net of noncontrolling interest share other than Common OP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(0.24)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Adjustment of redeemable noncontrolling interest to estimated redemption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Noncontrolling interest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0.03</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pPr>
            <w:r>
              <w:rPr/>
              <w:t> </w:t>
            </w:r>
          </w:p>
        </w:tc>
        <w:tc>
          <w:tcPr>
            <w:tcW w:w="106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NAREIT FFO per share attributable to Common Shareholders and Common OP Unit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$1.19-$1.21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$1.17-$1.21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EEF3F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Adjustments to FFO:</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Transaction and other expenses </w:t>
            </w:r>
            <w:r>
              <w:rPr>
                <w:rFonts w:ascii="DM Sans;sans-serif" w:hAnsi="DM Sans;sans-serif"/>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FFF5ED"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8"/>
              </w:rPr>
            </w:pPr>
            <w:r>
              <w:rPr>
                <w:rFonts w:ascii="DM Sans;sans-serif" w:hAnsi="DM Sans;sans-serif"/>
                <w:color w:val="000000"/>
                <w:sz w:val="18"/>
              </w:rPr>
              <w:t>0.05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EEF3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FFO As Adjusted per share attributable to Common Shareholders and Common OP Unit Holders </w:t>
            </w:r>
            <w:r>
              <w:rPr>
                <w:rFonts w:ascii="DM Sans;sans-serif" w:hAnsi="DM Sans;sans-serif"/>
                <w:b/>
                <w:color w:val="000000"/>
                <w:sz w:val="12"/>
              </w:rPr>
              <w:t>3</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EEF3FB"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$1.24-$1.26</w:t>
            </w:r>
          </w:p>
        </w:tc>
        <w:tc>
          <w:tcPr>
            <w:tcW w:w="146" w:type="dxa"/>
            <w:tcBorders/>
            <w:shd w:fill="EEF3FB"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tcBorders/>
            <w:shd w:fill="EEF3FB"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000000"/>
                <w:sz w:val="18"/>
              </w:rPr>
            </w:pPr>
            <w:r>
              <w:rPr>
                <w:rFonts w:ascii="DM Sans;sans-serif" w:hAnsi="DM Sans;sans-serif"/>
                <w:b/>
                <w:color w:val="000000"/>
                <w:sz w:val="18"/>
              </w:rPr>
              <w:t>$1.22-$1.26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5"/>
        </w:rPr>
      </w:pPr>
      <w:r>
        <w:rPr>
          <w:rFonts w:ascii="PP Fragment Sans Light;sans-serif" w:hAnsi="PP Fragment Sans Light;sans-serif"/>
          <w:b w:val="false"/>
          <w:color w:val="000000"/>
          <w:sz w:val="15"/>
        </w:rPr>
        <w:t>1.</w:t>
      </w:r>
    </w:p>
    <w:p>
      <w:pPr>
        <w:pStyle w:val="TextBody"/>
        <w:bidi w:val="0"/>
        <w:spacing w:before="0" w:after="0"/>
        <w:jc w:val="both"/>
        <w:rPr>
          <w:rFonts w:ascii="PP Fragment;PP Fragment Sans Light;sans-serif" w:hAnsi="PP Fragment;PP Fragment Sans Light;sans-serif"/>
          <w:b w:val="false"/>
          <w:color w:val="000000"/>
          <w:sz w:val="15"/>
        </w:rPr>
      </w:pPr>
      <w:r>
        <w:rPr>
          <w:rFonts w:ascii="PP Fragment;PP Fragment Sans Light;sans-serif" w:hAnsi="PP Fragment;PP Fragment Sans Light;sans-serif"/>
          <w:b w:val="false"/>
          <w:color w:val="000000"/>
          <w:sz w:val="15"/>
        </w:rPr>
        <w:t>Totals may not foot due to rounding.</w:t>
      </w:r>
    </w:p>
    <w:p>
      <w:pPr>
        <w:pStyle w:val="TextBody"/>
        <w:bidi w:val="0"/>
        <w:spacing w:before="0" w:after="0"/>
        <w:jc w:val="both"/>
        <w:rPr>
          <w:rFonts w:ascii="PP Fragment Sans Light;sans-serif" w:hAnsi="PP Fragment Sans Light;sans-serif"/>
          <w:b w:val="false"/>
          <w:color w:val="000000"/>
          <w:sz w:val="15"/>
        </w:rPr>
      </w:pPr>
      <w:r>
        <w:rPr>
          <w:rFonts w:ascii="PP Fragment Sans Light;sans-serif" w:hAnsi="PP Fragment Sans Light;sans-serif"/>
          <w:b w:val="false"/>
          <w:color w:val="000000"/>
          <w:sz w:val="15"/>
        </w:rPr>
        <w:t>2.</w:t>
      </w:r>
    </w:p>
    <w:p>
      <w:pPr>
        <w:pStyle w:val="TextBody"/>
        <w:bidi w:val="0"/>
        <w:spacing w:before="0" w:after="0"/>
        <w:jc w:val="both"/>
        <w:rPr>
          <w:rFonts w:ascii="PP Fragment;PP Fragment Sans Light;sans-serif" w:hAnsi="PP Fragment;PP Fragment Sans Light;sans-serif"/>
          <w:b w:val="false"/>
          <w:color w:val="000000"/>
          <w:sz w:val="15"/>
        </w:rPr>
      </w:pPr>
      <w:r>
        <w:rPr>
          <w:rFonts w:ascii="PP Fragment;PP Fragment Sans Light;sans-serif" w:hAnsi="PP Fragment;PP Fragment Sans Light;sans-serif"/>
          <w:b w:val="false"/>
          <w:color w:val="000000"/>
          <w:sz w:val="15"/>
        </w:rPr>
        <w:t>Transaction and other expenses include those costs that the Company believes are not reflective of ongoing core operating results, including investment transaction costs, debt extinguishment costs and employee retirement costs.</w:t>
      </w:r>
    </w:p>
    <w:p>
      <w:pPr>
        <w:pStyle w:val="TextBody"/>
        <w:bidi w:val="0"/>
        <w:spacing w:before="0" w:after="0"/>
        <w:jc w:val="both"/>
        <w:rPr>
          <w:rFonts w:ascii="PP Fragment Sans Light;sans-serif" w:hAnsi="PP Fragment Sans Light;sans-serif"/>
          <w:b w:val="false"/>
          <w:color w:val="000000"/>
          <w:sz w:val="15"/>
        </w:rPr>
      </w:pPr>
      <w:r>
        <w:rPr>
          <w:rFonts w:ascii="PP Fragment Sans Light;sans-serif" w:hAnsi="PP Fragment Sans Light;sans-serif"/>
          <w:b w:val="false"/>
          <w:color w:val="000000"/>
          <w:sz w:val="15"/>
        </w:rPr>
        <w:t>3.</w:t>
      </w:r>
    </w:p>
    <w:p>
      <w:pPr>
        <w:pStyle w:val="TextBody"/>
        <w:bidi w:val="0"/>
        <w:jc w:val="both"/>
        <w:rPr/>
      </w:pPr>
      <w:r>
        <w:rPr>
          <w:rFonts w:ascii="PP Fragment;PP Fragment Sans Light;sans-serif" w:hAnsi="PP Fragment;PP Fragment Sans Light;sans-serif"/>
          <w:b w:val="false"/>
          <w:color w:val="000000"/>
          <w:sz w:val="15"/>
        </w:rPr>
        <w:t xml:space="preserve">Refer to the </w:t>
      </w:r>
      <w:hyperlink w:anchor="imp_notes">
        <w:r>
          <w:rPr>
            <w:rStyle w:val="InternetLink"/>
            <w:rFonts w:ascii="PP Fragment;PP Fragment Sans Light;sans-serif" w:hAnsi="PP Fragment;PP Fragment Sans Light;sans-serif"/>
            <w:b w:val="false"/>
            <w:color w:val="F73929"/>
            <w:sz w:val="15"/>
            <w:u w:val="single"/>
          </w:rPr>
          <w:t>Important Notes</w:t>
        </w:r>
      </w:hyperlink>
      <w:r>
        <w:rPr>
          <w:color w:val="000000"/>
        </w:rPr>
        <w:t xml:space="preserve"> </w:t>
      </w:r>
      <w:r>
        <w:rPr>
          <w:rFonts w:ascii="PP Fragment;PP Fragment Sans Light;sans-serif" w:hAnsi="PP Fragment;PP Fragment Sans Light;sans-serif"/>
          <w:b w:val="false"/>
          <w:color w:val="000000"/>
          <w:sz w:val="15"/>
        </w:rPr>
        <w:t>for the definition of FFO As Adjusted.</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23" w:name="consolidated_income_statement"/>
      <w:bookmarkEnd w:id="23"/>
      <w:r>
        <w:rPr/>
        <w:t> </w:t>
      </w:r>
    </w:p>
    <w:tbl>
      <w:tblPr>
        <w:tblW w:w="6732" w:type="dxa"/>
        <w:jc w:val="left"/>
        <w:tblInd w:w="0" w:type="dxa"/>
        <w:tblLayout w:type="fixed"/>
        <w:tblCellMar>
          <w:top w:w="28" w:type="dxa"/>
          <w:left w:w="28" w:type="dxa"/>
          <w:bottom w:w="28" w:type="dxa"/>
          <w:right w:w="28" w:type="dxa"/>
        </w:tblCellMar>
      </w:tblPr>
      <w:tblGrid>
        <w:gridCol w:w="6541"/>
        <w:gridCol w:w="191"/>
      </w:tblGrid>
      <w:tr>
        <w:trPr/>
        <w:tc>
          <w:tcPr>
            <w:tcW w:w="6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4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Consolidated Statements of Operations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54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8638" w:type="dxa"/>
        <w:jc w:val="left"/>
        <w:tblInd w:w="0" w:type="dxa"/>
        <w:tblLayout w:type="fixed"/>
        <w:tblCellMar>
          <w:top w:w="28" w:type="dxa"/>
          <w:left w:w="28" w:type="dxa"/>
          <w:bottom w:w="28" w:type="dxa"/>
          <w:right w:w="28" w:type="dxa"/>
        </w:tblCellMar>
      </w:tblPr>
      <w:tblGrid>
        <w:gridCol w:w="5486"/>
        <w:gridCol w:w="146"/>
        <w:gridCol w:w="226"/>
        <w:gridCol w:w="766"/>
        <w:gridCol w:w="166"/>
        <w:gridCol w:w="146"/>
        <w:gridCol w:w="253"/>
        <w:gridCol w:w="992"/>
        <w:gridCol w:w="166"/>
        <w:gridCol w:w="291"/>
      </w:tblGrid>
      <w:tr>
        <w:trPr/>
        <w:tc>
          <w:tcPr>
            <w:tcW w:w="5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8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49"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DM Sans;sans-serif" w:hAnsi="DM Sans;sans-serif"/>
                <w:b/>
                <w:color w:val="FFFFFF"/>
                <w:sz w:val="17"/>
              </w:rPr>
              <w:t xml:space="preserve">June 30, 2026 </w:t>
            </w:r>
            <w:r>
              <w:rPr>
                <w:rFonts w:ascii="DM Sans;sans-serif" w:hAnsi="DM Sans;sans-serif"/>
                <w:b/>
                <w:color w:val="FFFFFF"/>
                <w:sz w:val="11"/>
              </w:rPr>
              <w:t>1</w:t>
            </w:r>
          </w:p>
        </w:tc>
        <w:tc>
          <w:tcPr>
            <w:tcW w:w="16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Quarter</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Year to Date</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Rental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91,188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189,756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4,235</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8,659</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7"/>
              </w:rPr>
            </w:pPr>
            <w:r>
              <w:rPr>
                <w:rFonts w:ascii="DM Sans;sans-serif" w:hAnsi="DM Sans;sans-serif"/>
                <w:color w:val="000000"/>
                <w:sz w:val="17"/>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95,423</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198,415</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35,162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75,317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11,782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27,085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12,735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25,657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Property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17,039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35,288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766"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76,718</w:t>
            </w:r>
          </w:p>
        </w:tc>
        <w:tc>
          <w:tcPr>
            <w:tcW w:w="166"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992"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163,347</w:t>
            </w:r>
          </w:p>
        </w:tc>
        <w:tc>
          <w:tcPr>
            <w:tcW w:w="166"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291" w:type="dxa"/>
            <w:tcBorders>
              <w:top w:val="single" w:sz="4" w:space="0" w:color="000000"/>
            </w:tcBorders>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3,969</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146,117</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b/>
                <w:color w:val="000000"/>
                <w:sz w:val="17"/>
              </w:rPr>
            </w:pPr>
            <w:r>
              <w:rPr>
                <w:rFonts w:ascii="DM Sans;sans-serif" w:hAnsi="DM Sans;sans-serif"/>
                <w:b/>
                <w:color w:val="000000"/>
                <w:sz w:val="17"/>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22,674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181,185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Equity in earnings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13,929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12,421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6,557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11,345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Unrealized holding losses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(649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(20,143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(42,195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b/>
                <w:color w:val="000000"/>
                <w:sz w:val="17"/>
              </w:rPr>
            </w:pPr>
            <w:r>
              <w:rPr>
                <w:rFonts w:ascii="DM Sans;sans-serif" w:hAnsi="DM Sans;sans-serif"/>
                <w:b/>
                <w:color w:val="000000"/>
                <w:sz w:val="17"/>
              </w:rPr>
              <w:t>Income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22,984</w:t>
            </w:r>
          </w:p>
        </w:tc>
        <w:tc>
          <w:tcPr>
            <w:tcW w:w="16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992"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162,107</w:t>
            </w:r>
          </w:p>
        </w:tc>
        <w:tc>
          <w:tcPr>
            <w:tcW w:w="16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2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(154</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(166</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b/>
                <w:color w:val="000000"/>
                <w:sz w:val="17"/>
              </w:rPr>
            </w:pPr>
            <w:r>
              <w:rPr>
                <w:rFonts w:ascii="DM Sans;sans-serif" w:hAnsi="DM Sans;sans-serif"/>
                <w:b/>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22,830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161,941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Net loss attributable to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981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1,679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(12,773</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(122,105</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b/>
                <w:color w:val="000000"/>
                <w:sz w:val="17"/>
              </w:rPr>
            </w:pPr>
            <w:r>
              <w:rPr>
                <w:rFonts w:ascii="DM Sans;sans-serif" w:hAnsi="DM Sans;sans-serif"/>
                <w:b/>
                <w:color w:val="000000"/>
                <w:sz w:val="17"/>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7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11,038</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99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41,515</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9"/>
        <w:gridCol w:w="146"/>
        <w:gridCol w:w="226"/>
        <w:gridCol w:w="766"/>
        <w:gridCol w:w="146"/>
        <w:gridCol w:w="146"/>
        <w:gridCol w:w="245"/>
        <w:gridCol w:w="963"/>
        <w:gridCol w:w="146"/>
        <w:gridCol w:w="192"/>
      </w:tblGrid>
      <w:tr>
        <w:trPr/>
        <w:tc>
          <w:tcPr>
            <w:tcW w:w="7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2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DM Sans;sans-serif" w:hAnsi="DM Sans;sans-serif"/>
                <w:b/>
                <w:color w:val="FFFFFF"/>
                <w:sz w:val="17"/>
              </w:rPr>
              <w:t xml:space="preserve">June 30, 2026 </w:t>
            </w:r>
            <w:r>
              <w:rPr>
                <w:rFonts w:ascii="DM Sans;sans-serif" w:hAnsi="DM Sans;sans-serif"/>
                <w:b/>
                <w:color w:val="FFFFFF"/>
                <w:sz w:val="11"/>
              </w:rPr>
              <w:t>1</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Quarter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Year to Date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Reconciliation of Revenues to Consolidated GAAP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88,995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9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184,949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Straight-line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1,104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1,270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Above/below-market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2,112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5,474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2,052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3,363</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Investment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961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3,177</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Other income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199</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182</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Consolidated Total GAAP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7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95,423</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96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198,415</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Reconciliation of Property Operating Expenses to Consolidated GAAP 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Property operating - CAM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12,243</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w:t>
            </w:r>
          </w:p>
        </w:tc>
        <w:tc>
          <w:tcPr>
            <w:tcW w:w="9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26,913</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Asset and property management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3,924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7,450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872</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925</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Consolidated Total GAAP Property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7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17,039</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7"/>
              </w:rPr>
            </w:pPr>
            <w:r>
              <w:rPr>
                <w:rFonts w:ascii="DM Sans;sans-serif" w:hAnsi="DM Sans;sans-serif"/>
                <w:b/>
                <w:color w:val="000000"/>
                <w:sz w:val="17"/>
              </w:rPr>
              <w:t>$</w:t>
            </w:r>
          </w:p>
        </w:tc>
        <w:tc>
          <w:tcPr>
            <w:tcW w:w="963"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7"/>
              </w:rPr>
            </w:pPr>
            <w:r>
              <w:rPr>
                <w:rFonts w:ascii="DM Sans;sans-serif" w:hAnsi="DM Sans;sans-serif"/>
                <w:b/>
                <w:color w:val="000000"/>
                <w:sz w:val="17"/>
              </w:rPr>
              <w:t>35,288</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037" w:type="dxa"/>
        <w:jc w:val="left"/>
        <w:tblInd w:w="0" w:type="dxa"/>
        <w:tblLayout w:type="fixed"/>
        <w:tblCellMar>
          <w:top w:w="28" w:type="dxa"/>
          <w:left w:w="28" w:type="dxa"/>
          <w:bottom w:w="28" w:type="dxa"/>
          <w:right w:w="28" w:type="dxa"/>
        </w:tblCellMar>
      </w:tblPr>
      <w:tblGrid>
        <w:gridCol w:w="7846"/>
        <w:gridCol w:w="191"/>
      </w:tblGrid>
      <w:tr>
        <w:trPr/>
        <w:tc>
          <w:tcPr>
            <w:tcW w:w="7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46"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PP Fragment;PP Fragment Sans;sans-serif" w:hAnsi="PP Fragment;PP Fragment Sans;sans-serif"/>
                <w:b/>
                <w:color w:val="F73929"/>
                <w:sz w:val="28"/>
              </w:rPr>
            </w:pPr>
            <w:bookmarkStart w:id="24" w:name="income_statement_detail"/>
            <w:bookmarkEnd w:id="24"/>
            <w:r>
              <w:rPr>
                <w:rFonts w:ascii="PP Fragment;PP Fragment Sans;sans-serif" w:hAnsi="PP Fragment;PP Fragment Sans;sans-serif"/>
                <w:b/>
                <w:color w:val="F73929"/>
                <w:sz w:val="28"/>
              </w:rPr>
              <w:t>Consolidated Statements of Operations - Detail</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pPr>
            <w:r>
              <w:rPr/>
              <w:t> </w:t>
            </w:r>
          </w:p>
        </w:tc>
      </w:tr>
      <w:tr>
        <w:trPr/>
        <w:tc>
          <w:tcPr>
            <w:tcW w:w="784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96"/>
        <w:gridCol w:w="146"/>
        <w:gridCol w:w="226"/>
        <w:gridCol w:w="841"/>
        <w:gridCol w:w="181"/>
        <w:gridCol w:w="146"/>
        <w:gridCol w:w="252"/>
        <w:gridCol w:w="989"/>
        <w:gridCol w:w="228"/>
      </w:tblGrid>
      <w:tr>
        <w:trPr/>
        <w:tc>
          <w:tcPr>
            <w:tcW w:w="7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June 30, 2026 </w:t>
            </w:r>
            <w:r>
              <w:rPr>
                <w:rFonts w:ascii="DM Sans;sans-serif" w:hAnsi="DM Sans;sans-serif"/>
                <w:b/>
                <w:color w:val="FFFFFF"/>
                <w:sz w:val="11"/>
              </w:rPr>
              <w:t>1</w:t>
            </w:r>
          </w:p>
        </w:tc>
        <w:tc>
          <w:tcPr>
            <w:tcW w:w="228"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719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REIT PORTFOLIO AND INVESTMENT MANAGEMENT INCOME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Quarter</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Year to Date</w:t>
            </w:r>
          </w:p>
        </w:tc>
        <w:tc>
          <w:tcPr>
            <w:tcW w:w="228"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Minimum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69,680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143,964</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Expense reimbursements - 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9,482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19,614</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Expense reimbursements -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8,519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18,262</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Percentage rent and 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1,314</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3,109</w:t>
            </w:r>
          </w:p>
        </w:tc>
        <w:tc>
          <w:tcPr>
            <w:tcW w:w="22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88,995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184,949</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Property operating - 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12,243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26,913</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12,735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25,657</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and property management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3,924</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7,450</w:t>
            </w:r>
          </w:p>
        </w:tc>
        <w:tc>
          <w:tcPr>
            <w:tcW w:w="22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28,902</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60,020</w:t>
            </w:r>
          </w:p>
        </w:tc>
        <w:tc>
          <w:tcPr>
            <w:tcW w:w="22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NET OPERATING INCOME -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60,093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124,929</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6,557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11,345</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Straight-line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1,104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1,270</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Above/below-market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2,112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5,474</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Interest expense </w:t>
            </w:r>
            <w:r>
              <w:rPr>
                <w:rFonts w:ascii="DM Sans;sans-serif" w:hAnsi="DM San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(19,507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(41,559</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417</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REIT PORTFOLIO AND INVESTMENT MANAGEMENT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50,573</w:t>
            </w:r>
          </w:p>
        </w:tc>
        <w:tc>
          <w:tcPr>
            <w:tcW w:w="181"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52"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989"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101,876</w:t>
            </w:r>
          </w:p>
        </w:tc>
        <w:tc>
          <w:tcPr>
            <w:tcW w:w="228"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000000"/>
                <w:sz w:val="16"/>
              </w:rPr>
              <w:t xml:space="preserve">FEE AND OTHER INCOME </w:t>
            </w:r>
            <w:r>
              <w:rPr>
                <w:rFonts w:ascii="DM Sans;sans-serif" w:hAnsi="DM Sans;sans-serif"/>
                <w:b/>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2,052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3,363</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961</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3,177</w:t>
            </w:r>
          </w:p>
        </w:tc>
        <w:tc>
          <w:tcPr>
            <w:tcW w:w="22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Investment Management 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3,013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6,540</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Transactional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(1,523</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(1,796</w:t>
            </w:r>
          </w:p>
        </w:tc>
        <w:tc>
          <w:tcPr>
            <w:tcW w:w="22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Investment Management Fee Income and Other Transactional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1,490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4,744</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Unrealized losses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(649</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(154</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(166</w:t>
            </w:r>
          </w:p>
        </w:tc>
        <w:tc>
          <w:tcPr>
            <w:tcW w:w="22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 Fee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1,303</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3,929</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(11,782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(27,085</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(35,108</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(75,170</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Non-real estate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3,969</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146,117</w:t>
            </w:r>
          </w:p>
        </w:tc>
        <w:tc>
          <w:tcPr>
            <w:tcW w:w="22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Gain (loss) before equity in earnings and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8,901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149,520</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Equity in earnings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13,929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12,421</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Noncontrolling interests (including 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(11,792</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(120,426</w:t>
            </w:r>
          </w:p>
        </w:tc>
        <w:tc>
          <w:tcPr>
            <w:tcW w:w="22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41"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NET INCOME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11,038</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w:t>
            </w:r>
          </w:p>
        </w:tc>
        <w:tc>
          <w:tcPr>
            <w:tcW w:w="98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41,515</w:t>
            </w:r>
          </w:p>
        </w:tc>
        <w:tc>
          <w:tcPr>
            <w:tcW w:w="228"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490" w:type="dxa"/>
        <w:jc w:val="left"/>
        <w:tblInd w:w="0" w:type="dxa"/>
        <w:tblLayout w:type="fixed"/>
        <w:tblCellMar>
          <w:top w:w="28" w:type="dxa"/>
          <w:left w:w="28" w:type="dxa"/>
          <w:bottom w:w="28" w:type="dxa"/>
          <w:right w:w="28" w:type="dxa"/>
        </w:tblCellMar>
      </w:tblPr>
      <w:tblGrid>
        <w:gridCol w:w="7256"/>
        <w:gridCol w:w="1234"/>
      </w:tblGrid>
      <w:tr>
        <w:trPr/>
        <w:tc>
          <w:tcPr>
            <w:tcW w:w="725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8490" w:type="dxa"/>
            <w:gridSpan w:val="2"/>
            <w:tcBorders>
              <w:bottom w:val="single" w:sz="12" w:space="0" w:color="F73929"/>
            </w:tcBorders>
            <w:tcMar>
              <w:top w:w="0" w:type="dxa"/>
              <w:left w:w="0" w:type="dxa"/>
              <w:right w:w="0" w:type="dxa"/>
            </w:tcMar>
            <w:vAlign w:val="center"/>
          </w:tcPr>
          <w:p>
            <w:pPr>
              <w:pStyle w:val="TableContents"/>
              <w:bidi w:val="0"/>
              <w:spacing w:before="0" w:after="283"/>
              <w:jc w:val="left"/>
              <w:rPr>
                <w:rFonts w:ascii="Times New Roman" w:hAnsi="Times New Roman"/>
                <w:sz w:val="28"/>
              </w:rPr>
            </w:pPr>
            <w:bookmarkStart w:id="25" w:name="statements_of_ops_pro_rata"/>
            <w:bookmarkEnd w:id="25"/>
            <w:r>
              <w:rPr>
                <w:rFonts w:ascii="PP Fragment;PP Fragment Sans;sans-serif" w:hAnsi="PP Fragment;PP Fragment Sans;sans-serif"/>
                <w:b/>
                <w:color w:val="F73929"/>
                <w:sz w:val="28"/>
              </w:rPr>
              <w:t>Statements of Operations – Pro-Rata Adjustments</w:t>
            </w:r>
            <w:r>
              <w:rPr>
                <w:rFonts w:ascii="Times New Roman" w:hAnsi="Times New Roman"/>
                <w:color w:val="F73929"/>
                <w:sz w:val="28"/>
              </w:rPr>
              <w:t xml:space="preserve"> </w:t>
            </w:r>
            <w:r>
              <w:rPr>
                <w:rFonts w:ascii="PP Fragment;PP Fragment Sans;sans-serif" w:hAnsi="PP Fragment;PP Fragment Sans;sans-serif"/>
                <w:b/>
                <w:color w:val="F73929"/>
                <w:sz w:val="19"/>
              </w:rPr>
              <w:t>7</w:t>
            </w:r>
          </w:p>
        </w:tc>
      </w:tr>
      <w:tr>
        <w:trPr/>
        <w:tc>
          <w:tcPr>
            <w:tcW w:w="725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234"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7"/>
        <w:gridCol w:w="146"/>
        <w:gridCol w:w="288"/>
        <w:gridCol w:w="1048"/>
        <w:gridCol w:w="190"/>
        <w:gridCol w:w="153"/>
        <w:gridCol w:w="330"/>
        <w:gridCol w:w="1081"/>
        <w:gridCol w:w="181"/>
        <w:gridCol w:w="146"/>
        <w:gridCol w:w="260"/>
        <w:gridCol w:w="1076"/>
        <w:gridCol w:w="182"/>
        <w:gridCol w:w="147"/>
        <w:gridCol w:w="330"/>
        <w:gridCol w:w="1081"/>
        <w:gridCol w:w="229"/>
      </w:tblGrid>
      <w:tr>
        <w:trPr/>
        <w:tc>
          <w:tcPr>
            <w:tcW w:w="3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090"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 June 30, 2026</w:t>
            </w:r>
          </w:p>
        </w:tc>
        <w:tc>
          <w:tcPr>
            <w:tcW w:w="18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Year to Date June 30, 2026</w:t>
            </w:r>
          </w:p>
        </w:tc>
        <w:tc>
          <w:tcPr>
            <w:tcW w:w="229"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3337"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REIT PORTFOLIO AND INVESTMENT MANAGEMENT INCOME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Noncontrolling</w:t>
              <w:br/>
              <w:t>Interest in</w:t>
              <w:br/>
              <w:t>Consolidated</w:t>
              <w:br/>
              <w:t xml:space="preserve">Subsidiaries </w:t>
            </w:r>
            <w:r>
              <w:rPr>
                <w:rFonts w:ascii="DM Sans;sans-serif" w:hAnsi="DM Sans;sans-serif"/>
                <w:b/>
                <w:color w:val="FFFFFF"/>
                <w:sz w:val="10"/>
              </w:rPr>
              <w:t>4</w:t>
            </w:r>
          </w:p>
        </w:tc>
        <w:tc>
          <w:tcPr>
            <w:tcW w:w="190"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Company’s</w:t>
              <w:br/>
              <w:t>Interest in</w:t>
              <w:br/>
              <w:t>Unconsolidated</w:t>
              <w:br/>
              <w:t xml:space="preserve">Subsidiaries </w:t>
            </w:r>
            <w:r>
              <w:rPr>
                <w:rFonts w:ascii="DM Sans;sans-serif" w:hAnsi="DM Sans;sans-serif"/>
                <w:b/>
                <w:color w:val="FFFFFF"/>
                <w:sz w:val="10"/>
              </w:rPr>
              <w:t>5</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Noncontrolling</w:t>
              <w:br/>
              <w:t>Interest in</w:t>
              <w:br/>
              <w:t>Consolidated</w:t>
              <w:br/>
              <w:t xml:space="preserve">Subsidiaries </w:t>
            </w:r>
            <w:r>
              <w:rPr>
                <w:rFonts w:ascii="DM Sans;sans-serif" w:hAnsi="DM Sans;sans-serif"/>
                <w:b/>
                <w:color w:val="FFFFFF"/>
                <w:sz w:val="10"/>
              </w:rPr>
              <w:t>4</w:t>
            </w:r>
          </w:p>
        </w:tc>
        <w:tc>
          <w:tcPr>
            <w:tcW w:w="18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Company’s</w:t>
              <w:br/>
              <w:t>Interest in</w:t>
              <w:br/>
              <w:t>Unconsolidated</w:t>
              <w:br/>
              <w:t xml:space="preserve">Subsidiaries </w:t>
            </w:r>
            <w:r>
              <w:rPr>
                <w:rFonts w:ascii="DM Sans;sans-serif" w:hAnsi="DM Sans;sans-serif"/>
                <w:b/>
                <w:color w:val="FFFFFF"/>
                <w:sz w:val="10"/>
              </w:rPr>
              <w:t>5</w:t>
            </w:r>
          </w:p>
        </w:tc>
        <w:tc>
          <w:tcPr>
            <w:tcW w:w="22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Minimum rents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(18,491</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13,940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(42,438</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27,088</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Expense reimbursements - 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(4,204</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2,688</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(8,375</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4,972</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Expense reimbursements -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(2,597</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2,140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(6,119</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4,150</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Percentage rent and 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(465</w:t>
            </w:r>
          </w:p>
        </w:tc>
        <w:tc>
          <w:tcPr>
            <w:tcW w:w="19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867</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(1,001</w:t>
            </w:r>
          </w:p>
        </w:tc>
        <w:tc>
          <w:tcPr>
            <w:tcW w:w="1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1,515</w:t>
            </w:r>
          </w:p>
        </w:tc>
        <w:tc>
          <w:tcPr>
            <w:tcW w:w="22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(25,757</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19,635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(57,933</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37,725</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Property operating - CAM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(4,779</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3,047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(9,929</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5,728</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(3,525</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2,816</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(7,646</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5,636</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Asset and property management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(1,385</w:t>
            </w:r>
          </w:p>
        </w:tc>
        <w:tc>
          <w:tcPr>
            <w:tcW w:w="19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918</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(2,675</w:t>
            </w:r>
          </w:p>
        </w:tc>
        <w:tc>
          <w:tcPr>
            <w:tcW w:w="1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1,670</w:t>
            </w:r>
          </w:p>
        </w:tc>
        <w:tc>
          <w:tcPr>
            <w:tcW w:w="22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(9,689</w:t>
            </w:r>
          </w:p>
        </w:tc>
        <w:tc>
          <w:tcPr>
            <w:tcW w:w="19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6,781</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(20,250</w:t>
            </w:r>
          </w:p>
        </w:tc>
        <w:tc>
          <w:tcPr>
            <w:tcW w:w="1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13,034</w:t>
            </w:r>
          </w:p>
        </w:tc>
        <w:tc>
          <w:tcPr>
            <w:tcW w:w="22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NET OPERATING INCOME -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(16,068</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12,854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(37,683</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24,691</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(211</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Straight-line rent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(263</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(504</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283</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Above/below-market rent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(497</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857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(2,027</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1,587</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Interest expense </w:t>
            </w:r>
            <w:r>
              <w:rPr>
                <w:rFonts w:ascii="DM Sans;sans-serif" w:hAnsi="DM Sans;sans-serif"/>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8,703</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(5,994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19,382</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(11,551</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(179</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114</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(186</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120</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REIT PORTFOLIO AND INVESTMENT MANAGEMENT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048"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(8,336</w:t>
            </w:r>
          </w:p>
        </w:tc>
        <w:tc>
          <w:tcPr>
            <w:tcW w:w="190" w:type="dxa"/>
            <w:tcBorders>
              <w:top w:val="single" w:sz="4" w:space="0" w:color="000000"/>
            </w:tcBorders>
            <w:tcMar>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081"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8,083</w:t>
            </w:r>
          </w:p>
        </w:tc>
        <w:tc>
          <w:tcPr>
            <w:tcW w:w="1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07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(21,229</w:t>
            </w:r>
          </w:p>
        </w:tc>
        <w:tc>
          <w:tcPr>
            <w:tcW w:w="182" w:type="dxa"/>
            <w:tcBorders>
              <w:top w:val="single" w:sz="4" w:space="0" w:color="000000"/>
            </w:tcBorders>
            <w:tcMar>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081"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15,156</w:t>
            </w:r>
          </w:p>
        </w:tc>
        <w:tc>
          <w:tcPr>
            <w:tcW w:w="229"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FEE AND OTHER INCOME</w:t>
            </w:r>
            <w:r>
              <w:rPr>
                <w:rFonts w:ascii="Times New Roman" w:hAnsi="Times New Roman"/>
                <w:color w:val="000000"/>
                <w:sz w:val="15"/>
              </w:rPr>
              <w:t> </w:t>
            </w:r>
            <w:r>
              <w:rPr>
                <w:rFonts w:ascii="DM Sans;sans-serif" w:hAnsi="DM Sans;sans-serif"/>
                <w:b/>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1,663</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3,942</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167</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Investment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1,142</w:t>
            </w:r>
          </w:p>
        </w:tc>
        <w:tc>
          <w:tcPr>
            <w:tcW w:w="19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2,739</w:t>
            </w:r>
          </w:p>
        </w:tc>
        <w:tc>
          <w:tcPr>
            <w:tcW w:w="1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184</w:t>
            </w:r>
          </w:p>
        </w:tc>
        <w:tc>
          <w:tcPr>
            <w:tcW w:w="22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Investment Management 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2,805</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181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6,681</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351</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Transactional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Investment Management Fee Income and Other Transactional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2,805</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181</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6,681</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351</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Unrealized losses on investments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w:t>
            </w:r>
          </w:p>
        </w:tc>
        <w:tc>
          <w:tcPr>
            <w:tcW w:w="19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w:t>
            </w:r>
          </w:p>
        </w:tc>
        <w:tc>
          <w:tcPr>
            <w:tcW w:w="1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w:t>
            </w:r>
          </w:p>
        </w:tc>
        <w:tc>
          <w:tcPr>
            <w:tcW w:w="22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Fee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2,832</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176</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6,683</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341</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Administrative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574</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(266</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1,178</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(729</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9,275</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(9,280</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21,769</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(17,563</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Non-real estate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Loss (gain) on disposition of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(15,584</w:t>
            </w:r>
          </w:p>
        </w:tc>
        <w:tc>
          <w:tcPr>
            <w:tcW w:w="19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15,216</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(126,778</w:t>
            </w:r>
          </w:p>
        </w:tc>
        <w:tc>
          <w:tcPr>
            <w:tcW w:w="1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15,216</w:t>
            </w:r>
          </w:p>
        </w:tc>
        <w:tc>
          <w:tcPr>
            <w:tcW w:w="22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Gain (loss) before equity in earnings and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(11,239</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13,929</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(118,377</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12,421</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Equity in earnings of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Noncontrolling interests (including redeemable noncontrolling interests) </w:t>
            </w:r>
            <w:r>
              <w:rPr>
                <w:rFonts w:ascii="DM Sans;sans-serif" w:hAnsi="DM Sans;sans-serif"/>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(553</w:t>
            </w:r>
          </w:p>
        </w:tc>
        <w:tc>
          <w:tcPr>
            <w:tcW w:w="190"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(2,049</w:t>
            </w:r>
          </w:p>
        </w:tc>
        <w:tc>
          <w:tcPr>
            <w:tcW w:w="18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NET INCOME (LOSS) ATTRIBUTABLE TO ACADIA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048"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(11,792</w:t>
            </w:r>
          </w:p>
        </w:tc>
        <w:tc>
          <w:tcPr>
            <w:tcW w:w="19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53"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0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13,929</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07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(120,426</w:t>
            </w:r>
          </w:p>
        </w:tc>
        <w:tc>
          <w:tcPr>
            <w:tcW w:w="18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7"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0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12,421</w:t>
            </w:r>
          </w:p>
        </w:tc>
        <w:tc>
          <w:tcPr>
            <w:tcW w:w="22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3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637" w:type="dxa"/>
        <w:jc w:val="left"/>
        <w:tblInd w:w="0" w:type="dxa"/>
        <w:tblLayout w:type="fixed"/>
        <w:tblCellMar>
          <w:top w:w="28" w:type="dxa"/>
          <w:left w:w="28" w:type="dxa"/>
          <w:bottom w:w="28" w:type="dxa"/>
          <w:right w:w="28" w:type="dxa"/>
        </w:tblCellMar>
      </w:tblPr>
      <w:tblGrid>
        <w:gridCol w:w="244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Balance Sheet</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bookmarkStart w:id="26" w:name="consolidated_balance_sheet"/>
      <w:bookmarkEnd w:id="26"/>
      <w:r>
        <w:rPr/>
        <w:t> </w:t>
      </w:r>
    </w:p>
    <w:tbl>
      <w:tblPr>
        <w:tblW w:w="10205" w:type="dxa"/>
        <w:jc w:val="left"/>
        <w:tblInd w:w="0" w:type="dxa"/>
        <w:tblLayout w:type="fixed"/>
        <w:tblCellMar>
          <w:top w:w="28" w:type="dxa"/>
          <w:left w:w="28" w:type="dxa"/>
          <w:bottom w:w="28" w:type="dxa"/>
          <w:right w:w="28" w:type="dxa"/>
        </w:tblCellMar>
      </w:tblPr>
      <w:tblGrid>
        <w:gridCol w:w="4709"/>
        <w:gridCol w:w="146"/>
        <w:gridCol w:w="239"/>
        <w:gridCol w:w="1126"/>
        <w:gridCol w:w="166"/>
        <w:gridCol w:w="146"/>
        <w:gridCol w:w="2342"/>
        <w:gridCol w:w="146"/>
        <w:gridCol w:w="211"/>
        <w:gridCol w:w="781"/>
        <w:gridCol w:w="193"/>
      </w:tblGrid>
      <w:tr>
        <w:trPr/>
        <w:tc>
          <w:tcPr>
            <w:tcW w:w="4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709"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ASSETS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Consolidated</w:t>
              <w:br/>
              <w:t>Balance Sheet</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4"/>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Line Item Details:</w:t>
            </w:r>
          </w:p>
        </w:tc>
        <w:tc>
          <w:tcPr>
            <w:tcW w:w="19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3,089,483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b/>
                <w:color w:val="000000"/>
                <w:sz w:val="16"/>
              </w:rPr>
              <w:t>Real estate under development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194,222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324,002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1,176,836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b/>
                <w:color w:val="000000"/>
                <w:sz w:val="16"/>
              </w:rPr>
              <w:t>Summary of other 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30,564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Deferred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45,786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61,366</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Accrued 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9,190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4,682,251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Due from seller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1,367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(1,004,812</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13,826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3,677,439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Real estate under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194,222</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3,871,661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Corporate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Notes receivable, net ($2,180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154,501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263,598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18,407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99,946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94,715</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94,715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21,589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b/>
                <w:color w:val="000000"/>
                <w:sz w:val="16"/>
              </w:rPr>
              <w:t>Summary of accounts payable and other liabilities: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32,960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Lease liability - finance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32,494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16,272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72,936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Straight-line 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40,988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Deferred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25,748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14,442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Tenant security deposits, escrows,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14,951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6,835</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4,617,507</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146,452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Mortgage and other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480,045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Unsecured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1,113,650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Unsecured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43,323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146,452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liabilities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23,852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Dividends and distributions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29,185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83,189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Distributions in excess of income from, and 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16,914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1126"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1,936,610</w:t>
            </w:r>
          </w:p>
        </w:tc>
        <w:tc>
          <w:tcPr>
            <w:tcW w:w="166"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Redeemable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4,499</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Common shares, $0.001 par value per share, authorized 200,000,000 shares, issued and outstanding 137,329,896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2,829,749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25,838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Distributions in excess of 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(519,027</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2,336,697</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339,701</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2,676,398</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liabilities, redeemable noncontrolling interests,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12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4,617,507</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540" w:type="dxa"/>
        <w:jc w:val="left"/>
        <w:tblInd w:w="0" w:type="dxa"/>
        <w:tblLayout w:type="fixed"/>
        <w:tblCellMar>
          <w:top w:w="28" w:type="dxa"/>
          <w:left w:w="28" w:type="dxa"/>
          <w:bottom w:w="28" w:type="dxa"/>
          <w:right w:w="28" w:type="dxa"/>
        </w:tblCellMar>
      </w:tblPr>
      <w:tblGrid>
        <w:gridCol w:w="5589"/>
        <w:gridCol w:w="951"/>
      </w:tblGrid>
      <w:tr>
        <w:trPr/>
        <w:tc>
          <w:tcPr>
            <w:tcW w:w="558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6540"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bookmarkStart w:id="27" w:name="balance_sheet_pro_rata"/>
            <w:bookmarkEnd w:id="27"/>
            <w:r>
              <w:rPr>
                <w:rFonts w:ascii="PP Fragment;PP Fragment Sans;sans-serif" w:hAnsi="PP Fragment;PP Fragment Sans;sans-serif"/>
                <w:b/>
                <w:color w:val="F73929"/>
                <w:sz w:val="28"/>
              </w:rPr>
              <w:t>Balance Sheet – Pro-rata Adjustments</w:t>
            </w:r>
            <w:r>
              <w:rPr>
                <w:rFonts w:ascii="Times New Roman" w:hAnsi="Times New Roman"/>
                <w:color w:val="F73929"/>
                <w:sz w:val="28"/>
              </w:rPr>
              <w:t xml:space="preserve"> </w:t>
            </w:r>
            <w:r>
              <w:rPr>
                <w:rFonts w:ascii="PP Fragment;PP Fragment Sans;sans-serif" w:hAnsi="PP Fragment;PP Fragment Sans;sans-serif"/>
                <w:b/>
                <w:color w:val="F73929"/>
                <w:sz w:val="19"/>
              </w:rPr>
              <w:t>7</w:t>
            </w:r>
          </w:p>
          <w:p>
            <w:pPr>
              <w:pStyle w:val="TableContents"/>
              <w:bidi w:val="0"/>
              <w:spacing w:before="0" w:after="283"/>
              <w:jc w:val="left"/>
              <w:rPr/>
            </w:pPr>
            <w:r>
              <w:rPr/>
              <w:t> </w:t>
            </w:r>
          </w:p>
        </w:tc>
      </w:tr>
      <w:tr>
        <w:trPr/>
        <w:tc>
          <w:tcPr>
            <w:tcW w:w="5589"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95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64"/>
        <w:gridCol w:w="146"/>
        <w:gridCol w:w="304"/>
        <w:gridCol w:w="1212"/>
        <w:gridCol w:w="166"/>
        <w:gridCol w:w="146"/>
        <w:gridCol w:w="316"/>
        <w:gridCol w:w="1260"/>
        <w:gridCol w:w="291"/>
      </w:tblGrid>
      <w:tr>
        <w:trPr/>
        <w:tc>
          <w:tcPr>
            <w:tcW w:w="6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64"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ASSETS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Noncontrolling</w:t>
              <w:br/>
              <w:t>Interest in</w:t>
              <w:br/>
              <w:t>Consolidated</w:t>
              <w:br/>
              <w:t xml:space="preserve">Subsidiaries </w:t>
            </w:r>
            <w:r>
              <w:rPr>
                <w:rFonts w:ascii="DM Sans;sans-serif" w:hAnsi="DM Sans;sans-serif"/>
                <w:b/>
                <w:color w:val="FFFFFF"/>
                <w:sz w:val="11"/>
              </w:rPr>
              <w:t>4</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Company’s</w:t>
              <w:br/>
              <w:t>Interest in</w:t>
              <w:br/>
              <w:t>Unconsolidated</w:t>
              <w:br/>
              <w:t xml:space="preserve">Subsidiaries </w:t>
            </w:r>
            <w:r>
              <w:rPr>
                <w:rFonts w:ascii="DM Sans;sans-serif" w:hAnsi="DM Sans;sans-serif"/>
                <w:b/>
                <w:color w:val="FFFFFF"/>
                <w:sz w:val="11"/>
              </w:rPr>
              <w:t>5</w:t>
            </w:r>
          </w:p>
        </w:tc>
        <w:tc>
          <w:tcPr>
            <w:tcW w:w="2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(328,076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329,312</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Tenant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(22,962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14,728</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(161,738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123,745</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(2,834</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2,809</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(20,508</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21,768</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(536,118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492,362</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79,538</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(70,311</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Operating real estate,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(456,580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422,051</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Real estate under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(5,553</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2,217</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6"/>
              </w:rPr>
            </w:pPr>
            <w:r>
              <w:rPr>
                <w:rFonts w:ascii="DM Sans;sans-serif" w:hAnsi="DM Sans;sans-serif"/>
                <w:color w:val="000000"/>
                <w:sz w:val="16"/>
              </w:rPr>
              <w:t>Net investments in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(462,133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424,268</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Notes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18,276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55,373</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Investments in and advances to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(17,679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(229,807</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(16,698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46,081</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(5,061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8,316</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Right-of-use assets - 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(1,032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(14,706</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9,723</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(2,142</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3,992</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Straight-line 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(5,048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5,121</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Rents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(3,713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1,855</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Assets of property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(5,255</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1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(515,191</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6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324,922</w:t>
            </w:r>
          </w:p>
        </w:tc>
        <w:tc>
          <w:tcPr>
            <w:tcW w:w="29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Mortgage and other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(287,869</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279,417</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Unsecured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328</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Unsecured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(31,680</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34,442</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Lease liabilities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(1,075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Dividends and distributions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Lease 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(17,845</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27,975</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Distributions in excess of income from, and investments in,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(16,914</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212"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(338,141</w:t>
            </w:r>
          </w:p>
        </w:tc>
        <w:tc>
          <w:tcPr>
            <w:tcW w:w="16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1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c>
          <w:tcPr>
            <w:tcW w:w="1260"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324,922</w:t>
            </w:r>
          </w:p>
        </w:tc>
        <w:tc>
          <w:tcPr>
            <w:tcW w:w="291"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Common shares, $0.001 par value per share, authorized 200,000,000 shares, issued and outstanding 137,329,896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DM Sans;sans-serif" w:hAnsi="DM Sans;sans-serif"/>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DM Sans;sans-serif" w:hAnsi="DM Sans;sans-serif"/>
                <w:color w:val="000000"/>
                <w:sz w:val="16"/>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DM Sans;sans-serif" w:hAnsi="DM Sans;sans-serif"/>
                <w:color w:val="000000"/>
                <w:sz w:val="16"/>
              </w:rPr>
              <w:t>Distributions in excess of 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DM Sans;sans-serif" w:hAnsi="DM Sans;sans-serif"/>
                <w:color w:val="000000"/>
                <w:sz w:val="16"/>
              </w:rPr>
              <w:t>Total Acadia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(177,050</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(177,050</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r>
        <w:trPr/>
        <w:tc>
          <w:tcPr>
            <w:tcW w:w="6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Total liabilities, redeemable noncontrolling interests,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1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(515,191</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260"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324,922</w:t>
            </w:r>
          </w:p>
        </w:tc>
        <w:tc>
          <w:tcPr>
            <w:tcW w:w="29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2331"/>
        <w:gridCol w:w="2769"/>
      </w:tblGrid>
      <w:tr>
        <w:trPr/>
        <w:tc>
          <w:tcPr>
            <w:tcW w:w="2331"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c>
          <w:tcPr>
            <w:tcW w:w="5100" w:type="dxa"/>
            <w:gridSpan w:val="2"/>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Notes to Financial Statements</w:t>
            </w:r>
          </w:p>
          <w:p>
            <w:pPr>
              <w:pStyle w:val="TableContents"/>
              <w:bidi w:val="0"/>
              <w:spacing w:before="0" w:after="283"/>
              <w:jc w:val="left"/>
              <w:rPr/>
            </w:pPr>
            <w:r>
              <w:rPr/>
              <w:t> </w:t>
            </w:r>
          </w:p>
        </w:tc>
      </w:tr>
      <w:tr>
        <w:trPr/>
        <w:tc>
          <w:tcPr>
            <w:tcW w:w="2331" w:type="dxa"/>
            <w:tcBorders/>
            <w:tcMar>
              <w:top w:w="0" w:type="dxa"/>
              <w:left w:w="0" w:type="dxa"/>
              <w:bottom w:w="0" w:type="dxa"/>
              <w:right w:w="0" w:type="dxa"/>
            </w:tcMar>
            <w:vAlign w:val="center"/>
          </w:tcPr>
          <w:p>
            <w:pPr>
              <w:pStyle w:val="TableContents"/>
              <w:bidi w:val="0"/>
              <w:spacing w:before="0" w:after="283"/>
              <w:jc w:val="left"/>
              <w:rPr/>
            </w:pPr>
            <w:r>
              <w:rPr/>
              <w:t> </w:t>
            </w:r>
          </w:p>
        </w:tc>
        <w:tc>
          <w:tcPr>
            <w:tcW w:w="2769"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Results are unaudited, although they reflect all adjustments, which in the opinion of management are necessary for a fair presentation of operating results for the interim periods.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Net of consolidated capitalized interest of $2.2 million and $4.3 million for the three and six months ended June 30, 2026.</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left"/>
        <w:rPr/>
      </w:pPr>
      <w:r>
        <w:rPr>
          <w:rFonts w:ascii="PP Fragment;PP Fragment Sans Light;sans-serif" w:hAnsi="PP Fragment;PP Fragment Sans Light;sans-serif"/>
          <w:b w:val="false"/>
          <w:color w:val="000000"/>
          <w:sz w:val="16"/>
        </w:rPr>
        <w:t>Refer to</w:t>
      </w:r>
      <w:r>
        <w:rPr>
          <w:color w:val="0563C1"/>
        </w:rPr>
        <w:t xml:space="preserve"> </w:t>
      </w:r>
      <w:hyperlink w:anchor="fee_income">
        <w:r>
          <w:rPr>
            <w:rStyle w:val="InternetLink"/>
            <w:rFonts w:ascii="PP Fragment;PP Fragment Sans Light;sans-serif" w:hAnsi="PP Fragment;PP Fragment Sans Light;sans-serif"/>
            <w:b w:val="false"/>
            <w:color w:val="FF0000"/>
            <w:sz w:val="16"/>
            <w:u w:val="single"/>
          </w:rPr>
          <w:t>Fee Income Detail</w:t>
        </w:r>
      </w:hyperlink>
      <w:r>
        <w:rPr>
          <w:color w:val="F73929"/>
        </w:rPr>
        <w:t xml:space="preserve"> </w:t>
      </w:r>
      <w:r>
        <w:rPr>
          <w:rFonts w:ascii="PP Fragment;PP Fragment Sans Light;sans-serif" w:hAnsi="PP Fragment;PP Fragment Sans Light;sans-serif"/>
          <w:b w:val="false"/>
          <w:color w:val="000000"/>
          <w:sz w:val="16"/>
        </w:rPr>
        <w:t>page in the Supplemental Report.</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Noncontrolling interests represent limited partners’ interests in consolidated partnerships’ activities and redeemable noncontrolling interests.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Company’s pro-rata share of unconsolidated investments (which consists of unconsolidated REIT properties but also includes Investment Management assets that are held off-balance sheet), each of which are included on a single line presentation in the Company’s consolidated financial statements in accordance with GAAP.</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6.</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This represents the income allocable to Operating Partnership Units of $0.6 million and $2.1 million for the three and six months ended June 30, 2026.</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7.</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 currently has controlling ownership interests in both (a) Investment Management (represented by Funds II, III, IV &amp; V) and (b) non-wholly owned REIT assets. All properties which the Company is deemed to control are consolidated within the Company's financial statements.</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3492" w:type="dxa"/>
        <w:jc w:val="left"/>
        <w:tblInd w:w="0" w:type="dxa"/>
        <w:tblLayout w:type="fixed"/>
        <w:tblCellMar>
          <w:top w:w="28" w:type="dxa"/>
          <w:left w:w="28" w:type="dxa"/>
          <w:bottom w:w="28" w:type="dxa"/>
          <w:right w:w="28" w:type="dxa"/>
        </w:tblCellMar>
      </w:tblPr>
      <w:tblGrid>
        <w:gridCol w:w="3301"/>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Times New Roman" w:hAnsi="Times New Roman"/>
                <w:sz w:val="28"/>
              </w:rPr>
            </w:pPr>
            <w:bookmarkStart w:id="28" w:name="fee_income"/>
            <w:bookmarkEnd w:id="28"/>
            <w:r>
              <w:rPr>
                <w:rFonts w:ascii="PP Fragment;PP Fragment Sans;sans-serif" w:hAnsi="PP Fragment;PP Fragment Sans;sans-serif"/>
                <w:b/>
                <w:color w:val="F73929"/>
                <w:sz w:val="28"/>
              </w:rPr>
              <w:t xml:space="preserve">Fee Income Detail </w:t>
            </w:r>
            <w:r>
              <w:rPr>
                <w:rFonts w:ascii="PP Fragment;PP Fragment Sans;sans-serif" w:hAnsi="PP Fragment;PP Fragment Sans;sans-serif"/>
                <w:b/>
                <w:color w:val="F73929"/>
                <w:sz w:val="19"/>
              </w:rPr>
              <w:t>1</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left"/>
              <w:rPr/>
            </w:pPr>
            <w:r>
              <w:rPr/>
              <w:t> </w:t>
            </w:r>
          </w:p>
        </w:tc>
      </w:tr>
      <w:tr>
        <w:trPr/>
        <w:tc>
          <w:tcPr>
            <w:tcW w:w="330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8"/>
        <w:gridCol w:w="146"/>
        <w:gridCol w:w="241"/>
        <w:gridCol w:w="481"/>
        <w:gridCol w:w="146"/>
        <w:gridCol w:w="146"/>
        <w:gridCol w:w="254"/>
        <w:gridCol w:w="509"/>
        <w:gridCol w:w="146"/>
        <w:gridCol w:w="146"/>
        <w:gridCol w:w="221"/>
        <w:gridCol w:w="600"/>
        <w:gridCol w:w="146"/>
        <w:gridCol w:w="146"/>
        <w:gridCol w:w="211"/>
        <w:gridCol w:w="571"/>
        <w:gridCol w:w="146"/>
        <w:gridCol w:w="146"/>
        <w:gridCol w:w="211"/>
        <w:gridCol w:w="571"/>
        <w:gridCol w:w="146"/>
        <w:gridCol w:w="146"/>
        <w:gridCol w:w="211"/>
        <w:gridCol w:w="676"/>
        <w:gridCol w:w="194"/>
      </w:tblGrid>
      <w:tr>
        <w:trPr/>
        <w:tc>
          <w:tcPr>
            <w:tcW w:w="3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48"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III</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IV</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V</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Other </w:t>
            </w:r>
            <w:r>
              <w:rPr>
                <w:rFonts w:ascii="DM Sans;sans-serif" w:hAnsi="DM Sans;sans-serif"/>
                <w:b/>
                <w:color w:val="FFFFFF"/>
                <w:sz w:val="11"/>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94"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Year to Date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7,472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Leasing, Construction, and Development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6,100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6,502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13,572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Quarter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and property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3,790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Leasing, Construction, and Development fees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2,209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5,999</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left"/>
        <w:rPr/>
      </w:pPr>
      <w:r>
        <w:rPr>
          <w:rFonts w:ascii="PP Fragment;PP Fragment Sans Light;sans-serif" w:hAnsi="PP Fragment;PP Fragment Sans Light;sans-serif"/>
          <w:b w:val="false"/>
          <w:color w:val="000000"/>
          <w:sz w:val="16"/>
        </w:rPr>
        <w:t>Fees are shown at the Company's pro-rata share and can be derived from the</w:t>
      </w:r>
      <w:r>
        <w:rPr>
          <w:color w:val="FF0000"/>
        </w:rPr>
        <w:t xml:space="preserve"> </w:t>
      </w:r>
      <w:hyperlink w:anchor="income_statement_detail">
        <w:r>
          <w:rPr>
            <w:rStyle w:val="InternetLink"/>
            <w:rFonts w:ascii="PP Fragment;PP Fragment Sans Light;sans-serif" w:hAnsi="PP Fragment;PP Fragment Sans Light;sans-serif"/>
            <w:b w:val="false"/>
            <w:color w:val="FF0000"/>
            <w:sz w:val="16"/>
            <w:u w:val="single"/>
          </w:rPr>
          <w:t>Consolidated Statements of Operations - Detail</w:t>
        </w:r>
      </w:hyperlink>
      <w:r>
        <w:rPr>
          <w:color w:val="FF0000"/>
        </w:rPr>
        <w:t xml:space="preserve"> </w:t>
      </w:r>
      <w:r>
        <w:rPr>
          <w:rFonts w:ascii="PP Fragment;PP Fragment Sans Light;sans-serif" w:hAnsi="PP Fragment;PP Fragment Sans Light;sans-serif"/>
          <w:b w:val="false"/>
          <w:color w:val="000000"/>
          <w:sz w:val="16"/>
        </w:rPr>
        <w:t xml:space="preserve">and </w:t>
      </w:r>
      <w:hyperlink w:anchor="statements_of_ops_pro_rata">
        <w:r>
          <w:rPr>
            <w:rStyle w:val="InternetLink"/>
            <w:rFonts w:ascii="PP Fragment;PP Fragment Sans Light;sans-serif" w:hAnsi="PP Fragment;PP Fragment Sans Light;sans-serif"/>
            <w:b w:val="false"/>
            <w:color w:val="FF0000"/>
            <w:sz w:val="16"/>
            <w:u w:val="single"/>
          </w:rPr>
          <w:t>Statements of Operations - Pro-Rata Adjustments</w:t>
        </w:r>
      </w:hyperlink>
      <w:r>
        <w:rPr>
          <w:rFonts w:ascii="PP Fragment;PP Fragment Sans Light;sans-serif" w:hAnsi="PP Fragment;PP Fragment Sans Light;sans-serif"/>
          <w:b w:val="false"/>
          <w:color w:val="F73929"/>
          <w:sz w:val="16"/>
        </w:rPr>
        <w:t>.</w:t>
      </w:r>
      <w:r>
        <w:rPr>
          <w:color w:val="000000"/>
        </w:rPr>
        <w:t xml:space="preserve"> </w:t>
      </w:r>
      <w:r>
        <w:rPr>
          <w:rFonts w:ascii="PP Fragment;PP Fragment Sans Light;sans-serif" w:hAnsi="PP Fragment;PP Fragment Sans Light;sans-serif"/>
          <w:b w:val="false"/>
          <w:color w:val="000000"/>
          <w:sz w:val="16"/>
        </w:rPr>
        <w:t xml:space="preserve">The components of the total fee income to the Company are derived by the fees included on the Consolidated Statements of Operations and the Company's share of fees from the Noncontrolling Interests in Consolidated Subsidiaries and the Company's share of fee income from Unconsolidated Subsidiaries. </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left"/>
        <w:rPr>
          <w:color w:val="000000"/>
        </w:rPr>
      </w:pPr>
      <w:r>
        <w:rPr>
          <w:color w:val="000000"/>
        </w:rPr>
        <w:t>“</w:t>
      </w:r>
      <w:r>
        <w:rPr>
          <w:rFonts w:ascii="PP Fragment;PP Fragment Sans Light;sans-serif" w:hAnsi="PP Fragment;PP Fragment Sans Light;sans-serif"/>
          <w:b w:val="false"/>
          <w:color w:val="000000"/>
          <w:sz w:val="16"/>
        </w:rPr>
        <w:t>Other” includes fees generated from non-wholly owned joint ventures (within both the REIT Portfolio and Investment Management) as well as third-party managed assets.</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29" w:name="structured_financing_portfolio"/>
      <w:bookmarkEnd w:id="29"/>
      <w:r>
        <w:rPr/>
        <w:t> </w:t>
      </w:r>
    </w:p>
    <w:tbl>
      <w:tblPr>
        <w:tblW w:w="5262" w:type="dxa"/>
        <w:jc w:val="left"/>
        <w:tblInd w:w="0" w:type="dxa"/>
        <w:tblLayout w:type="fixed"/>
        <w:tblCellMar>
          <w:top w:w="28" w:type="dxa"/>
          <w:left w:w="28" w:type="dxa"/>
          <w:bottom w:w="28" w:type="dxa"/>
          <w:right w:w="28" w:type="dxa"/>
        </w:tblCellMar>
      </w:tblPr>
      <w:tblGrid>
        <w:gridCol w:w="5071"/>
        <w:gridCol w:w="191"/>
      </w:tblGrid>
      <w:tr>
        <w:trPr/>
        <w:tc>
          <w:tcPr>
            <w:tcW w:w="5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7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Structured Financing Portfolio</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4819" w:type="dxa"/>
        <w:jc w:val="left"/>
        <w:tblInd w:w="0" w:type="dxa"/>
        <w:tblLayout w:type="fixed"/>
        <w:tblCellMar>
          <w:top w:w="28" w:type="dxa"/>
          <w:left w:w="28" w:type="dxa"/>
          <w:bottom w:w="28" w:type="dxa"/>
          <w:right w:w="28" w:type="dxa"/>
        </w:tblCellMar>
      </w:tblPr>
      <w:tblGrid>
        <w:gridCol w:w="1096"/>
        <w:gridCol w:w="146"/>
        <w:gridCol w:w="211"/>
        <w:gridCol w:w="796"/>
        <w:gridCol w:w="146"/>
        <w:gridCol w:w="146"/>
        <w:gridCol w:w="211"/>
        <w:gridCol w:w="691"/>
        <w:gridCol w:w="146"/>
        <w:gridCol w:w="146"/>
        <w:gridCol w:w="211"/>
        <w:gridCol w:w="796"/>
        <w:gridCol w:w="146"/>
        <w:gridCol w:w="146"/>
        <w:gridCol w:w="358"/>
        <w:gridCol w:w="588"/>
        <w:gridCol w:w="146"/>
        <w:gridCol w:w="146"/>
        <w:gridCol w:w="252"/>
        <w:gridCol w:w="919"/>
        <w:gridCol w:w="181"/>
        <w:gridCol w:w="146"/>
        <w:gridCol w:w="211"/>
        <w:gridCol w:w="796"/>
        <w:gridCol w:w="166"/>
        <w:gridCol w:w="146"/>
        <w:gridCol w:w="211"/>
        <w:gridCol w:w="586"/>
        <w:gridCol w:w="146"/>
        <w:gridCol w:w="146"/>
        <w:gridCol w:w="211"/>
        <w:gridCol w:w="796"/>
        <w:gridCol w:w="146"/>
        <w:gridCol w:w="146"/>
        <w:gridCol w:w="185"/>
        <w:gridCol w:w="611"/>
        <w:gridCol w:w="256"/>
        <w:gridCol w:w="146"/>
        <w:gridCol w:w="199"/>
        <w:gridCol w:w="657"/>
        <w:gridCol w:w="256"/>
        <w:gridCol w:w="146"/>
        <w:gridCol w:w="88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500" w:type="dxa"/>
            <w:gridSpan w:val="10"/>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March 31, 2026</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6151"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Quarter Ended June 30, 2026</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Accrued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Ending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Repayments/</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Current</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Accrued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Ending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Stated Interest</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Effective Interest</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Maturity</w:t>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Investment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Issuances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Conversions </w:t>
            </w:r>
            <w:r>
              <w:rPr>
                <w:rFonts w:ascii="DM Sans;sans-serif" w:hAnsi="DM Sans;sans-serif"/>
                <w:b/>
                <w:color w:val="FFFFFF"/>
                <w:sz w:val="10"/>
              </w:rPr>
              <w:t>5</w:t>
            </w:r>
          </w:p>
        </w:tc>
        <w:tc>
          <w:tcPr>
            <w:tcW w:w="1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Rate</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Rate</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Dates </w:t>
            </w:r>
            <w:r>
              <w:rPr>
                <w:rFonts w:ascii="DM Sans;sans-serif" w:hAnsi="DM Sans;sans-serif"/>
                <w:b/>
                <w:color w:val="FFFFFF"/>
                <w:sz w:val="10"/>
              </w:rPr>
              <w:t>1,3</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First mortgage notes </w:t>
            </w:r>
            <w:r>
              <w:rPr>
                <w:rFonts w:ascii="DM Sans;sans-serif" w:hAnsi="DM Sans;sans-serif"/>
                <w:color w:val="000000"/>
                <w:sz w:val="1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63,610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88"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919"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59,801</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3,809</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63,610</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Sept 2026</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Other notes</w:t>
            </w:r>
            <w:r>
              <w:rPr>
                <w:rFonts w:ascii="Times New Roman" w:hAnsi="Times New Roman"/>
                <w:color w:val="000000"/>
                <w:sz w:val="15"/>
              </w:rPr>
              <w:t> </w:t>
            </w:r>
            <w:r>
              <w:rPr>
                <w:rFonts w:ascii="DM Sans;sans-serif" w:hAnsi="DM Sans;sans-serif"/>
                <w:color w:val="000000"/>
                <w:sz w:val="10"/>
              </w:rPr>
              <w:t>3, 4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229,388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(34,817</w:t>
            </w:r>
          </w:p>
        </w:tc>
        <w:tc>
          <w:tcPr>
            <w:tcW w:w="181" w:type="dxa"/>
            <w:tcBorders/>
            <w:shd w:fill="FFF5ED"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170,523</w:t>
            </w:r>
          </w:p>
        </w:tc>
        <w:tc>
          <w:tcPr>
            <w:tcW w:w="16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4,582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175,105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Nov 2026 - Feb 2029</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265,067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27,931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292,998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588"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74</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91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(34,817</w:t>
            </w:r>
          </w:p>
        </w:tc>
        <w:tc>
          <w:tcPr>
            <w:tcW w:w="18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230,324</w:t>
            </w:r>
          </w:p>
        </w:tc>
        <w:tc>
          <w:tcPr>
            <w:tcW w:w="1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5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8,391</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238,715</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7.88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8.14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Reconciliation of Notes Receivable to the Pro-Rata Balance Sheet: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5"/>
              </w:rPr>
            </w:pPr>
            <w:r>
              <w:rPr>
                <w:rFonts w:ascii="DM Sans;sans-serif" w:hAnsi="DM Sans;sans-serif"/>
                <w:color w:val="000000"/>
                <w:sz w:val="15"/>
              </w:rPr>
              <w:t>Total Notes Receivable per above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230,324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5"/>
              </w:rPr>
            </w:pPr>
            <w:r>
              <w:rPr>
                <w:rFonts w:ascii="DM Sans;sans-serif" w:hAnsi="DM Sans;sans-serif"/>
                <w:color w:val="000000"/>
                <w:sz w:val="15"/>
              </w:rPr>
              <w:t>Allowance for credit loss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43" w:type="dxa"/>
            <w:gridSpan w:val="20"/>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DM Sans;sans-serif" w:hAnsi="DM Sans;sans-serif"/>
                <w:color w:val="000000"/>
                <w:sz w:val="15"/>
              </w:rPr>
            </w:pPr>
            <w:r>
              <w:rPr>
                <w:rFonts w:ascii="DM Sans;sans-serif" w:hAnsi="DM Sans;sans-serif"/>
                <w:color w:val="000000"/>
                <w:sz w:val="15"/>
              </w:rPr>
              <w:t>Total pro-rata Notes Receivable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228,150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One note in the principal amount of $17.8 million was in default at June 30, 2026.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Certain first mortgage notes have extension options subject to customary conditions.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One note receivable with a principal balance of $5.0 million was placed on non-accrual status as of June 30, 2026, as the Company no longer considered the collection of contractual interest to be probable.</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Includes a preferred equity investment (accounted for as a note receivable) and a mezzanine loan with an aggregate carrying value of approximately $82.5 million as of June 30, 2026. Interest payments were current through June 30, 2026 utilizing reserves established in a prior restructuring. The remaining reserves were insufficient to fund the full July 2026 interest payment, resulting in a default, and the Company is evaluating a restructuring with the borrowers.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5.</w:t>
      </w:r>
    </w:p>
    <w:p>
      <w:pPr>
        <w:pStyle w:val="TextBody"/>
        <w:bidi w:val="0"/>
        <w:spacing w:before="0" w:after="0"/>
        <w:jc w:val="both"/>
        <w:rPr/>
      </w:pPr>
      <w:r>
        <w:rPr>
          <w:rFonts w:ascii="PP Fragment;PP Fragment Sans Light;sans-serif" w:hAnsi="PP Fragment;PP Fragment Sans Light;sans-serif"/>
          <w:b w:val="false"/>
          <w:color w:val="000000"/>
          <w:sz w:val="16"/>
        </w:rPr>
        <w:t xml:space="preserve">During the second quarter, the Company acquired the remaining interests of the other Fund II investors in City Point. Following the transaction, the Company owns 100% of Fund II. Refer to the </w:t>
      </w:r>
      <w:hyperlink w:anchor="transactional_activity">
        <w:r>
          <w:rPr>
            <w:rStyle w:val="InternetLink"/>
            <w:rFonts w:ascii="PP Fragment;PP Fragment Sans Light;sans-serif" w:hAnsi="PP Fragment;PP Fragment Sans Light;sans-serif"/>
            <w:b w:val="false"/>
            <w:color w:val="FF0000"/>
            <w:sz w:val="16"/>
            <w:u w:val="single"/>
          </w:rPr>
          <w:t>Transactional Activity</w:t>
        </w:r>
      </w:hyperlink>
      <w:r>
        <w:rPr>
          <w:color w:val="000000"/>
        </w:rPr>
        <w:t xml:space="preserve"> </w:t>
      </w:r>
      <w:r>
        <w:rPr>
          <w:rFonts w:ascii="PP Fragment;PP Fragment Sans Light;sans-serif" w:hAnsi="PP Fragment;PP Fragment Sans Light;sans-serif"/>
          <w:b w:val="false"/>
          <w:color w:val="000000"/>
          <w:sz w:val="16"/>
        </w:rPr>
        <w:t>page and Footnote 10 in the Company’s 10-Q for the period ended June 30, 2026.</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PP Fragment;PP Fragment Sans Light;sans-serif" w:hAnsi="PP Fragment;PP Fragment Sans Light;sans-serif"/>
          <w:b w:val="false"/>
          <w:color w:val="000000"/>
          <w:sz w:val="2"/>
        </w:rPr>
      </w:pPr>
      <w:bookmarkStart w:id="30" w:name="net_asset_valuation_information"/>
      <w:bookmarkEnd w:id="30"/>
      <w:r>
        <w:rPr>
          <w:rFonts w:ascii="PP Fragment;PP Fragment Sans Light;sans-serif" w:hAnsi="PP Fragment;PP Fragment Sans Light;sans-serif"/>
          <w:b w:val="false"/>
          <w:color w:val="000000"/>
          <w:sz w:val="2"/>
        </w:rPr>
        <w:t>9</w:t>
      </w:r>
    </w:p>
    <w:tbl>
      <w:tblPr>
        <w:tblW w:w="5562" w:type="dxa"/>
        <w:jc w:val="left"/>
        <w:tblInd w:w="0" w:type="dxa"/>
        <w:tblLayout w:type="fixed"/>
        <w:tblCellMar>
          <w:top w:w="28" w:type="dxa"/>
          <w:left w:w="28" w:type="dxa"/>
          <w:bottom w:w="28" w:type="dxa"/>
          <w:right w:w="28" w:type="dxa"/>
        </w:tblCellMar>
      </w:tblPr>
      <w:tblGrid>
        <w:gridCol w:w="5371"/>
        <w:gridCol w:w="191"/>
      </w:tblGrid>
      <w:tr>
        <w:trPr/>
        <w:tc>
          <w:tcPr>
            <w:tcW w:w="53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7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Net Asset Valuation Information</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38"/>
        <w:gridCol w:w="146"/>
        <w:gridCol w:w="211"/>
        <w:gridCol w:w="931"/>
        <w:gridCol w:w="166"/>
        <w:gridCol w:w="146"/>
        <w:gridCol w:w="215"/>
        <w:gridCol w:w="583"/>
        <w:gridCol w:w="256"/>
        <w:gridCol w:w="146"/>
        <w:gridCol w:w="211"/>
        <w:gridCol w:w="676"/>
        <w:gridCol w:w="256"/>
        <w:gridCol w:w="146"/>
        <w:gridCol w:w="211"/>
        <w:gridCol w:w="676"/>
        <w:gridCol w:w="256"/>
        <w:gridCol w:w="146"/>
        <w:gridCol w:w="371"/>
        <w:gridCol w:w="1379"/>
        <w:gridCol w:w="146"/>
        <w:gridCol w:w="193"/>
      </w:tblGrid>
      <w:tr>
        <w:trPr/>
        <w:tc>
          <w:tcPr>
            <w:tcW w:w="2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738" w:type="dxa"/>
            <w:tcBorders/>
            <w:shd w:fill="A77E4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REIT</w:t>
            </w:r>
          </w:p>
        </w:tc>
        <w:tc>
          <w:tcPr>
            <w:tcW w:w="1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III</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IV</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V</w:t>
            </w:r>
          </w:p>
        </w:tc>
        <w:tc>
          <w:tcPr>
            <w:tcW w:w="2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Other Co-Investment Vehicles</w:t>
            </w:r>
            <w:r>
              <w:rPr>
                <w:rFonts w:ascii="Times New Roman" w:hAnsi="Times New Roman"/>
                <w:color w:val="FFFFFF"/>
                <w:sz w:val="16"/>
              </w:rPr>
              <w:t> </w:t>
            </w:r>
            <w:r>
              <w:rPr>
                <w:rFonts w:ascii="DM Sans;sans-serif" w:hAnsi="DM Sans;sans-serif"/>
                <w:b/>
                <w:color w:val="FFFFFF"/>
                <w:sz w:val="11"/>
              </w:rPr>
              <w:t>5</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000000"/>
                <w:sz w:val="16"/>
                <w:u w:val="single"/>
              </w:rPr>
              <w:t>Acadia Ownership Percentage</w:t>
            </w:r>
            <w:r>
              <w:rPr>
                <w:rFonts w:ascii="Times New Roman" w:hAnsi="Times New Roman"/>
                <w:color w:val="000000"/>
                <w:sz w:val="16"/>
              </w:rPr>
              <w:t> </w:t>
            </w:r>
            <w:r>
              <w:rPr>
                <w:rFonts w:ascii="DM Sans;sans-serif" w:hAnsi="DM Sans;sans-serif"/>
                <w:b/>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 to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Current Quarter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b/>
                <w:color w:val="000000"/>
                <w:sz w:val="16"/>
                <w:u w:val="single"/>
              </w:rPr>
              <w:t xml:space="preserve">At Pro-Rata </w:t>
            </w:r>
            <w:r>
              <w:rPr>
                <w:rFonts w:ascii="DM Sans;sans-serif" w:hAnsi="DM Sans;sans-serif"/>
                <w:b/>
                <w:color w:val="000000"/>
                <w:sz w:val="11"/>
                <w:u w:val="single"/>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Net Operating Income (loss) </w:t>
            </w:r>
            <w:r>
              <w:rPr>
                <w:rFonts w:ascii="DM Sans;sans-serif" w:hAnsi="DM Sans;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operating income from properties sold or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(Income) loss from pre-stabilized assets </w:t>
            </w:r>
            <w:r>
              <w:rPr>
                <w:rFonts w:ascii="DM Sans;sans-serif" w:hAnsi="DM Sans;sans-serif"/>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(Income) loss from development and redevelopment projects </w:t>
            </w:r>
            <w:r>
              <w:rPr>
                <w:rFonts w:ascii="DM Sans;sans-serif" w:hAnsi="DM Sans;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Net operating (loss) income from pre-stabilized assets, development and redevelopment projects </w:t>
            </w:r>
            <w:r>
              <w:rPr>
                <w:rFonts w:ascii="DM Sans;sans-serif" w:hAnsi="DM Sans;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Operating Income of stabilized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3,046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Costs to Date (Pro-Rata)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Pre-stabilized assets </w:t>
            </w:r>
            <w:r>
              <w:rPr>
                <w:rFonts w:ascii="DM Sans;sans-serif" w:hAnsi="DM Sans;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350,650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8,269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Development and redevelopment projects </w:t>
            </w:r>
            <w:r>
              <w:rPr>
                <w:rFonts w:ascii="DM Sans;sans-serif" w:hAnsi="DM Sans;sans-serif"/>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548,600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27,800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Total Costs to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899,250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8,300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37,654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8"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u w:val="single"/>
              </w:rPr>
            </w:pPr>
            <w:r>
              <w:rPr>
                <w:rFonts w:ascii="DM Sans;sans-serif" w:hAnsi="DM Sans;sans-serif"/>
                <w:b/>
                <w:color w:val="000000"/>
                <w:sz w:val="16"/>
                <w:u w:val="single"/>
              </w:rPr>
              <w:t>Debt (Pro-Rata)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1,253,649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18,077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86,693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154,253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This Net Asset Valuation Information page shows Acadia’s pro-rata portion of the REIT and Investment Management Net Operating Income.</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pPr>
      <w:r>
        <w:rPr>
          <w:rFonts w:ascii="PP Fragment;PP Fragment Sans Light;sans-serif" w:hAnsi="PP Fragment;PP Fragment Sans Light;sans-serif"/>
          <w:b w:val="false"/>
          <w:color w:val="000000"/>
          <w:sz w:val="16"/>
        </w:rPr>
        <w:t xml:space="preserve">Does not include a full quarter of NOI for any assets purchased during the current quarter. See </w:t>
      </w:r>
      <w:hyperlink w:anchor="transactional_activity">
        <w:r>
          <w:rPr>
            <w:rStyle w:val="InternetLink"/>
            <w:rFonts w:ascii="PP Fragment;PP Fragment Sans Light;sans-serif" w:hAnsi="PP Fragment;PP Fragment Sans Light;sans-serif"/>
            <w:b w:val="false"/>
            <w:color w:val="F73929"/>
            <w:sz w:val="16"/>
            <w:u w:val="single"/>
          </w:rPr>
          <w:t>Transactional Activity</w:t>
        </w:r>
      </w:hyperlink>
      <w:hyperlink w:anchor="transactional_activity">
        <w:r>
          <w:rPr>
            <w:rStyle w:val="InternetLink"/>
            <w:color w:val="0000FF"/>
          </w:rPr>
          <w:t xml:space="preserve"> </w:t>
        </w:r>
      </w:hyperlink>
      <w:r>
        <w:rPr>
          <w:rFonts w:ascii="PP Fragment;PP Fragment Sans Light;sans-serif" w:hAnsi="PP Fragment;PP Fragment Sans Light;sans-serif"/>
          <w:b w:val="false"/>
          <w:color w:val="000000"/>
          <w:sz w:val="16"/>
        </w:rPr>
        <w:t xml:space="preserve">page in this Supplemental Report for descriptions of those acquisitions.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Fund II has been substantially liquidated except for its investment in City Point. Amounts omitted as only remaining asset is City Point.</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Pre-stabilized assets consist of the following projects for REIT: Route 6 Mall, 651-671 West Diversey, Henderson Avenue, City Center, 1801-03 Connecticut Avenue and 129 5th Avenue; Fund II: City Point; Fund IV: 210 Bowery, 801 Madison, 27 E 61st Street, and 1035 Third Avenue.</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Other Co-investment vehicles currently include the Company’s ownership interest in Shops at Grand Avenue, Walk at Highwoods Preserve, LINQ Promenade, Shops at Skyview, Pinewood Square, Avenue at West Cobb, and Atlantic Portfolio.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6.</w:t>
      </w:r>
    </w:p>
    <w:p>
      <w:pPr>
        <w:pStyle w:val="TextBody"/>
        <w:bidi w:val="0"/>
        <w:jc w:val="both"/>
        <w:rPr/>
      </w:pPr>
      <w:r>
        <w:rPr>
          <w:rFonts w:ascii="PP Fragment;PP Fragment Sans Light;sans-serif" w:hAnsi="PP Fragment;PP Fragment Sans Light;sans-serif"/>
          <w:b w:val="false"/>
          <w:color w:val="000000"/>
          <w:sz w:val="16"/>
        </w:rPr>
        <w:t xml:space="preserve">Refer to </w:t>
      </w:r>
      <w:hyperlink w:anchor="development_and_redevelopment_activity">
        <w:r>
          <w:rPr>
            <w:rStyle w:val="InternetLink"/>
            <w:rFonts w:ascii="PP Fragment;PP Fragment Sans Light;sans-serif" w:hAnsi="PP Fragment;PP Fragment Sans Light;sans-serif"/>
            <w:b w:val="false"/>
            <w:color w:val="F73929"/>
            <w:sz w:val="16"/>
            <w:u w:val="single"/>
          </w:rPr>
          <w:t>Development and Redevelopment Activity</w:t>
        </w:r>
      </w:hyperlink>
      <w:r>
        <w:rPr>
          <w:color w:val="4472C4"/>
        </w:rPr>
        <w:t xml:space="preserve"> </w:t>
      </w:r>
      <w:r>
        <w:rPr>
          <w:rFonts w:ascii="PP Fragment;PP Fragment Sans Light;sans-serif" w:hAnsi="PP Fragment;PP Fragment Sans Light;sans-serif"/>
          <w:b w:val="false"/>
          <w:color w:val="000000"/>
          <w:sz w:val="16"/>
        </w:rPr>
        <w:t>page for projects.</w:t>
      </w:r>
    </w:p>
    <w:p>
      <w:pPr>
        <w:pStyle w:val="TextBody"/>
        <w:bidi w:val="0"/>
        <w:jc w:val="both"/>
        <w:rPr/>
      </w:pPr>
      <w:r>
        <w:rPr/>
        <w:t> </w:t>
      </w:r>
    </w:p>
    <w:p>
      <w:pPr>
        <w:pStyle w:val="TextBody"/>
        <w:bidi w:val="0"/>
        <w:jc w:val="both"/>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22</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82" w:type="dxa"/>
        <w:jc w:val="left"/>
        <w:tblInd w:w="0" w:type="dxa"/>
        <w:tblLayout w:type="fixed"/>
        <w:tblCellMar>
          <w:top w:w="28" w:type="dxa"/>
          <w:left w:w="28" w:type="dxa"/>
          <w:bottom w:w="28" w:type="dxa"/>
          <w:right w:w="28" w:type="dxa"/>
        </w:tblCellMar>
      </w:tblPr>
      <w:tblGrid>
        <w:gridCol w:w="6991"/>
        <w:gridCol w:w="191"/>
      </w:tblGrid>
      <w:tr>
        <w:trPr/>
        <w:tc>
          <w:tcPr>
            <w:tcW w:w="6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9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Development and Redevelopment Activity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31" w:name="development_and_redevelopment_activity"/>
      <w:bookmarkEnd w:id="31"/>
      <w:r>
        <w:rPr/>
        <w:t> </w:t>
      </w:r>
    </w:p>
    <w:p>
      <w:pPr>
        <w:pStyle w:val="TextBody"/>
        <w:bidi w:val="0"/>
        <w:jc w:val="left"/>
        <w:rPr/>
      </w:pPr>
      <w:r>
        <w:rPr/>
        <w:t> </w:t>
      </w:r>
    </w:p>
    <w:tbl>
      <w:tblPr>
        <w:tblW w:w="13028" w:type="dxa"/>
        <w:jc w:val="left"/>
        <w:tblInd w:w="0" w:type="dxa"/>
        <w:tblLayout w:type="fixed"/>
        <w:tblCellMar>
          <w:top w:w="28" w:type="dxa"/>
          <w:left w:w="28" w:type="dxa"/>
          <w:bottom w:w="28" w:type="dxa"/>
          <w:right w:w="28" w:type="dxa"/>
        </w:tblCellMar>
      </w:tblPr>
      <w:tblGrid>
        <w:gridCol w:w="1456"/>
        <w:gridCol w:w="146"/>
        <w:gridCol w:w="811"/>
        <w:gridCol w:w="146"/>
        <w:gridCol w:w="1081"/>
        <w:gridCol w:w="146"/>
        <w:gridCol w:w="1156"/>
        <w:gridCol w:w="146"/>
        <w:gridCol w:w="183"/>
        <w:gridCol w:w="868"/>
        <w:gridCol w:w="146"/>
        <w:gridCol w:w="146"/>
        <w:gridCol w:w="416"/>
        <w:gridCol w:w="1085"/>
        <w:gridCol w:w="146"/>
        <w:gridCol w:w="146"/>
        <w:gridCol w:w="196"/>
        <w:gridCol w:w="511"/>
        <w:gridCol w:w="146"/>
        <w:gridCol w:w="146"/>
        <w:gridCol w:w="196"/>
        <w:gridCol w:w="421"/>
        <w:gridCol w:w="146"/>
        <w:gridCol w:w="146"/>
        <w:gridCol w:w="196"/>
        <w:gridCol w:w="511"/>
        <w:gridCol w:w="146"/>
        <w:gridCol w:w="146"/>
        <w:gridCol w:w="196"/>
        <w:gridCol w:w="511"/>
        <w:gridCol w:w="146"/>
        <w:gridCol w:w="146"/>
        <w:gridCol w:w="196"/>
        <w:gridCol w:w="51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406" w:type="dxa"/>
            <w:gridSpan w:val="2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Acadia's Pro-rata Share (in millions)</w:t>
            </w:r>
          </w:p>
        </w:tc>
        <w:tc>
          <w:tcPr>
            <w:tcW w:w="1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AKR Pro-rata share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Location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Estimated Stabilization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Est. Sq ft Upon Completion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Costs incurred from development / redevelopment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Total Costs to Date </w:t>
            </w:r>
            <w:r>
              <w:rPr>
                <w:rFonts w:ascii="DM Sans;sans-serif" w:hAnsi="DM Sans;sans-serif"/>
                <w:b/>
                <w:color w:val="FFFFFF"/>
                <w:sz w:val="10"/>
              </w:rPr>
              <w:t>2</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Estimated Future Range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Estimated Total Range</w:t>
            </w:r>
          </w:p>
        </w:tc>
        <w:tc>
          <w:tcPr>
            <w:tcW w:w="1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Henderson Avenue Expansion¹</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Dallas,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2027/2028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555 9th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840 N. Michigan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Brandywine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Wilmington, 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Westshore Expressway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Staten Island,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Mark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Edwardsville, 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Bedford Green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Bedford Hills,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REIT 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REIT Development and 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FUND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Broad Hollow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Farmingdale,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717 N. Michigan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TBD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TBD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Investment Management Development and 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REIT and Investment Management Development and 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As previously announced, the Company partnered with Ignite-Rebees DevCo LLC, and retained a 95% controlling interest in certain development projects. Ignite-Rebees DevCo LLC share of the Total Costs to Date is approximately $5.8 million and Estimated Total Range is $9.3 million to $10.2 million, which is reflected in the table above.</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 costs includes the original acquisition cost of the asset. The Company is not currently capitalizing interest or carrying costs for those assets included in “Redevelopment” assets and “Fund III development” above.</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182" w:type="dxa"/>
        <w:jc w:val="left"/>
        <w:tblInd w:w="0" w:type="dxa"/>
        <w:tblLayout w:type="fixed"/>
        <w:tblCellMar>
          <w:top w:w="28" w:type="dxa"/>
          <w:left w:w="28" w:type="dxa"/>
          <w:bottom w:w="28" w:type="dxa"/>
          <w:right w:w="28" w:type="dxa"/>
        </w:tblCellMar>
      </w:tblPr>
      <w:tblGrid>
        <w:gridCol w:w="6991"/>
        <w:gridCol w:w="191"/>
      </w:tblGrid>
      <w:tr>
        <w:trPr/>
        <w:tc>
          <w:tcPr>
            <w:tcW w:w="6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9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Development and Redevelopment Activity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2"/>
        <w:gridCol w:w="146"/>
        <w:gridCol w:w="1187"/>
        <w:gridCol w:w="146"/>
        <w:gridCol w:w="1287"/>
        <w:gridCol w:w="146"/>
        <w:gridCol w:w="1597"/>
        <w:gridCol w:w="146"/>
        <w:gridCol w:w="259"/>
        <w:gridCol w:w="1393"/>
        <w:gridCol w:w="146"/>
        <w:gridCol w:w="146"/>
        <w:gridCol w:w="146"/>
        <w:gridCol w:w="146"/>
        <w:gridCol w:w="146"/>
        <w:gridCol w:w="146"/>
        <w:gridCol w:w="146"/>
        <w:gridCol w:w="146"/>
        <w:gridCol w:w="146"/>
        <w:gridCol w:w="146"/>
        <w:gridCol w:w="146"/>
        <w:gridCol w:w="146"/>
        <w:gridCol w:w="194"/>
      </w:tblGrid>
      <w:tr>
        <w:trPr/>
        <w:tc>
          <w:tcPr>
            <w:tcW w:w="1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5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7"/>
              </w:rPr>
            </w:pPr>
            <w:r>
              <w:rPr>
                <w:rFonts w:ascii="DM Sans;sans-serif" w:hAnsi="DM Sans;sans-serif"/>
                <w:b/>
                <w:color w:val="FFFFFF"/>
                <w:sz w:val="17"/>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AKR Pro-rata share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Location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Estimated Stabilization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7"/>
              </w:rPr>
            </w:pPr>
            <w:r>
              <w:rPr>
                <w:rFonts w:ascii="DM Sans;sans-serif" w:hAnsi="DM Sans;sans-serif"/>
                <w:b/>
                <w:color w:val="FFFFFF"/>
                <w:sz w:val="17"/>
              </w:rPr>
              <w:t>Est. Sq ft Upon Completion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7"/>
                <w:u w:val="single"/>
              </w:rPr>
            </w:pPr>
            <w:r>
              <w:rPr>
                <w:rFonts w:ascii="DM Sans;sans-serif" w:hAnsi="DM Sans;sans-serif"/>
                <w:b/>
                <w:color w:val="000000"/>
                <w:sz w:val="17"/>
                <w:u w:val="single"/>
              </w:rPr>
              <w:t>Pre-Stabilized: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210 Bowery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801 Madison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27 E 61st Street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1035 Third Avenue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Henderson Avenue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Dallas,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62,000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City Center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San Francisco,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241,000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City Point (Fund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Brooklyn,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536,198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651-671 West Diversey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Chicago,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1801-03 Connecticut Avenue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Washington, 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7"/>
              </w:rPr>
            </w:pPr>
            <w:r>
              <w:rPr>
                <w:rFonts w:ascii="DM Sans;sans-serif" w:hAnsi="DM Sans;sans-serif"/>
                <w:color w:val="000000"/>
                <w:sz w:val="17"/>
              </w:rPr>
              <w:t>129 5th Avenue (REIT)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New York,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7"/>
              </w:rPr>
            </w:pPr>
            <w:r>
              <w:rPr>
                <w:rFonts w:ascii="DM Sans;sans-serif" w:hAnsi="DM Sans;sans-serif"/>
                <w:color w:val="000000"/>
                <w:sz w:val="17"/>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7"/>
              </w:rPr>
            </w:pPr>
            <w:r>
              <w:rPr>
                <w:rFonts w:ascii="DM Sans;sans-serif" w:hAnsi="DM Sans;sans-serif"/>
                <w:color w:val="000000"/>
                <w:sz w:val="17"/>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452" w:type="dxa"/>
        <w:jc w:val="left"/>
        <w:tblInd w:w="0" w:type="dxa"/>
        <w:tblLayout w:type="fixed"/>
        <w:tblCellMar>
          <w:top w:w="28" w:type="dxa"/>
          <w:left w:w="28" w:type="dxa"/>
          <w:bottom w:w="28" w:type="dxa"/>
          <w:right w:w="28" w:type="dxa"/>
        </w:tblCellMar>
      </w:tblPr>
      <w:tblGrid>
        <w:gridCol w:w="426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bookmarkStart w:id="32" w:name="portfolio_debt_summary"/>
            <w:bookmarkEnd w:id="32"/>
            <w:r>
              <w:rPr>
                <w:rFonts w:ascii="PP Fragment;PP Fragment Sans;sans-serif" w:hAnsi="PP Fragment;PP Fragment Sans;sans-serif"/>
                <w:b/>
                <w:color w:val="F73929"/>
                <w:sz w:val="28"/>
              </w:rPr>
              <w:t xml:space="preserve">Portfolio Debt </w:t>
            </w:r>
            <w:r>
              <w:rPr>
                <w:rFonts w:ascii="Times New Roman" w:hAnsi="Times New Roman"/>
                <w:color w:val="F73929"/>
                <w:sz w:val="28"/>
              </w:rPr>
              <w:t xml:space="preserve">– </w:t>
            </w:r>
            <w:r>
              <w:rPr>
                <w:rFonts w:ascii="PP Fragment;PP Fragment Sans;sans-serif" w:hAnsi="PP Fragment;PP Fragment Sans;sans-serif"/>
                <w:b/>
                <w:color w:val="F73929"/>
                <w:sz w:val="28"/>
              </w:rPr>
              <w:t>Summary</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5220" w:type="dxa"/>
        <w:jc w:val="left"/>
        <w:tblInd w:w="0" w:type="dxa"/>
        <w:tblLayout w:type="fixed"/>
        <w:tblCellMar>
          <w:top w:w="28" w:type="dxa"/>
          <w:left w:w="28" w:type="dxa"/>
          <w:bottom w:w="28" w:type="dxa"/>
          <w:right w:w="28" w:type="dxa"/>
        </w:tblCellMar>
      </w:tblPr>
      <w:tblGrid>
        <w:gridCol w:w="1141"/>
        <w:gridCol w:w="146"/>
        <w:gridCol w:w="1066"/>
        <w:gridCol w:w="146"/>
        <w:gridCol w:w="841"/>
        <w:gridCol w:w="146"/>
        <w:gridCol w:w="901"/>
        <w:gridCol w:w="146"/>
        <w:gridCol w:w="841"/>
        <w:gridCol w:w="146"/>
        <w:gridCol w:w="1066"/>
        <w:gridCol w:w="146"/>
        <w:gridCol w:w="841"/>
        <w:gridCol w:w="146"/>
        <w:gridCol w:w="916"/>
        <w:gridCol w:w="146"/>
        <w:gridCol w:w="1066"/>
        <w:gridCol w:w="146"/>
        <w:gridCol w:w="796"/>
        <w:gridCol w:w="146"/>
        <w:gridCol w:w="1336"/>
        <w:gridCol w:w="146"/>
        <w:gridCol w:w="1411"/>
        <w:gridCol w:w="146"/>
        <w:gridCol w:w="124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648"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Acadia Pro-Rata Share of Debt </w:t>
            </w:r>
            <w:r>
              <w:rPr>
                <w:rFonts w:ascii="DM Sans;sans-serif" w:hAnsi="DM Sans;sans-serif"/>
                <w:b/>
                <w:color w:val="FFFFFF"/>
                <w:sz w:val="10"/>
              </w:rPr>
              <w:t>2</w:t>
            </w:r>
          </w:p>
        </w:tc>
        <w:tc>
          <w:tcPr>
            <w:tcW w:w="4285" w:type="dxa"/>
            <w:gridSpan w:val="5"/>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05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REIT Portfolio</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88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Investment Management</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415" w:type="dxa"/>
            <w:gridSpan w:val="10"/>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Total</w:t>
            </w:r>
          </w:p>
        </w:tc>
        <w:tc>
          <w:tcPr>
            <w:tcW w:w="4285" w:type="dxa"/>
            <w:gridSpan w:val="5"/>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Reconciliation to Consolidated Debt as Reported</w:t>
            </w:r>
          </w:p>
        </w:tc>
      </w:tr>
      <w:tr>
        <w:trPr/>
        <w:tc>
          <w:tcPr>
            <w:tcW w:w="114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Debt Type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b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WA Years </w:t>
              <w:br/>
              <w:t>to</w:t>
              <w:br/>
              <w:t xml:space="preserve">Maturity </w:t>
            </w:r>
            <w:r>
              <w:rPr>
                <w:rFonts w:ascii="DM Sans;sans-serif" w:hAnsi="DM Sans;sans-serif"/>
                <w:b/>
                <w:color w:val="FFFFFF"/>
                <w:sz w:val="10"/>
              </w:rPr>
              <w:t>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b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WA Years</w:t>
              <w:br/>
              <w:t>to</w:t>
              <w:br/>
              <w:t xml:space="preserve">Maturity </w:t>
            </w:r>
            <w:r>
              <w:rPr>
                <w:rFonts w:ascii="DM Sans;sans-serif" w:hAnsi="DM Sans;sans-serif"/>
                <w:b/>
                <w:color w:val="FFFFFF"/>
                <w:sz w:val="10"/>
              </w:rPr>
              <w:t>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w:t>
              <w:br/>
              <w:t>Balance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WA Years</w:t>
              <w:br/>
              <w:t>to</w:t>
              <w:br/>
              <w:t xml:space="preserve">Maturity </w:t>
            </w:r>
            <w:r>
              <w:rPr>
                <w:rFonts w:ascii="DM Sans;sans-serif" w:hAnsi="DM Sans;sans-serif"/>
                <w:b/>
                <w:color w:val="FFFFFF"/>
                <w:sz w:val="10"/>
              </w:rPr>
              <w:t>6</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Swap</w:t>
              <w:br/>
              <w:t>Notional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 xml:space="preserve">Adjusted </w:t>
              <w:br/>
              <w:t>Debt 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br/>
              <w:t>Rate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 xml:space="preserve">Add: </w:t>
              <w:br/>
              <w:t>Noncontrolling</w:t>
              <w:br/>
              <w:t>Interest Share</w:t>
              <w:br/>
              <w:t xml:space="preserve">of Debt </w:t>
            </w:r>
            <w:r>
              <w:rPr>
                <w:rFonts w:ascii="DM Sans;sans-serif" w:hAnsi="DM Sans;sans-serif"/>
                <w:b/>
                <w:color w:val="FFFFFF"/>
                <w:sz w:val="10"/>
              </w:rPr>
              <w:t>3</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A77E4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5"/>
              </w:rPr>
            </w:pPr>
            <w:r>
              <w:rPr>
                <w:rFonts w:ascii="DM Sans;sans-serif" w:hAnsi="DM Sans;sans-serif"/>
                <w:b/>
                <w:color w:val="FFFFFF"/>
                <w:sz w:val="15"/>
              </w:rPr>
              <w:t>Less: Pro-rata</w:t>
              <w:br/>
              <w:t>Share of</w:t>
              <w:br/>
              <w:t>Unconsolidated</w:t>
              <w:br/>
              <w:t xml:space="preserve">Debt </w:t>
            </w:r>
            <w:r>
              <w:rPr>
                <w:rFonts w:ascii="DM Sans;sans-serif" w:hAnsi="DM Sans;sans-serif"/>
                <w:b/>
                <w:color w:val="FFFFFF"/>
                <w:sz w:val="10"/>
              </w:rPr>
              <w:t>4</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w:t>
              <w:br/>
              <w:t>Consolidated</w:t>
              <w:br/>
              <w:t>Debt as</w:t>
              <w:br/>
              <w:t>Reported</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Fixed-Rate Debt </w:t>
            </w:r>
            <w:r>
              <w:rPr>
                <w:rFonts w:ascii="DM Sans;sans-serif" w:hAnsi="DM Sans;sans-serif"/>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$266,716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$278,601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$1,064,951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$1,343,552</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$127,159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$(186,071)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$1,284,640</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Variable-Rate Debt </w:t>
            </w:r>
            <w:r>
              <w:rPr>
                <w:rFonts w:ascii="DM Sans;sans-serif" w:hAnsi="DM Sans;sans-serif"/>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986,933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377,763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1,364,696</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(1,064,951)</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299,745</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5ED"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162,086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367,684</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$1,253,649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$389,648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$1,643,297</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3.3</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$1,643,297</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4.3%</w:t>
            </w:r>
          </w:p>
        </w:tc>
        <w:tc>
          <w:tcPr>
            <w:tcW w:w="14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pPr>
            <w:r>
              <w:rPr/>
              <w:t> </w:t>
            </w:r>
          </w:p>
        </w:tc>
        <w:tc>
          <w:tcPr>
            <w:tcW w:w="1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$289,245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$(280,218)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1,652,324</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Unamortized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474</w:t>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Net unamortized loan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(15,780)</w:t>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Contingent loan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$1,628,894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$1,637,018</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Fixed-rate debt includes notional principal fixed through swap transactions. The interest rate includes the impact of swaps; refer to the </w:t>
      </w:r>
      <w:hyperlink w:anchor="interest_rate_summary">
        <w:r>
          <w:rPr>
            <w:rStyle w:val="InternetLink"/>
            <w:rFonts w:ascii="PP Fragment;PP Fragment Sans Light;sans-serif" w:hAnsi="PP Fragment;PP Fragment Sans Light;sans-serif"/>
            <w:b w:val="false"/>
            <w:color w:val="F73929"/>
            <w:sz w:val="16"/>
            <w:u w:val="single"/>
          </w:rPr>
          <w:t>Swap Interest Rate Summary</w:t>
        </w:r>
      </w:hyperlink>
      <w:r>
        <w:rPr>
          <w:color w:val="000000"/>
        </w:rPr>
        <w:t xml:space="preserve"> </w:t>
      </w:r>
      <w:r>
        <w:rPr>
          <w:rFonts w:ascii="PP Fragment;PP Fragment Sans Light;sans-serif" w:hAnsi="PP Fragment;PP Fragment Sans Light;sans-serif"/>
          <w:b w:val="false"/>
          <w:color w:val="000000"/>
          <w:sz w:val="16"/>
        </w:rPr>
        <w:t>page.</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Company’s pro-rata share of debt based on its percent ownership.</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noncontrolling interest pro-rata share of consolidated partnership debt based on its percent ownership.</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Company’s pro-rata share of unconsolidated partnership debt based on its percent ownership.</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Variable-rate debt includes certain borrowings that are subject to interest rate cap agreements.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6.</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Based on debt maturity date without regard to available extension options.</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927" w:type="dxa"/>
        <w:jc w:val="left"/>
        <w:tblInd w:w="0" w:type="dxa"/>
        <w:tblLayout w:type="fixed"/>
        <w:tblCellMar>
          <w:top w:w="28" w:type="dxa"/>
          <w:left w:w="28" w:type="dxa"/>
          <w:bottom w:w="28" w:type="dxa"/>
          <w:right w:w="28" w:type="dxa"/>
        </w:tblCellMar>
      </w:tblPr>
      <w:tblGrid>
        <w:gridCol w:w="373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Portfolio Debt – Detail</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bookmarkStart w:id="33" w:name="portfolio_debt_detail"/>
      <w:bookmarkEnd w:id="33"/>
      <w:r>
        <w:rPr/>
        <w:t> </w:t>
      </w:r>
    </w:p>
    <w:tbl>
      <w:tblPr>
        <w:tblW w:w="10205" w:type="dxa"/>
        <w:jc w:val="left"/>
        <w:tblInd w:w="0" w:type="dxa"/>
        <w:tblLayout w:type="fixed"/>
        <w:tblCellMar>
          <w:top w:w="28" w:type="dxa"/>
          <w:left w:w="28" w:type="dxa"/>
          <w:bottom w:w="28" w:type="dxa"/>
          <w:right w:w="28" w:type="dxa"/>
        </w:tblCellMar>
      </w:tblPr>
      <w:tblGrid>
        <w:gridCol w:w="2403"/>
        <w:gridCol w:w="146"/>
        <w:gridCol w:w="554"/>
        <w:gridCol w:w="146"/>
        <w:gridCol w:w="1385"/>
        <w:gridCol w:w="146"/>
        <w:gridCol w:w="787"/>
        <w:gridCol w:w="150"/>
        <w:gridCol w:w="1095"/>
        <w:gridCol w:w="146"/>
        <w:gridCol w:w="931"/>
        <w:gridCol w:w="146"/>
        <w:gridCol w:w="1044"/>
        <w:gridCol w:w="146"/>
        <w:gridCol w:w="980"/>
      </w:tblGrid>
      <w:tr>
        <w:trPr/>
        <w:tc>
          <w:tcPr>
            <w:tcW w:w="24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10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sz w:val="4"/>
                <w:szCs w:val="4"/>
              </w:rPr>
            </w:pPr>
            <w:r>
              <w:rPr>
                <w:sz w:val="4"/>
                <w:szCs w:val="4"/>
              </w:rPr>
            </w:r>
          </w:p>
        </w:tc>
      </w:tr>
      <w:tr>
        <w:trPr/>
        <w:tc>
          <w:tcPr>
            <w:tcW w:w="2403"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 Balance at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032"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3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Extension</w:t>
            </w:r>
          </w:p>
        </w:tc>
      </w:tr>
      <w:tr>
        <w:trPr/>
        <w:tc>
          <w:tcPr>
            <w:tcW w:w="2403"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Property</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385"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June 30, 2026</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787"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50"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095"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Amount</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Rate</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044"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Maturity Date</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Options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Fixed-Rate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840 N. Michigan Avenue</w:t>
            </w:r>
            <w:r>
              <w:rPr>
                <w:rFonts w:ascii="Times New Roman" w:hAnsi="Times New Roman"/>
                <w:color w:val="000000"/>
                <w:sz w:val="15"/>
              </w:rPr>
              <w:t> </w:t>
            </w:r>
            <w:r>
              <w:rPr>
                <w:rFonts w:ascii="DM Sans;sans-serif" w:hAnsi="DM Sans;sans-serif"/>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94.35%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239 Greenwich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07/10/27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1x60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$20M Senior Note, 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08/21/27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Georgetown Portfolio (2008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555 9th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01/01/28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1x24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State &amp; Washington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09/05/28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$80M Senior Note, 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08/21/29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North &amp; Kingsbury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151 N. State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12/01/29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Concord &amp; Milwaukee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06/01/30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Gotham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10/05/34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California &amp; Armitage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04/15/35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Fixed-Rate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295,680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266,716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Variable-Rate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Georgetown Portfolio (2016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69,360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Crossroads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Revolving Credit Facility </w:t>
            </w:r>
            <w:r>
              <w:rPr>
                <w:rFonts w:ascii="DM Sans;sans-serif" w:hAnsi="DM Sans;sans-serif"/>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2x6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Term Loan A-2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05/29/30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$75 Million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07/25/30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Term Loan A-1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04/17/31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Variable-Rate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1,057,823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986,933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Debt - REIT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$1,353,503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$1,253,649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u w:val="single"/>
              </w:rPr>
            </w:pPr>
            <w:r>
              <w:rPr>
                <w:rFonts w:ascii="DM Sans;sans-serif" w:hAnsi="DM Sans;sans-serif"/>
                <w:b/>
                <w:color w:val="000000"/>
                <w:sz w:val="15"/>
                <w:u w:val="single"/>
              </w:rPr>
              <w:t>Fixed-Rate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Shoppes at South Hills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03/01/28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Broughton Street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Fixed-Rate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58,485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11,885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u w:val="single"/>
              </w:rPr>
              <w:t>Variable-Rate Debt</w:t>
            </w:r>
            <w:r>
              <w:rPr>
                <w:rFonts w:ascii="Times New Roman" w:hAnsi="Times New Roman"/>
                <w:color w:val="000000"/>
                <w:sz w:val="15"/>
              </w:rPr>
              <w:t xml:space="preserve"> </w:t>
            </w:r>
            <w:r>
              <w:rPr>
                <w:rFonts w:ascii="DM Sans;sans-serif" w:hAnsi="DM Sans;sans-serif"/>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Fairlane Green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12/05/26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1x6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Trussville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1x6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Wood Ridge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35,849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03/21/27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La Frontera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Family Center at Riverdale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17.97%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Frederick County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11/01/27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Lincoln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33,537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11/25/27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LINQ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15.00%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12/12/27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1x24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Santa Fe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Mohawk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38,801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18.09%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7,019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03/01/28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The Walk at Highwoods Preserve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10/25/28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Acadia Strategic Opportunity Fund IV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12/09/28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Shops at Skyview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276,575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55,315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01/09/29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Atlantic 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255,259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02/25/29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Avenue at West Cobb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02/25/29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403"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Maple Tree 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05/08/29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bl>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26</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927" w:type="dxa"/>
        <w:jc w:val="left"/>
        <w:tblInd w:w="0" w:type="dxa"/>
        <w:tblLayout w:type="fixed"/>
        <w:tblCellMar>
          <w:top w:w="28" w:type="dxa"/>
          <w:left w:w="28" w:type="dxa"/>
          <w:bottom w:w="28" w:type="dxa"/>
          <w:right w:w="28" w:type="dxa"/>
        </w:tblCellMar>
      </w:tblPr>
      <w:tblGrid>
        <w:gridCol w:w="3736"/>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Portfolio Debt – Detail</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9"/>
        <w:gridCol w:w="146"/>
        <w:gridCol w:w="520"/>
        <w:gridCol w:w="146"/>
        <w:gridCol w:w="1321"/>
        <w:gridCol w:w="146"/>
        <w:gridCol w:w="783"/>
        <w:gridCol w:w="149"/>
        <w:gridCol w:w="1089"/>
        <w:gridCol w:w="146"/>
        <w:gridCol w:w="904"/>
        <w:gridCol w:w="146"/>
        <w:gridCol w:w="1004"/>
        <w:gridCol w:w="146"/>
        <w:gridCol w:w="980"/>
      </w:tblGrid>
      <w:tr>
        <w:trPr/>
        <w:tc>
          <w:tcPr>
            <w:tcW w:w="25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3"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10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left"/>
              <w:rPr>
                <w:sz w:val="4"/>
                <w:szCs w:val="4"/>
              </w:rPr>
            </w:pPr>
            <w:r>
              <w:rPr>
                <w:sz w:val="4"/>
                <w:szCs w:val="4"/>
              </w:rPr>
            </w:r>
          </w:p>
        </w:tc>
      </w:tr>
      <w:tr>
        <w:trPr/>
        <w:tc>
          <w:tcPr>
            <w:tcW w:w="257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Principal Balance at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021"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904"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Extension</w:t>
            </w:r>
          </w:p>
        </w:tc>
      </w:tr>
      <w:tr>
        <w:trPr/>
        <w:tc>
          <w:tcPr>
            <w:tcW w:w="2579"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Property</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June 30, 2026</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783"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9"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089"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Amount</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904"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Rate</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004"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Maturity Date</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Options</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Cypress Creek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06/24/29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2x12 mos.</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Pinewood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03/26/30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1x12 mos.</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Monroe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Term Loan A-3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IMP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95.00%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130,625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SOFR+1.15%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5"/>
              </w:rPr>
            </w:pPr>
            <w:r>
              <w:rPr>
                <w:rFonts w:ascii="DM Sans;sans-serif" w:hAnsi="DM Sans;sans-serif"/>
                <w:color w:val="000000"/>
                <w:sz w:val="15"/>
              </w:rPr>
              <w:t>04/17/31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5"/>
              </w:rPr>
            </w:pPr>
            <w:r>
              <w:rPr>
                <w:rFonts w:ascii="DM Sans;sans-serif" w:hAnsi="DM Sans;sans-serif"/>
                <w:color w:val="000000"/>
                <w:sz w:val="15"/>
              </w:rPr>
              <w:t>None</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Sub-Total Variable-Rate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1,426,212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op w:val="single" w:sz="4" w:space="0" w:color="000000"/>
              <w:bottom w:val="single" w:sz="4" w:space="0" w:color="000000"/>
            </w:tcBorders>
            <w:shd w:fill="FFF5ED" w:val="clear"/>
            <w:tcMar>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377,763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Debt -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1,484,697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389,648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Total Debt - REIT Portfolio and Investment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$2,838,200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$1,643,297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The Company has hedged a portion of its variable-rate debt with multiple variable to fixed-rate swap agreements which have various maturities (see </w:t>
      </w:r>
      <w:hyperlink w:anchor="interest_rate_summary">
        <w:r>
          <w:rPr>
            <w:rStyle w:val="InternetLink"/>
            <w:rFonts w:ascii="PP Fragment;PP Fragment Sans Light;sans-serif" w:hAnsi="PP Fragment;PP Fragment Sans Light;sans-serif"/>
            <w:b w:val="false"/>
            <w:color w:val="F73929"/>
            <w:sz w:val="16"/>
            <w:u w:val="single"/>
          </w:rPr>
          <w:t>Swap Interest Rate Summary</w:t>
        </w:r>
      </w:hyperlink>
      <w:r>
        <w:rPr>
          <w:color w:val="000000"/>
        </w:rPr>
        <w:t xml:space="preserve"> </w:t>
      </w:r>
      <w:r>
        <w:rPr>
          <w:rFonts w:ascii="PP Fragment;PP Fragment Sans Light;sans-serif" w:hAnsi="PP Fragment;PP Fragment Sans Light;sans-serif"/>
          <w:b w:val="false"/>
          <w:color w:val="000000"/>
          <w:sz w:val="16"/>
        </w:rPr>
        <w:t>of this Supplemental report which highlights the notional and fixed base rate). The indicated maturity for each loan reflects the contractual maturity date of the loan without regard to the expiration of the related swap agreements.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The Company makes cash payments at a stated interest rate of 6.5% on the outstanding principal balance. Following the modification of the loan in December 2023, the effective interest rate for GAAP purposes is zero.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interest rate on the unsecured revolving credit facility excludes a 20-basis point facility fee.</w:t>
      </w:r>
    </w:p>
    <w:p>
      <w:pPr>
        <w:pStyle w:val="TextBody"/>
        <w:bidi w:val="0"/>
        <w:spacing w:before="0" w:after="16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87" w:type="dxa"/>
        <w:jc w:val="left"/>
        <w:tblInd w:w="0" w:type="dxa"/>
        <w:tblLayout w:type="fixed"/>
        <w:tblCellMar>
          <w:top w:w="28" w:type="dxa"/>
          <w:left w:w="28" w:type="dxa"/>
          <w:bottom w:w="28" w:type="dxa"/>
          <w:right w:w="28" w:type="dxa"/>
        </w:tblCellMar>
      </w:tblPr>
      <w:tblGrid>
        <w:gridCol w:w="409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bookmarkStart w:id="34" w:name="future_debt_maturities"/>
            <w:bookmarkEnd w:id="34"/>
            <w:r>
              <w:rPr>
                <w:rFonts w:ascii="PP Fragment;PP Fragment Sans;sans-serif" w:hAnsi="PP Fragment;PP Fragment Sans;sans-serif"/>
                <w:b/>
                <w:color w:val="F73929"/>
                <w:sz w:val="28"/>
              </w:rPr>
              <w:t xml:space="preserve">Future Debt Maturities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2424" w:type="dxa"/>
        <w:jc w:val="left"/>
        <w:tblInd w:w="0" w:type="dxa"/>
        <w:tblLayout w:type="fixed"/>
        <w:tblCellMar>
          <w:top w:w="28" w:type="dxa"/>
          <w:left w:w="28" w:type="dxa"/>
          <w:bottom w:w="28" w:type="dxa"/>
          <w:right w:w="28" w:type="dxa"/>
        </w:tblCellMar>
      </w:tblPr>
      <w:tblGrid>
        <w:gridCol w:w="1306"/>
        <w:gridCol w:w="146"/>
        <w:gridCol w:w="1306"/>
        <w:gridCol w:w="146"/>
        <w:gridCol w:w="1186"/>
        <w:gridCol w:w="146"/>
        <w:gridCol w:w="1186"/>
        <w:gridCol w:w="146"/>
        <w:gridCol w:w="1306"/>
        <w:gridCol w:w="146"/>
        <w:gridCol w:w="1051"/>
        <w:gridCol w:w="146"/>
        <w:gridCol w:w="1051"/>
        <w:gridCol w:w="146"/>
        <w:gridCol w:w="1186"/>
        <w:gridCol w:w="146"/>
        <w:gridCol w:w="616"/>
        <w:gridCol w:w="146"/>
        <w:gridCol w:w="91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30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REIT Portfolio</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970" w:type="dxa"/>
            <w:gridSpan w:val="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Contractual Debt Maturities</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03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r>
            <w:r>
              <w:rPr>
                <w:rFonts w:ascii="DM Sans;sans-serif" w:hAnsi="DM Sans;sans-serif"/>
                <w:b/>
                <w:color w:val="FFFFFF"/>
                <w:sz w:val="11"/>
              </w:rPr>
              <w:t>2</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$133,476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$69,360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$98,950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1.55%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70,362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70,362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72,228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171,338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173,222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135,005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1.95%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369,920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370,173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368,323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370,173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1.18%</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540,523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541,566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527,286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1.15%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$1,341,680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$1,353,503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$10,937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$256,146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$986,566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$1,253,649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Investment Management</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970" w:type="dxa"/>
            <w:gridSpan w:val="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Contractual Debt Maturities</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03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r>
            <w:r>
              <w:rPr>
                <w:rFonts w:ascii="DM Sans;sans-serif" w:hAnsi="DM Sans;sans-serif"/>
                <w:b/>
                <w:color w:val="FFFFFF"/>
                <w:sz w:val="11"/>
              </w:rPr>
              <w:t>2</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1.95%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379,528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385,205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64,324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65,361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2.24%</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167,606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167,848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34,687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1.67%</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659,115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659,115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131,908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131,908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1.63%</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1.73%</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130,625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130,625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1.15%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$1,476,652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$1,484,697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$376,488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$389,648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left"/>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Does not include any applicable extension options or subsequent refinancing.</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jc w:val="left"/>
        <w:rPr/>
      </w:pPr>
      <w:r>
        <w:rPr>
          <w:rFonts w:ascii="PP Fragment;PP Fragment Sans Light;sans-serif" w:hAnsi="PP Fragment;PP Fragment Sans Light;sans-serif"/>
          <w:b w:val="false"/>
          <w:color w:val="000000"/>
          <w:sz w:val="16"/>
        </w:rPr>
        <w:t xml:space="preserve">The amounts in the table reflect the all-in fixed rate for maturing debt with a fixed rate, and the spread above the applicable index (typically SOFR) on variable rate debt. The rate does not reflect the all-in rate for variable rate obligations. Refer to </w:t>
      </w:r>
      <w:hyperlink w:anchor="interest_rate_summary">
        <w:r>
          <w:rPr>
            <w:rStyle w:val="InternetLink"/>
            <w:rFonts w:ascii="PP Fragment;PP Fragment Sans Light;sans-serif" w:hAnsi="PP Fragment;PP Fragment Sans Light;sans-serif"/>
            <w:b w:val="false"/>
            <w:color w:val="F73929"/>
            <w:sz w:val="16"/>
            <w:u w:val="single"/>
          </w:rPr>
          <w:t>Swap Interest Rate Summary</w:t>
        </w:r>
      </w:hyperlink>
      <w:r>
        <w:rPr>
          <w:color w:val="000000"/>
        </w:rPr>
        <w:t xml:space="preserve"> </w:t>
      </w:r>
      <w:r>
        <w:rPr>
          <w:rFonts w:ascii="PP Fragment;PP Fragment Sans Light;sans-serif" w:hAnsi="PP Fragment;PP Fragment Sans Light;sans-serif"/>
          <w:b w:val="false"/>
          <w:color w:val="000000"/>
          <w:sz w:val="16"/>
        </w:rPr>
        <w:t>page for interest rate protection agreements that fix our variable rate debt.</w:t>
      </w:r>
    </w:p>
    <w:p>
      <w:pPr>
        <w:pStyle w:val="TextBody"/>
        <w:bidi w:val="0"/>
        <w:jc w:val="left"/>
        <w:rPr/>
      </w:pPr>
      <w:r>
        <w:rPr/>
        <w:t> </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72" w:type="dxa"/>
        <w:jc w:val="left"/>
        <w:tblInd w:w="0" w:type="dxa"/>
        <w:tblLayout w:type="fixed"/>
        <w:tblCellMar>
          <w:top w:w="28" w:type="dxa"/>
          <w:left w:w="28" w:type="dxa"/>
          <w:bottom w:w="28" w:type="dxa"/>
          <w:right w:w="28" w:type="dxa"/>
        </w:tblCellMar>
      </w:tblPr>
      <w:tblGrid>
        <w:gridCol w:w="6481"/>
        <w:gridCol w:w="191"/>
      </w:tblGrid>
      <w:tr>
        <w:trPr/>
        <w:tc>
          <w:tcPr>
            <w:tcW w:w="6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81"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Future Debt Maturities – As Extended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48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t> </w:t>
      </w:r>
    </w:p>
    <w:tbl>
      <w:tblPr>
        <w:tblW w:w="12424" w:type="dxa"/>
        <w:jc w:val="left"/>
        <w:tblInd w:w="0" w:type="dxa"/>
        <w:tblLayout w:type="fixed"/>
        <w:tblCellMar>
          <w:top w:w="28" w:type="dxa"/>
          <w:left w:w="28" w:type="dxa"/>
          <w:bottom w:w="28" w:type="dxa"/>
          <w:right w:w="28" w:type="dxa"/>
        </w:tblCellMar>
      </w:tblPr>
      <w:tblGrid>
        <w:gridCol w:w="1306"/>
        <w:gridCol w:w="146"/>
        <w:gridCol w:w="1306"/>
        <w:gridCol w:w="146"/>
        <w:gridCol w:w="1186"/>
        <w:gridCol w:w="146"/>
        <w:gridCol w:w="1186"/>
        <w:gridCol w:w="146"/>
        <w:gridCol w:w="1306"/>
        <w:gridCol w:w="146"/>
        <w:gridCol w:w="1051"/>
        <w:gridCol w:w="146"/>
        <w:gridCol w:w="1051"/>
        <w:gridCol w:w="146"/>
        <w:gridCol w:w="1186"/>
        <w:gridCol w:w="146"/>
        <w:gridCol w:w="616"/>
        <w:gridCol w:w="146"/>
        <w:gridCol w:w="91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30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REIT Portfolio</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970" w:type="dxa"/>
            <w:gridSpan w:val="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Extended Debt Maturities </w:t>
            </w:r>
            <w:r>
              <w:rPr>
                <w:rFonts w:ascii="DM Sans;sans-serif" w:hAnsi="DM Sans;sans-serif"/>
                <w:b/>
                <w:color w:val="FFFFFF"/>
                <w:sz w:val="11"/>
              </w:rPr>
              <w:t>1</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03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r>
            <w:r>
              <w:rPr>
                <w:rFonts w:ascii="DM Sans;sans-serif" w:hAnsi="DM Sans;sans-serif"/>
                <w:b/>
                <w:color w:val="FFFFFF"/>
                <w:sz w:val="11"/>
              </w:rPr>
              <w:t>2</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$29,590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119,862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17,862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69,360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89,088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1.55%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98,972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98,622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379,097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379,350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1.20%</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683,232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A77E4A"/>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684,275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32,595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592,206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625,844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1.19%</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$1,341,680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$1,353,503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$10,937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$256,146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$986,566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$1,253,649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Investment Management</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970" w:type="dxa"/>
            <w:gridSpan w:val="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 xml:space="preserve">Extended Debt Maturities </w:t>
            </w:r>
            <w:r>
              <w:rPr>
                <w:rFonts w:ascii="DM Sans;sans-serif" w:hAnsi="DM Sans;sans-serif"/>
                <w:b/>
                <w:color w:val="FFFFFF"/>
                <w:sz w:val="11"/>
              </w:rPr>
              <w:t>1</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5032" w:type="dxa"/>
            <w:gridSpan w:val="7"/>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 Share</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r>
            <w:r>
              <w:rPr>
                <w:rFonts w:ascii="DM Sans;sans-serif" w:hAnsi="DM Sans;sans-serif"/>
                <w:b/>
                <w:color w:val="FFFFFF"/>
                <w:sz w:val="11"/>
              </w:rPr>
              <w:t>2</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Scheduled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Fixed-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Variable-</w:t>
            </w:r>
          </w:p>
        </w:tc>
      </w:tr>
      <w:tr>
        <w:trPr/>
        <w:tc>
          <w:tcPr>
            <w:tcW w:w="130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Amortization</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Maturities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Rate Debt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239,538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46,148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2.47%</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115,685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115,927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18,863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1.49%</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45,484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1.91%</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1.75%</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A77E4A"/>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789,215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789,215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261,000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1.38%</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$1,476,652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$1,484,697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$11,681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$376,488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5ED"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$389,648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Includes the effect of all available extension options (subject to customary conditions), excludes any subsequent refinancing.</w:t>
      </w:r>
    </w:p>
    <w:p>
      <w:pPr>
        <w:pStyle w:val="TextBody"/>
        <w:bidi w:val="0"/>
        <w:spacing w:before="0" w:after="0"/>
        <w:jc w:val="left"/>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jc w:val="left"/>
        <w:rPr/>
      </w:pPr>
      <w:r>
        <w:rPr>
          <w:rFonts w:ascii="PP Fragment;PP Fragment Sans Light;sans-serif" w:hAnsi="PP Fragment;PP Fragment Sans Light;sans-serif"/>
          <w:b w:val="false"/>
          <w:color w:val="000000"/>
          <w:sz w:val="16"/>
        </w:rPr>
        <w:t xml:space="preserve">The amounts in the table reflect the all-in fixed rate for maturing debt with a fixed rate, and the spread above the applicable index (typically SOFR) on variable rate debt. The rate does not reflect the all-in rate for variable rate obligations. Refer to </w:t>
      </w:r>
      <w:hyperlink w:anchor="interest_rate_summary">
        <w:r>
          <w:rPr>
            <w:rStyle w:val="InternetLink"/>
            <w:rFonts w:ascii="PP Fragment;PP Fragment Sans Light;sans-serif" w:hAnsi="PP Fragment;PP Fragment Sans Light;sans-serif"/>
            <w:b w:val="false"/>
            <w:color w:val="F73929"/>
            <w:sz w:val="16"/>
            <w:u w:val="single"/>
          </w:rPr>
          <w:t>Swap Interest Rate Summary</w:t>
        </w:r>
      </w:hyperlink>
      <w:r>
        <w:rPr>
          <w:color w:val="000000"/>
        </w:rPr>
        <w:t xml:space="preserve"> </w:t>
      </w:r>
      <w:r>
        <w:rPr>
          <w:rFonts w:ascii="PP Fragment;PP Fragment Sans Light;sans-serif" w:hAnsi="PP Fragment;PP Fragment Sans Light;sans-serif"/>
          <w:b w:val="false"/>
          <w:color w:val="000000"/>
          <w:sz w:val="16"/>
        </w:rPr>
        <w:t>page for interest rate protection agreements that fix our variable rate debt.</w:t>
      </w:r>
    </w:p>
    <w:p>
      <w:pPr>
        <w:pStyle w:val="TextBody"/>
        <w:bidi w:val="0"/>
        <w:spacing w:before="120" w:after="283"/>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07" w:type="dxa"/>
        <w:jc w:val="left"/>
        <w:tblInd w:w="0" w:type="dxa"/>
        <w:tblLayout w:type="fixed"/>
        <w:tblCellMar>
          <w:top w:w="28" w:type="dxa"/>
          <w:left w:w="28" w:type="dxa"/>
          <w:bottom w:w="28" w:type="dxa"/>
          <w:right w:w="28" w:type="dxa"/>
        </w:tblCellMar>
      </w:tblPr>
      <w:tblGrid>
        <w:gridCol w:w="5116"/>
        <w:gridCol w:w="191"/>
      </w:tblGrid>
      <w:tr>
        <w:trPr/>
        <w:tc>
          <w:tcPr>
            <w:tcW w:w="51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1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Swap Interest Rate Summary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11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(in thousands)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5305" w:type="dxa"/>
        <w:jc w:val="left"/>
        <w:tblInd w:w="0" w:type="dxa"/>
        <w:tblLayout w:type="fixed"/>
        <w:tblCellMar>
          <w:top w:w="28" w:type="dxa"/>
          <w:left w:w="28" w:type="dxa"/>
          <w:bottom w:w="28" w:type="dxa"/>
          <w:right w:w="28" w:type="dxa"/>
        </w:tblCellMar>
      </w:tblPr>
      <w:tblGrid>
        <w:gridCol w:w="1471"/>
        <w:gridCol w:w="146"/>
        <w:gridCol w:w="1696"/>
        <w:gridCol w:w="146"/>
        <w:gridCol w:w="1846"/>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Maturity</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Acadia's Pro-rata</w:t>
              <w:br/>
              <w:t>Notional Amount</w:t>
            </w:r>
          </w:p>
        </w:tc>
        <w:tc>
          <w:tcPr>
            <w:tcW w:w="1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pPr>
            <w:r>
              <w:rPr/>
              <w:t> </w:t>
            </w:r>
          </w:p>
        </w:tc>
        <w:tc>
          <w:tcPr>
            <w:tcW w:w="1846" w:type="dxa"/>
            <w:tcBorders>
              <w:bottom w:val="single" w:sz="4" w:space="0" w:color="A77E4A"/>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DM Sans;sans-serif" w:hAnsi="DM Sans;sans-serif"/>
                <w:b/>
                <w:color w:val="FFFFFF"/>
                <w:sz w:val="16"/>
              </w:rPr>
              <w:t>Weighted Average</w:t>
              <w:br/>
              <w:t xml:space="preserve">Fixed SOFR </w:t>
            </w:r>
            <w:r>
              <w:rPr>
                <w:rFonts w:ascii="DM Sans;sans-serif" w:hAnsi="DM Sans;sans-serif"/>
                <w:b/>
                <w:color w:val="FFFFFF"/>
                <w:sz w:val="11"/>
              </w:rPr>
              <w:t>2</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November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$73,517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3.9%</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December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4.3%</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June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1.1%</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July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2.1%</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December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110,050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2.6%</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March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2.8%</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April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3.3%</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June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3.5%</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July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August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2.8%</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February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March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59,588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3.3%</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June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31,472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1.2%</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July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0.1%</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October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3.7%</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November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3.8%</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December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3.4%</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March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3.8%</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April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3.1%</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July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5ED"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2.7%</w:t>
            </w:r>
          </w:p>
        </w:tc>
      </w:tr>
      <w:tr>
        <w:trPr/>
        <w:tc>
          <w:tcPr>
            <w:tcW w:w="1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Total</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96" w:type="dxa"/>
            <w:tcBorders>
              <w:top w:val="single" w:sz="4" w:space="0" w:color="000000"/>
            </w:tcBorders>
            <w:shd w:fill="FFF5ED" w:val="clear"/>
            <w:tcMar>
              <w:left w:w="0" w:type="dxa"/>
              <w:bottom w:w="0" w:type="dxa"/>
              <w:right w:w="0" w:type="dxa"/>
            </w:tcMar>
            <w:vAlign w:val="center"/>
          </w:tcPr>
          <w:p>
            <w:pPr>
              <w:pStyle w:val="TableContents"/>
              <w:bidi w:val="0"/>
              <w:spacing w:before="0" w:after="283"/>
              <w:jc w:val="right"/>
              <w:rPr>
                <w:rFonts w:ascii="DM Sans;sans-serif" w:hAnsi="DM Sans;sans-serif"/>
                <w:b/>
                <w:color w:val="000000"/>
                <w:sz w:val="16"/>
              </w:rPr>
            </w:pPr>
            <w:r>
              <w:rPr>
                <w:rFonts w:ascii="DM Sans;sans-serif" w:hAnsi="DM Sans;sans-serif"/>
                <w:b/>
                <w:color w:val="000000"/>
                <w:sz w:val="16"/>
              </w:rPr>
              <w:t>$1,064,951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DM Sans;sans-serif" w:hAnsi="DM Sans;sans-serif"/>
                <w:b/>
                <w:color w:val="000000"/>
                <w:sz w:val="16"/>
              </w:rPr>
            </w:pPr>
            <w:r>
              <w:rPr>
                <w:rFonts w:ascii="DM Sans;sans-serif" w:hAnsi="DM Sans;sans-serif"/>
                <w:b/>
                <w:color w:val="000000"/>
                <w:sz w:val="16"/>
              </w:rPr>
              <w:t>2.8%</w:t>
            </w:r>
          </w:p>
        </w:tc>
      </w:tr>
    </w:tbl>
    <w:p>
      <w:pPr>
        <w:pStyle w:val="TextBody"/>
        <w:bidi w:val="0"/>
        <w:jc w:val="left"/>
        <w:rPr/>
      </w:pPr>
      <w:bookmarkStart w:id="35" w:name="interest_rate_summary"/>
      <w:bookmarkEnd w:id="35"/>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Includes the Company's pro-rata share of consolidated and unconsolidated interest rate swaps to hedge against interest variability on REIT and Investment Management debt.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effective strike (fixed) rate on the swap, inclusive of the amortization of deferred gains/losses on terminated swaps, that the Company pays in exchange for receiving SOFR.</w:t>
      </w:r>
    </w:p>
    <w:p>
      <w:pPr>
        <w:pStyle w:val="TextBody"/>
        <w:bidi w:val="0"/>
        <w:jc w:val="both"/>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30</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57" w:type="dxa"/>
        <w:jc w:val="left"/>
        <w:tblInd w:w="0" w:type="dxa"/>
        <w:tblLayout w:type="fixed"/>
        <w:tblCellMar>
          <w:top w:w="28" w:type="dxa"/>
          <w:left w:w="28" w:type="dxa"/>
          <w:bottom w:w="28" w:type="dxa"/>
          <w:right w:w="28" w:type="dxa"/>
        </w:tblCellMar>
      </w:tblPr>
      <w:tblGrid>
        <w:gridCol w:w="6766"/>
        <w:gridCol w:w="191"/>
      </w:tblGrid>
      <w:tr>
        <w:trPr/>
        <w:tc>
          <w:tcPr>
            <w:tcW w:w="6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REIT Portfolio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36" w:name="core_properties"/>
      <w:bookmarkEnd w:id="36"/>
      <w:r>
        <w:rPr/>
        <w:t> </w:t>
      </w:r>
    </w:p>
    <w:tbl>
      <w:tblPr>
        <w:tblW w:w="15615" w:type="dxa"/>
        <w:jc w:val="left"/>
        <w:tblInd w:w="0" w:type="dxa"/>
        <w:tblLayout w:type="fixed"/>
        <w:tblCellMar>
          <w:top w:w="28" w:type="dxa"/>
          <w:left w:w="28" w:type="dxa"/>
          <w:bottom w:w="28" w:type="dxa"/>
          <w:right w:w="28" w:type="dxa"/>
        </w:tblCellMar>
      </w:tblPr>
      <w:tblGrid>
        <w:gridCol w:w="886"/>
        <w:gridCol w:w="146"/>
        <w:gridCol w:w="146"/>
        <w:gridCol w:w="721"/>
        <w:gridCol w:w="146"/>
        <w:gridCol w:w="661"/>
        <w:gridCol w:w="146"/>
        <w:gridCol w:w="146"/>
        <w:gridCol w:w="601"/>
        <w:gridCol w:w="146"/>
        <w:gridCol w:w="146"/>
        <w:gridCol w:w="146"/>
        <w:gridCol w:w="526"/>
        <w:gridCol w:w="146"/>
        <w:gridCol w:w="146"/>
        <w:gridCol w:w="146"/>
        <w:gridCol w:w="526"/>
        <w:gridCol w:w="146"/>
        <w:gridCol w:w="146"/>
        <w:gridCol w:w="146"/>
        <w:gridCol w:w="601"/>
        <w:gridCol w:w="146"/>
        <w:gridCol w:w="146"/>
        <w:gridCol w:w="146"/>
        <w:gridCol w:w="451"/>
        <w:gridCol w:w="286"/>
        <w:gridCol w:w="146"/>
        <w:gridCol w:w="161"/>
        <w:gridCol w:w="500"/>
        <w:gridCol w:w="286"/>
        <w:gridCol w:w="146"/>
        <w:gridCol w:w="146"/>
        <w:gridCol w:w="451"/>
        <w:gridCol w:w="286"/>
        <w:gridCol w:w="146"/>
        <w:gridCol w:w="146"/>
        <w:gridCol w:w="451"/>
        <w:gridCol w:w="286"/>
        <w:gridCol w:w="146"/>
        <w:gridCol w:w="209"/>
        <w:gridCol w:w="647"/>
        <w:gridCol w:w="286"/>
        <w:gridCol w:w="146"/>
        <w:gridCol w:w="181"/>
        <w:gridCol w:w="796"/>
        <w:gridCol w:w="146"/>
        <w:gridCol w:w="146"/>
        <w:gridCol w:w="181"/>
        <w:gridCol w:w="526"/>
        <w:gridCol w:w="146"/>
        <w:gridCol w:w="146"/>
        <w:gridCol w:w="1021"/>
      </w:tblGrid>
      <w:tr>
        <w:trPr/>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r>
      <w:tr>
        <w:trPr/>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Acadia's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714"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Gross Leasable Area (GLA)</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3748"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Economic Occupancy</w:t>
            </w:r>
          </w:p>
        </w:tc>
        <w:tc>
          <w:tcPr>
            <w:tcW w:w="28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Leased</w:t>
              <w:br/>
              <w:t>Occupancy</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Annualized</w:t>
              <w:br/>
              <w:t>Base Rent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2"/>
              </w:rPr>
            </w:pPr>
            <w:r>
              <w:rPr>
                <w:rFonts w:ascii="DM Sans;sans-serif" w:hAnsi="DM Sans;sans-serif"/>
                <w:b/>
                <w:color w:val="FFFFFF"/>
                <w:sz w:val="12"/>
              </w:rPr>
              <w:t>Key Tenants</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32" w:type="dxa"/>
            <w:gridSpan w:val="2"/>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STREET AND URBAN RETAIL</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Chicago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Gold Coast and North Michigan Ave Collection (7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2011</w:t>
              <w:br/>
              <w:t>2012</w:t>
              <w:b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57,577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57,577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11,259,617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Kith, Lululemon, Reformation, </w:t>
              <w:br/>
              <w:t>Veronica Beard, St. Laurent, Brandy Melville, Mango</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Clark Street and W. Diversey </w:t>
              <w:br/>
              <w:t>   Collection (4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2011</w:t>
              <w:b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53,099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53,099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2,227,054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Starbucks, TJ Maxx,</w:t>
              <w:br/>
              <w:t>J Crew Factory, Trader Joe's, Sephora (LVMH)</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Halsted and Armitage </w:t>
              <w:br/>
              <w:t>   Collection (14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 xml:space="preserve">2011 </w:t>
              <w:br/>
              <w:t xml:space="preserve">2012 </w:t>
              <w:br/>
              <w:t xml:space="preserve">2019 </w:t>
              <w:br/>
              <w:t>2020</w:t>
              <w:b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54,965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54,965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3,259,150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Serena and Lily, Faherty, </w:t>
              <w:br/>
              <w:t xml:space="preserve">Jenny Kayne, Warby Parker, Kiehl's, Solidcore, </w:t>
              <w:br/>
              <w:t>Rails, Levain Bakery, Huckberry, Rothy's</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North Lincoln Park Chicago </w:t>
              <w:br/>
              <w:t>   Collection (6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2011</w:t>
              <w:b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49,921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1,074,442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Guitar Center, Carhartt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State and Washington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2,788,546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Nordstrom Rack, Uniqlo (Fast Retailing)</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151 N. State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Walgreens</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North and Kingsbury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41,791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41,791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2,047,607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Old Navy (Gap), Backcountry</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Concord and Milwaukee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499,257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California and Armitage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793,750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Roosevelt Galleria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677,229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Petco, Dollar Tree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Sullivan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176,104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176,104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83.8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83.8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83.8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5,542,996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Target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511,594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84,066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595,660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31,742,648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New York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Soho and West Village Collection</w:t>
              <w:br/>
              <w:t>   (19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 xml:space="preserve">2011 </w:t>
              <w:br/>
              <w:t xml:space="preserve">2014 </w:t>
              <w:br/>
              <w:t xml:space="preserve">2019 </w:t>
              <w:br/>
              <w:t xml:space="preserve">2020 </w:t>
              <w:br/>
              <w:t>2022</w:t>
              <w:br/>
              <w:t>2024</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69,643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69,643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21,939,694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352.26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Givenchy (LVMH), Vuori, Zimmermann, Watches of Switzerland, Watchfinder (Richemont), Theory (Fast Retailing), Bang &amp; Olufsen, Veronica Beard, Frame Denim, Madewell (J.Crew)</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Flatiron and Union Square Collection</w:t>
              <w:br/>
              <w:t>   (3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2008</w:t>
              <w:br/>
              <w:t>2013</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4,891,141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Nespresso, Dr. Martens</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200 West 54th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1,658,655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4401 White Plains Road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Walgreens</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Bartow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512,408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Wingstop</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Greenwich and Westport Collection (4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br/>
              <w:t>2012</w:t>
              <w:b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39,593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39,593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4,394,875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Veronica Beard, The RealReal, </w:t>
              <w:br/>
              <w:t>Blue Mercury, Splendid, Swarovski, Watches of Switzerland</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2914 Third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40,603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1,148,294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Planet Fitness</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DM Sans;sans-serif" w:hAnsi="DM Sans;sans-serif"/>
                <w:color w:val="000000"/>
                <w:sz w:val="12"/>
              </w:rPr>
              <w:t xml:space="preserve">313-315 Bowery </w:t>
            </w:r>
            <w:r>
              <w:rPr>
                <w:rFonts w:ascii="DM Sans;sans-serif" w:hAnsi="DM Sans;sans-serif"/>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527,076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John Varvatos</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120 West Broadway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2,553,577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Citizens Bank, Citi Bank</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2520 Flatbush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29,114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29,114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1,304,463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Bob's Discount Furniture, Capital One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DM Sans;sans-serif" w:hAnsi="DM Sans;sans-serif"/>
                <w:color w:val="000000"/>
                <w:sz w:val="12"/>
              </w:rPr>
              <w:t xml:space="preserve">Williamsburg Bedford Avenue Collection </w:t>
            </w:r>
            <w:r>
              <w:rPr>
                <w:rFonts w:ascii="DM Sans;sans-serif" w:hAnsi="DM Sans;sans-serif"/>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50,842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50,842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5,887,117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Sephora (LVMH), SweetGreen, Levain Bakery, Alo Yoga</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DM Sans;sans-serif" w:hAnsi="DM Sans;sans-serif"/>
                <w:color w:val="000000"/>
                <w:sz w:val="12"/>
              </w:rPr>
              <w:t xml:space="preserve">Williamsburg North 6th Collection </w:t>
            </w:r>
            <w:r>
              <w:rPr>
                <w:rFonts w:ascii="DM Sans;sans-serif" w:hAnsi="DM Sans;sans-serif"/>
                <w:color w:val="000000"/>
                <w:sz w:val="8"/>
              </w:rPr>
              <w:t>3</w:t>
            </w:r>
            <w:r>
              <w:rPr>
                <w:rFonts w:ascii="DM Sans;sans-serif" w:hAnsi="DM Sans;sans-serif"/>
                <w:color w:val="000000"/>
                <w:sz w:val="12"/>
              </w:rPr>
              <w:br/>
              <w:t>(7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 xml:space="preserve">2024 </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7,764,266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Lululemon, Madewell (J. Crew), On Running, Abercrombie and Fitch, Birkenstock, Patagonia</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991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3,790,095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547.78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Vera Wang, Gabriela Hearst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1045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Le Labo (Estee Lauder)</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1165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1,364,025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Todd Snyder, Swarovski</w:t>
            </w:r>
          </w:p>
        </w:tc>
      </w:tr>
    </w:tbl>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57" w:type="dxa"/>
        <w:jc w:val="left"/>
        <w:tblInd w:w="0" w:type="dxa"/>
        <w:tblLayout w:type="fixed"/>
        <w:tblCellMar>
          <w:top w:w="28" w:type="dxa"/>
          <w:left w:w="28" w:type="dxa"/>
          <w:bottom w:w="28" w:type="dxa"/>
          <w:right w:w="28" w:type="dxa"/>
        </w:tblCellMar>
      </w:tblPr>
      <w:tblGrid>
        <w:gridCol w:w="6766"/>
        <w:gridCol w:w="191"/>
      </w:tblGrid>
      <w:tr>
        <w:trPr/>
        <w:tc>
          <w:tcPr>
            <w:tcW w:w="6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REIT Portfolio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6440" w:type="dxa"/>
        <w:jc w:val="left"/>
        <w:tblInd w:w="0" w:type="dxa"/>
        <w:tblLayout w:type="fixed"/>
        <w:tblCellMar>
          <w:top w:w="28" w:type="dxa"/>
          <w:left w:w="28" w:type="dxa"/>
          <w:bottom w:w="28" w:type="dxa"/>
          <w:right w:w="28" w:type="dxa"/>
        </w:tblCellMar>
      </w:tblPr>
      <w:tblGrid>
        <w:gridCol w:w="856"/>
        <w:gridCol w:w="146"/>
        <w:gridCol w:w="146"/>
        <w:gridCol w:w="721"/>
        <w:gridCol w:w="146"/>
        <w:gridCol w:w="661"/>
        <w:gridCol w:w="146"/>
        <w:gridCol w:w="146"/>
        <w:gridCol w:w="826"/>
        <w:gridCol w:w="146"/>
        <w:gridCol w:w="146"/>
        <w:gridCol w:w="146"/>
        <w:gridCol w:w="691"/>
        <w:gridCol w:w="146"/>
        <w:gridCol w:w="146"/>
        <w:gridCol w:w="146"/>
        <w:gridCol w:w="691"/>
        <w:gridCol w:w="146"/>
        <w:gridCol w:w="146"/>
        <w:gridCol w:w="146"/>
        <w:gridCol w:w="826"/>
        <w:gridCol w:w="146"/>
        <w:gridCol w:w="146"/>
        <w:gridCol w:w="146"/>
        <w:gridCol w:w="451"/>
        <w:gridCol w:w="286"/>
        <w:gridCol w:w="146"/>
        <w:gridCol w:w="146"/>
        <w:gridCol w:w="515"/>
        <w:gridCol w:w="286"/>
        <w:gridCol w:w="146"/>
        <w:gridCol w:w="146"/>
        <w:gridCol w:w="421"/>
        <w:gridCol w:w="286"/>
        <w:gridCol w:w="146"/>
        <w:gridCol w:w="146"/>
        <w:gridCol w:w="451"/>
        <w:gridCol w:w="286"/>
        <w:gridCol w:w="146"/>
        <w:gridCol w:w="209"/>
        <w:gridCol w:w="647"/>
        <w:gridCol w:w="286"/>
        <w:gridCol w:w="146"/>
        <w:gridCol w:w="196"/>
        <w:gridCol w:w="1006"/>
        <w:gridCol w:w="146"/>
        <w:gridCol w:w="146"/>
        <w:gridCol w:w="196"/>
        <w:gridCol w:w="526"/>
        <w:gridCol w:w="146"/>
        <w:gridCol w:w="146"/>
        <w:gridCol w:w="886"/>
      </w:tblGrid>
      <w:tr>
        <w:trPr/>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r>
      <w:tr>
        <w:trPr/>
        <w:tc>
          <w:tcPr>
            <w:tcW w:w="8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Acadia's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4494"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Gross Leasable Area (GLA)</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3718"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Economic Occupancy</w:t>
            </w:r>
          </w:p>
        </w:tc>
        <w:tc>
          <w:tcPr>
            <w:tcW w:w="28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Leased</w:t>
              <w:br/>
              <w:t>Occupancy</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Annualized</w:t>
              <w:br/>
              <w:t>Base Rent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2"/>
              </w:rPr>
            </w:pPr>
            <w:r>
              <w:rPr>
                <w:rFonts w:ascii="DM Sans;sans-serif" w:hAnsi="DM Sans;sans-serif"/>
                <w:b/>
                <w:color w:val="FFFFFF"/>
                <w:sz w:val="12"/>
              </w:rPr>
              <w:t>Key Tenants</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Gotham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75.4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75.4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75.4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1,691,134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86.45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Bank of America, </w:t>
              <w:br/>
              <w:t>Footlocker, Apple Bank</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280,967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34,614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88,822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404,403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60,951,820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Los Angeles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8833 Beverly Blvd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1,390,888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Luxury Living</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Melrose Place Collection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71.4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71.4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2,391,923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The Row, Chloe (Richemont)</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3,782,811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District of Columbia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1739-53 Connecticut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255,499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TD Bank</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14th Street Collection (3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76.4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1,415,017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Verizon, Long and Foster, VSV Wine Bar, Tile Bar</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Rhode Island Place </w:t>
              <w:br/>
              <w:t>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113,838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2,637,918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Ross Dress for Less, Giant (Ahold), TD Bank</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DM Sans;sans-serif" w:hAnsi="DM Sans;sans-serif"/>
                <w:color w:val="000000"/>
                <w:sz w:val="12"/>
              </w:rPr>
              <w:t xml:space="preserve">M Street and Wisconsin Corridor </w:t>
              <w:br/>
              <w:t xml:space="preserve">   (28 Properties) </w:t>
            </w:r>
            <w:r>
              <w:rPr>
                <w:rFonts w:ascii="DM Sans;sans-serif" w:hAnsi="DM Sans;sans-serif"/>
                <w:color w:val="000000"/>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 xml:space="preserve">2011 </w:t>
              <w:br/>
              <w:t xml:space="preserve">2016 </w:t>
              <w:b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263,203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263,203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99.4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19,874,532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Lululemon, Duxiana, Reformation, Swarovski, </w:t>
              <w:br/>
              <w:t>Alo Yoga, Aritzia, Skims, J Crew, Google, Tesla, Sezane</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293,918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407,756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24,182,965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Boston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Newbury Collection (3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30,321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30,321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5,499,786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Cartier (Richemont), Chanel, Fjallraven</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Dallas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Henderson Avenue Portfolio </w:t>
              <w:br/>
              <w:t>(7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2022</w:t>
              <w:br/>
              <w:t>2024</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31,635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59,522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1,614,877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Sprouts Farmers Market, </w:t>
              <w:br/>
              <w:t>Warby Parker, Tecovas, Salt and Straw</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South Florida Metro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225 Worth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1,931,668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Gucci (Kering), J McLaughlin, G/FORE (Richemont)</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Total Street and Urban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1,178,562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144,619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208,356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1,531,537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91.5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100.0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85.9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91.5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93.6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129,706,575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02" w:type="dxa"/>
            <w:gridSpan w:val="2"/>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Acadia Share Total Street and Urban Retail</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1,089,908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144,619</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195,131</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1,429,658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91.1</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100</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86.6</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91.4</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93.4</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00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122,151,633</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5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93.48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SUBURBAN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New Jersey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Elmwood Park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43,531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3,747,525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Walgreens, Lidl, </w:t>
              <w:br/>
              <w:t>Chase Bank, City MD, Five Below</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Marketplace of Absecon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80,052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104,556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1,435,512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Walgreens, Dollar Tree, Aldi</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Village Commons </w:t>
              <w:br/>
              <w:t>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2,817,566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Citibank, Ace Hardware</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Branch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76,264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47,081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123,345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2,826,011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LA Fitness</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Amboy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63,372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2,136,630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Stop &amp; Shop (Ahold)</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Crossroads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49.0 %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108,801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311,528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10,210,445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HomeGoods (TJX Companies), PetSmart, BJ's Wholesale Club, O'Reilly Auto Parts</w:t>
            </w:r>
          </w:p>
        </w:tc>
      </w:tr>
    </w:tbl>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32</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57" w:type="dxa"/>
        <w:jc w:val="left"/>
        <w:tblInd w:w="0" w:type="dxa"/>
        <w:tblLayout w:type="fixed"/>
        <w:tblCellMar>
          <w:top w:w="28" w:type="dxa"/>
          <w:left w:w="28" w:type="dxa"/>
          <w:bottom w:w="28" w:type="dxa"/>
          <w:right w:w="28" w:type="dxa"/>
        </w:tblCellMar>
      </w:tblPr>
      <w:tblGrid>
        <w:gridCol w:w="6766"/>
        <w:gridCol w:w="191"/>
      </w:tblGrid>
      <w:tr>
        <w:trPr/>
        <w:tc>
          <w:tcPr>
            <w:tcW w:w="6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REIT Portfolio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6920" w:type="dxa"/>
        <w:jc w:val="left"/>
        <w:tblInd w:w="0" w:type="dxa"/>
        <w:tblLayout w:type="fixed"/>
        <w:tblCellMar>
          <w:top w:w="28" w:type="dxa"/>
          <w:left w:w="28" w:type="dxa"/>
          <w:bottom w:w="28" w:type="dxa"/>
          <w:right w:w="28" w:type="dxa"/>
        </w:tblCellMar>
      </w:tblPr>
      <w:tblGrid>
        <w:gridCol w:w="1141"/>
        <w:gridCol w:w="146"/>
        <w:gridCol w:w="146"/>
        <w:gridCol w:w="721"/>
        <w:gridCol w:w="146"/>
        <w:gridCol w:w="661"/>
        <w:gridCol w:w="146"/>
        <w:gridCol w:w="146"/>
        <w:gridCol w:w="826"/>
        <w:gridCol w:w="146"/>
        <w:gridCol w:w="146"/>
        <w:gridCol w:w="146"/>
        <w:gridCol w:w="826"/>
        <w:gridCol w:w="146"/>
        <w:gridCol w:w="146"/>
        <w:gridCol w:w="146"/>
        <w:gridCol w:w="826"/>
        <w:gridCol w:w="146"/>
        <w:gridCol w:w="146"/>
        <w:gridCol w:w="146"/>
        <w:gridCol w:w="826"/>
        <w:gridCol w:w="146"/>
        <w:gridCol w:w="146"/>
        <w:gridCol w:w="146"/>
        <w:gridCol w:w="421"/>
        <w:gridCol w:w="226"/>
        <w:gridCol w:w="146"/>
        <w:gridCol w:w="161"/>
        <w:gridCol w:w="500"/>
        <w:gridCol w:w="286"/>
        <w:gridCol w:w="146"/>
        <w:gridCol w:w="146"/>
        <w:gridCol w:w="451"/>
        <w:gridCol w:w="286"/>
        <w:gridCol w:w="146"/>
        <w:gridCol w:w="146"/>
        <w:gridCol w:w="451"/>
        <w:gridCol w:w="286"/>
        <w:gridCol w:w="146"/>
        <w:gridCol w:w="209"/>
        <w:gridCol w:w="647"/>
        <w:gridCol w:w="286"/>
        <w:gridCol w:w="146"/>
        <w:gridCol w:w="196"/>
        <w:gridCol w:w="1006"/>
        <w:gridCol w:w="146"/>
        <w:gridCol w:w="146"/>
        <w:gridCol w:w="196"/>
        <w:gridCol w:w="511"/>
        <w:gridCol w:w="146"/>
        <w:gridCol w:w="146"/>
        <w:gridCol w:w="886"/>
      </w:tblGrid>
      <w:tr>
        <w:trPr/>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r>
      <w:tr>
        <w:trPr/>
        <w:tc>
          <w:tcPr>
            <w:tcW w:w="11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Acadia's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4764"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Gross Leasable Area (GLA)</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3658"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Economic Occupancy</w:t>
            </w:r>
          </w:p>
        </w:tc>
        <w:tc>
          <w:tcPr>
            <w:tcW w:w="28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Leased</w:t>
              <w:br/>
              <w:t>Occupancy</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Annualized</w:t>
              <w:br/>
              <w:t>Base Rent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2"/>
              </w:rPr>
            </w:pPr>
            <w:r>
              <w:rPr>
                <w:rFonts w:ascii="DM Sans;sans-serif" w:hAnsi="DM Sans;sans-serif"/>
                <w:b/>
                <w:color w:val="FFFFFF"/>
                <w:sz w:val="12"/>
              </w:rPr>
              <w:t>Key Tenants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New Loudon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258,389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2,378,407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Price Chopper, Marshalls (TJX Companies)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28 Jericho Turnpike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1,996,500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Kohl's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Connecticut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DM Sans;sans-serif" w:hAnsi="DM Sans;sans-serif"/>
                <w:color w:val="000000"/>
                <w:sz w:val="12"/>
              </w:rPr>
              <w:t xml:space="preserve">Town Line Plaza </w:t>
            </w:r>
            <w:r>
              <w:rPr>
                <w:rFonts w:ascii="DM Sans;sans-serif" w:hAnsi="DM Sans;sans-serif"/>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163,159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43,187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206,346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1,686,747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Wal-Mart, </w:t>
              <w:br/>
              <w:t>Stop &amp; Shop (Ahold)</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Methuen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120,004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130,021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1,390,578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Wal-Mart, Market Basket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Crescent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156,985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218,002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2,291,721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Home Depot, Shaw's (Albertsons)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201 Needham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711,662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Michael's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163 Highland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40,505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40,505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1,675,657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Staples, Petco</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Vermont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The Gateway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73,184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101,474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81.9 %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95.0 %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96.4 %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2,202,064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Shaw's (Albertsons), </w:t>
              <w:br/>
              <w:t>Starbucks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Hobson West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51,692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47,281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63.8 %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82.7 %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84.9 %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1,097,951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Garden Fresh Markets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Indiana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Merrillville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123,144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112,782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235,926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78.9 %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90.1 %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84.3 %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84.3 %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3,059,925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Dollar Tree, TJ Maxx, </w:t>
              <w:br/>
              <w:t>Five Below, DD's Discount (Ross)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Bloomfield Town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153,332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234,951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4,519,433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HomeGoods (TJX Companies), TJ Maxx, </w:t>
              <w:br/>
              <w:t>Dick's Sporting Goods, Burlington</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Town Center and Other </w:t>
              <w:br/>
              <w:t>(1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707,988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729,879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45.3 %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98.4 %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98.4 %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12,870,697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Lowes, Dick's Sporting Goods (House of Sports), </w:t>
              <w:br/>
              <w:t>Target, Crunch Fitness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Market Square Shopping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59,197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102,047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3,600,923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Trader Joe's, TJ Maxx</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Naamans Road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920,134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Jared Jewelers, American Red Cross</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Plaza 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139,968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Home Depot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Chestnut 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79.2 %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79.2 %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79.2 %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770,672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DM Sans;sans-serif" w:hAnsi="DM Sans;sans-serif"/>
                <w:color w:val="000000"/>
                <w:sz w:val="12"/>
              </w:rPr>
              <w:t xml:space="preserve">Abington Towne Center </w:t>
            </w:r>
            <w:r>
              <w:rPr>
                <w:rFonts w:ascii="DM Sans;sans-serif" w:hAnsi="DM Sans;sans-serif"/>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184,616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32,255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216,871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1,423,683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Target, TJ Maxx</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Route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106,653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143,465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100.0 %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1,416,253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Hobby Lobby, TJ Maxx, Harbor Freight Tools, Dollar Tree</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Total Suburban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2,737,049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1,143,236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3,880,285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68,158,671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7" w:type="dxa"/>
            <w:gridSpan w:val="2"/>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Acadia Share Total Suburban Properties</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2,633,658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1,087,747</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3,721,406</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ABC8E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97.4</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91.0</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95.5</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96.6</w:t>
            </w:r>
          </w:p>
        </w:tc>
        <w:tc>
          <w:tcPr>
            <w:tcW w:w="28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00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62,951,344</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51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19.08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Total REIT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1,178,562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2,881,668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1,351,592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5,411,822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91.5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97.6</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90.3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94.4</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95.8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197,865,246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40.76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6957" w:type="dxa"/>
        <w:jc w:val="left"/>
        <w:tblInd w:w="0" w:type="dxa"/>
        <w:tblLayout w:type="fixed"/>
        <w:tblCellMar>
          <w:top w:w="28" w:type="dxa"/>
          <w:left w:w="28" w:type="dxa"/>
          <w:bottom w:w="28" w:type="dxa"/>
          <w:right w:w="28" w:type="dxa"/>
        </w:tblCellMar>
      </w:tblPr>
      <w:tblGrid>
        <w:gridCol w:w="6766"/>
        <w:gridCol w:w="191"/>
      </w:tblGrid>
      <w:tr>
        <w:trPr/>
        <w:tc>
          <w:tcPr>
            <w:tcW w:w="6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6" w:type="dxa"/>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REIT Portfolio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6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5990" w:type="dxa"/>
        <w:jc w:val="left"/>
        <w:tblInd w:w="0" w:type="dxa"/>
        <w:tblLayout w:type="fixed"/>
        <w:tblCellMar>
          <w:top w:w="28" w:type="dxa"/>
          <w:left w:w="28" w:type="dxa"/>
          <w:bottom w:w="28" w:type="dxa"/>
          <w:right w:w="28" w:type="dxa"/>
        </w:tblCellMar>
      </w:tblPr>
      <w:tblGrid>
        <w:gridCol w:w="706"/>
        <w:gridCol w:w="146"/>
        <w:gridCol w:w="146"/>
        <w:gridCol w:w="721"/>
        <w:gridCol w:w="146"/>
        <w:gridCol w:w="661"/>
        <w:gridCol w:w="146"/>
        <w:gridCol w:w="146"/>
        <w:gridCol w:w="826"/>
        <w:gridCol w:w="146"/>
        <w:gridCol w:w="146"/>
        <w:gridCol w:w="146"/>
        <w:gridCol w:w="826"/>
        <w:gridCol w:w="146"/>
        <w:gridCol w:w="146"/>
        <w:gridCol w:w="146"/>
        <w:gridCol w:w="826"/>
        <w:gridCol w:w="146"/>
        <w:gridCol w:w="146"/>
        <w:gridCol w:w="146"/>
        <w:gridCol w:w="826"/>
        <w:gridCol w:w="146"/>
        <w:gridCol w:w="146"/>
        <w:gridCol w:w="146"/>
        <w:gridCol w:w="421"/>
        <w:gridCol w:w="226"/>
        <w:gridCol w:w="146"/>
        <w:gridCol w:w="170"/>
        <w:gridCol w:w="491"/>
        <w:gridCol w:w="226"/>
        <w:gridCol w:w="146"/>
        <w:gridCol w:w="146"/>
        <w:gridCol w:w="421"/>
        <w:gridCol w:w="226"/>
        <w:gridCol w:w="146"/>
        <w:gridCol w:w="146"/>
        <w:gridCol w:w="421"/>
        <w:gridCol w:w="226"/>
        <w:gridCol w:w="146"/>
        <w:gridCol w:w="220"/>
        <w:gridCol w:w="636"/>
        <w:gridCol w:w="226"/>
        <w:gridCol w:w="146"/>
        <w:gridCol w:w="196"/>
        <w:gridCol w:w="1006"/>
        <w:gridCol w:w="146"/>
        <w:gridCol w:w="146"/>
        <w:gridCol w:w="196"/>
        <w:gridCol w:w="511"/>
        <w:gridCol w:w="146"/>
        <w:gridCol w:w="146"/>
        <w:gridCol w:w="691"/>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Acadia's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4764"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Gross Leasable Area (GLA)</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3478"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Economic Occupancy</w:t>
            </w:r>
          </w:p>
        </w:tc>
        <w:tc>
          <w:tcPr>
            <w:tcW w:w="22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Leased</w:t>
              <w:br/>
              <w:t>Occupancy</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Annualized</w:t>
              <w:br/>
              <w:t>Base Rent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Interest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2"/>
              </w:rPr>
            </w:pPr>
            <w:r>
              <w:rPr>
                <w:rFonts w:ascii="DM Sans;sans-serif" w:hAnsi="DM Sans;sans-serif"/>
                <w:b/>
                <w:color w:val="FFFFFF"/>
                <w:sz w:val="12"/>
              </w:rPr>
              <w:t>Key Tenants</w:t>
            </w:r>
          </w:p>
        </w:tc>
      </w:tr>
      <w:tr>
        <w:trPr/>
        <w:tc>
          <w:tcPr>
            <w:tcW w:w="852" w:type="dxa"/>
            <w:gridSpan w:val="2"/>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Acadia Share Total REIT Properties</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ABC8E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1,089,908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2,778,277</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1,282,879</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5,151,064</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91.1</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97.5</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90.3</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94.4</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95.7</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00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185,102,977</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51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40.19</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Excludes properties that are under development, redevelopment or pre-stabilized. For further detail, refer to the </w:t>
      </w:r>
      <w:hyperlink w:anchor="development_and_redevelopment_activity">
        <w:r>
          <w:rPr>
            <w:rStyle w:val="InternetLink"/>
            <w:rFonts w:ascii="PP Fragment;PP Fragment Sans Light;sans-serif" w:hAnsi="PP Fragment;PP Fragment Sans Light;sans-serif"/>
            <w:b w:val="false"/>
            <w:color w:val="F73929"/>
            <w:sz w:val="16"/>
            <w:u w:val="single"/>
          </w:rPr>
          <w:t>Development and Redevelopment Activity</w:t>
        </w:r>
      </w:hyperlink>
      <w:r>
        <w:rPr>
          <w:color w:val="000000"/>
        </w:rPr>
        <w:t xml:space="preserve"> </w:t>
      </w:r>
      <w:r>
        <w:rPr>
          <w:rFonts w:ascii="PP Fragment;PP Fragment Sans Light;sans-serif" w:hAnsi="PP Fragment;PP Fragment Sans Light;sans-serif"/>
          <w:b w:val="false"/>
          <w:color w:val="000000"/>
          <w:sz w:val="16"/>
        </w:rPr>
        <w:t>section of this Supplemental Report. The above economic occupancy and rent figures reflects only retail spaces where leases have commenced. Leased occupancy includes both economic leases and signed leases that have not yet commenced. ABR and ABR per square foot are based solely on economic occupancy.</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Represents the annual base rent paid to Acadia pursuant to a master lease and does not reflect the rent paid by the retail tenants at the property.</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The Company’s stated legal ownership is 49.99%. However, given the preferences embedded in its interests, the Company did not attribute any value to the 50.01% noncontrolling interest holders.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Excludes 94,000 square feet of office GLA.</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Anchor GLA includes a 97,300 square foot Wal-Mart store which is not owned by the Company. This square footage has been excluded from ABR per square footage calculations.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6.</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Anchor GLA includes a 157,616 square foot Target store which is not owned by the Company. This square footage has been excluded from ABR per square footage calculations.</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7" w:name="core_portfolio_top_tenants"/>
      <w:bookmarkEnd w:id="37"/>
      <w:r>
        <w:rPr/>
        <w:t> </w:t>
      </w:r>
    </w:p>
    <w:tbl>
      <w:tblPr>
        <w:tblW w:w="5142" w:type="dxa"/>
        <w:jc w:val="left"/>
        <w:tblInd w:w="0" w:type="dxa"/>
        <w:tblLayout w:type="fixed"/>
        <w:tblCellMar>
          <w:top w:w="28" w:type="dxa"/>
          <w:left w:w="28" w:type="dxa"/>
          <w:bottom w:w="28" w:type="dxa"/>
          <w:right w:w="28" w:type="dxa"/>
        </w:tblCellMar>
      </w:tblPr>
      <w:tblGrid>
        <w:gridCol w:w="4951"/>
        <w:gridCol w:w="191"/>
      </w:tblGrid>
      <w:tr>
        <w:trPr/>
        <w:tc>
          <w:tcPr>
            <w:tcW w:w="49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51" w:type="dxa"/>
            <w:tcBorders>
              <w:bottom w:val="single" w:sz="12" w:space="0" w:color="F73929"/>
            </w:tcBorders>
            <w:tcMar>
              <w:top w:w="0" w:type="dxa"/>
              <w:left w:w="0" w:type="dxa"/>
              <w:right w:w="0" w:type="dxa"/>
            </w:tcMar>
            <w:vAlign w:val="center"/>
          </w:tcPr>
          <w:p>
            <w:pPr>
              <w:pStyle w:val="TableContents"/>
              <w:bidi w:val="0"/>
              <w:spacing w:before="0" w:after="283"/>
              <w:jc w:val="left"/>
              <w:rPr>
                <w:rFonts w:ascii="Times New Roman" w:hAnsi="Times New Roman"/>
                <w:sz w:val="28"/>
              </w:rPr>
            </w:pPr>
            <w:r>
              <w:rPr>
                <w:rFonts w:ascii="PP Fragment;PP Fragment Sans;sans-serif" w:hAnsi="PP Fragment;PP Fragment Sans;sans-serif"/>
                <w:b/>
                <w:color w:val="F73929"/>
                <w:sz w:val="28"/>
              </w:rPr>
              <w:t xml:space="preserve">REIT Portfolio – Top Tenants </w:t>
            </w:r>
            <w:r>
              <w:rPr>
                <w:rFonts w:ascii="PP Fragment;PP Fragment Sans;sans-serif" w:hAnsi="PP Fragment;PP Fragment Sans;sans-serif"/>
                <w:b/>
                <w:color w:val="F73929"/>
                <w:sz w:val="19"/>
              </w:rPr>
              <w:t>1</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4951"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(Pro-Rata Basis)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2956"/>
        <w:gridCol w:w="146"/>
        <w:gridCol w:w="1186"/>
        <w:gridCol w:w="146"/>
        <w:gridCol w:w="1096"/>
        <w:gridCol w:w="146"/>
        <w:gridCol w:w="1336"/>
        <w:gridCol w:w="146"/>
        <w:gridCol w:w="1013"/>
        <w:gridCol w:w="205"/>
        <w:gridCol w:w="10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Number of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Combined</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2294"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DM Sans;sans-serif" w:hAnsi="DM Sans;sans-serif"/>
                <w:b/>
                <w:color w:val="FFFFFF"/>
                <w:sz w:val="18"/>
              </w:rPr>
              <w:t xml:space="preserve">Percentage of Total </w:t>
            </w:r>
            <w:r>
              <w:rPr>
                <w:rFonts w:ascii="DM Sans;sans-serif" w:hAnsi="DM Sans;sans-serif"/>
                <w:b/>
                <w:color w:val="FFFFFF"/>
                <w:sz w:val="12"/>
              </w:rPr>
              <w:t>2</w:t>
            </w:r>
          </w:p>
        </w:tc>
      </w:tr>
      <w:tr>
        <w:trPr/>
        <w:tc>
          <w:tcPr>
            <w:tcW w:w="295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8"/>
              </w:rPr>
            </w:pPr>
            <w:r>
              <w:rPr>
                <w:rFonts w:ascii="DM Sans;sans-serif" w:hAnsi="DM Sans;sans-serif"/>
                <w:b/>
                <w:color w:val="FFFFFF"/>
                <w:sz w:val="18"/>
              </w:rPr>
              <w:t>Tenant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Stores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GLA</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GLA</w:t>
            </w:r>
          </w:p>
        </w:tc>
        <w:tc>
          <w:tcPr>
            <w:tcW w:w="205"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8"/>
              </w:rPr>
            </w:pPr>
            <w:r>
              <w:rPr>
                <w:rFonts w:ascii="DM Sans;sans-serif" w:hAnsi="DM Sans;sans-serif"/>
                <w:b/>
                <w:color w:val="FFFFFF"/>
                <w:sz w:val="18"/>
              </w:rPr>
              <w:t>ABR</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408,895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$8,344,905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9.0 %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5.6%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J. Crew Group </w:t>
            </w:r>
            <w:r>
              <w:rPr>
                <w:rFonts w:ascii="DM Sans;sans-serif" w:hAnsi="DM Sans;sans-serif"/>
                <w:b/>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34,902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5,825,185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3.2%</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Lululemon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22,589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4,631,384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Richemont </w:t>
            </w:r>
            <w:r>
              <w:rPr>
                <w:rFonts w:ascii="DM Sans;sans-serif" w:hAnsi="DM Sans;sans-serif"/>
                <w:b/>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3,943,154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Dick's Sporting Goods, Inc </w:t>
            </w:r>
            <w:r>
              <w:rPr>
                <w:rFonts w:ascii="DM Sans;sans-serif" w:hAnsi="DM Sans;sans-serif"/>
                <w:b/>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152,404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3,193,710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1.7%</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TJX Companies </w:t>
            </w:r>
            <w:r>
              <w:rPr>
                <w:rFonts w:ascii="DM Sans;sans-serif" w:hAnsi="DM Sans;sans-serif"/>
                <w:b/>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3,022,858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PetSmart,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76,257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2,934,201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Walgreens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68,393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2,887,312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1.6%</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Trader Joe's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42,257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2,628,360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b/>
                <w:color w:val="000000"/>
                <w:sz w:val="18"/>
              </w:rPr>
              <w:t xml:space="preserve">Fast Retailing </w:t>
            </w:r>
            <w:r>
              <w:rPr>
                <w:rFonts w:ascii="DM Sans;sans-serif" w:hAnsi="DM Sans;sans-serif"/>
                <w:b/>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2,579,274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1.4%</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ALO Yoga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22,566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2,565,099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Kering </w:t>
            </w:r>
            <w:r>
              <w:rPr>
                <w:rFonts w:ascii="DM Sans;sans-serif" w:hAnsi="DM Sans;sans-serif"/>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9,644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2,361,012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Veronica Beard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7,649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2,355,251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LVMH </w:t>
            </w:r>
            <w:r>
              <w:rPr>
                <w:rFonts w:ascii="DM Sans;sans-serif" w:hAnsi="DM Sans;sans-serif"/>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2,172,585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Royal Ahold </w:t>
            </w:r>
            <w:r>
              <w:rPr>
                <w:rFonts w:ascii="DM Sans;sans-serif" w:hAnsi="DM Sans;sans-serif"/>
                <w:color w:val="000000"/>
                <w:sz w:val="12"/>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156,361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2,085,488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Albertsons Companies, Inc. </w:t>
            </w:r>
            <w:r>
              <w:rPr>
                <w:rFonts w:ascii="DM Sans;sans-serif" w:hAnsi="DM Sans;sans-serif"/>
                <w:color w:val="000000"/>
                <w:sz w:val="12"/>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123,409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2,061,142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Bob's Discount Furniture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68,793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2,027,670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Watches of Switzerland </w:t>
            </w:r>
            <w:r>
              <w:rPr>
                <w:rFonts w:ascii="DM Sans;sans-serif" w:hAnsi="DM Sans;sans-serif"/>
                <w:color w:val="00000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1,863,452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1.0%</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8"/>
              </w:rPr>
            </w:pPr>
            <w:r>
              <w:rPr>
                <w:rFonts w:ascii="DM Sans;sans-serif" w:hAnsi="DM Sans;sans-serif"/>
                <w:color w:val="000000"/>
                <w:sz w:val="18"/>
              </w:rPr>
              <w:t>Patagonia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15,526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1,690,062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0.9%</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DM Sans;sans-serif" w:hAnsi="DM Sans;sans-serif"/>
                <w:color w:val="000000"/>
                <w:sz w:val="18"/>
              </w:rPr>
              <w:t xml:space="preserve">Gap, Inc. </w:t>
            </w:r>
            <w:r>
              <w:rPr>
                <w:rFonts w:ascii="DM Sans;sans-serif" w:hAnsi="DM Sans;sans-serif"/>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43,986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1,632,756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0.9 %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8"/>
              </w:rPr>
            </w:pPr>
            <w:r>
              <w:rPr>
                <w:rFonts w:ascii="DM Sans;sans-serif" w:hAnsi="DM Sans;sans-serif"/>
                <w:color w:val="000000"/>
                <w:sz w:val="18"/>
              </w:rPr>
              <w:t>0.9%</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8"/>
              </w:rPr>
            </w:pPr>
            <w:r>
              <w:rPr>
                <w:rFonts w:ascii="DM Sans;sans-serif" w:hAnsi="DM Sans;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1,590,000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$60,804,860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31.8%</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8"/>
              </w:rPr>
            </w:pPr>
            <w:r>
              <w:rPr>
                <w:rFonts w:ascii="DM Sans;sans-serif" w:hAnsi="DM Sans;sans-serif"/>
                <w:b/>
                <w:color w:val="000000"/>
                <w:sz w:val="18"/>
              </w:rPr>
              <w:t>33.1%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In accordance with the Company's policy of not disclosing the terms of individual leases, this list does not include tenants that operate at only one location. The following tenants with single locations that would otherwise be included in our top 20 tenants are: Vuori (106 Spring Street), Nespresso (85 5th Avenue), Mango (664 N. Michigan Avenue), Lowe's (Town Center), Kohl's (28 Jericho Turnpike), Bang &amp; Olufsen (121 Spring Street), and Chanel (4-6 Newbury Street).</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Totals may not foot due to rounding.</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Madewell (4 locations), J.Crew Factory (1 location), J. Crew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Cartier, (1 location), Watchfinder (1 location), Chloe (1 location), G/FORE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Dick’s Sporting Goods (2 locations), Foot Locker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6.</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TJ Maxx (6 locations), HomeGoods (2 locations), Marshalls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7.</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Uniqlo (1 location), Theory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8.</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Yves Saint Laurent (1 location), Gucci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9.</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Sephora (2 locations), Lip Lab (2 locations), Givenchy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10.</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Stop and Shop (2 locations), Giant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Shaw’s (2 locations)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Grand Seiko (1 location), Rolex /Patek Philippe (1 location)</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13.</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Old Navy (3 locations)</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8" w:name="core_portfolio_lease_expirations"/>
      <w:bookmarkEnd w:id="38"/>
      <w:r>
        <w:rPr/>
        <w:t> </w:t>
      </w:r>
    </w:p>
    <w:tbl>
      <w:tblPr>
        <w:tblW w:w="5757" w:type="dxa"/>
        <w:jc w:val="left"/>
        <w:tblInd w:w="0" w:type="dxa"/>
        <w:tblLayout w:type="fixed"/>
        <w:tblCellMar>
          <w:top w:w="28" w:type="dxa"/>
          <w:left w:w="28" w:type="dxa"/>
          <w:bottom w:w="28" w:type="dxa"/>
          <w:right w:w="28" w:type="dxa"/>
        </w:tblCellMar>
      </w:tblPr>
      <w:tblGrid>
        <w:gridCol w:w="5566"/>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REIT Portfolio – Lease Expirations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556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(Pro-Rata Basis)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1810" w:type="dxa"/>
        <w:jc w:val="left"/>
        <w:tblInd w:w="0" w:type="dxa"/>
        <w:tblLayout w:type="fixed"/>
        <w:tblCellMar>
          <w:top w:w="28" w:type="dxa"/>
          <w:left w:w="28" w:type="dxa"/>
          <w:bottom w:w="28" w:type="dxa"/>
          <w:right w:w="28" w:type="dxa"/>
        </w:tblCellMar>
      </w:tblPr>
      <w:tblGrid>
        <w:gridCol w:w="901"/>
        <w:gridCol w:w="146"/>
        <w:gridCol w:w="197"/>
        <w:gridCol w:w="509"/>
        <w:gridCol w:w="146"/>
        <w:gridCol w:w="146"/>
        <w:gridCol w:w="146"/>
        <w:gridCol w:w="826"/>
        <w:gridCol w:w="146"/>
        <w:gridCol w:w="146"/>
        <w:gridCol w:w="150"/>
        <w:gridCol w:w="526"/>
        <w:gridCol w:w="241"/>
        <w:gridCol w:w="146"/>
        <w:gridCol w:w="196"/>
        <w:gridCol w:w="601"/>
        <w:gridCol w:w="146"/>
        <w:gridCol w:w="146"/>
        <w:gridCol w:w="150"/>
        <w:gridCol w:w="526"/>
        <w:gridCol w:w="241"/>
        <w:gridCol w:w="146"/>
        <w:gridCol w:w="197"/>
        <w:gridCol w:w="509"/>
        <w:gridCol w:w="146"/>
        <w:gridCol w:w="146"/>
        <w:gridCol w:w="146"/>
        <w:gridCol w:w="826"/>
        <w:gridCol w:w="146"/>
        <w:gridCol w:w="146"/>
        <w:gridCol w:w="150"/>
        <w:gridCol w:w="526"/>
        <w:gridCol w:w="241"/>
        <w:gridCol w:w="146"/>
        <w:gridCol w:w="196"/>
        <w:gridCol w:w="511"/>
        <w:gridCol w:w="146"/>
        <w:gridCol w:w="146"/>
        <w:gridCol w:w="150"/>
        <w:gridCol w:w="526"/>
        <w:gridCol w:w="286"/>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090"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Street Tenants</w:t>
            </w:r>
          </w:p>
        </w:tc>
        <w:tc>
          <w:tcPr>
            <w:tcW w:w="24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00"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Anchor Tenants</w:t>
            </w:r>
          </w:p>
        </w:tc>
        <w:tc>
          <w:tcPr>
            <w:tcW w:w="28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40"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24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765"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c>
          <w:tcPr>
            <w:tcW w:w="24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40"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24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5"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c>
          <w:tcPr>
            <w:tcW w:w="28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4"/>
              </w:rPr>
            </w:pPr>
            <w:r>
              <w:rPr>
                <w:rFonts w:ascii="DM Sans;sans-serif" w:hAnsi="DM Sans;sans-serif"/>
                <w:b/>
                <w:color w:val="FFFFFF"/>
                <w:sz w:val="14"/>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M to M </w:t>
            </w:r>
            <w:r>
              <w:rPr>
                <w:rFonts w:ascii="DM Sans;sans-serif" w:hAnsi="DM Sans;sans-serif"/>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58,063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266,889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96,158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95,838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248,171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489,571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64,722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505,783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124,469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177,026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63,325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268,731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54,276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96,045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28,881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38,363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65,233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80,299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310,701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993,178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113.05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2,453,634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Anchor GLA Owned by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color w:val="000000"/>
                <w:sz w:val="14"/>
              </w:rPr>
              <w:t xml:space="preserve">Total Vacant </w:t>
            </w:r>
            <w:r>
              <w:rPr>
                <w:rFonts w:ascii="DM Sans;sans-serif" w:hAnsi="DM Sans;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96,730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Square Feet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1,089,908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2,778,277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090"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Shop Tenants</w:t>
            </w:r>
          </w:p>
        </w:tc>
        <w:tc>
          <w:tcPr>
            <w:tcW w:w="24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0" w:type="dxa"/>
            <w:gridSpan w:val="18"/>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Total Tenants</w:t>
            </w:r>
          </w:p>
        </w:tc>
        <w:tc>
          <w:tcPr>
            <w:tcW w:w="28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40"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24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765"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c>
          <w:tcPr>
            <w:tcW w:w="24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940"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241"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75"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c>
          <w:tcPr>
            <w:tcW w:w="28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4"/>
              </w:rPr>
            </w:pPr>
            <w:r>
              <w:rPr>
                <w:rFonts w:ascii="DM Sans;sans-serif" w:hAnsi="DM Sans;sans-serif"/>
                <w:b/>
                <w:color w:val="FFFFFF"/>
                <w:sz w:val="14"/>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24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2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M to M </w:t>
            </w:r>
            <w:r>
              <w:rPr>
                <w:rFonts w:ascii="DM Sans;sans-serif" w:hAnsi="DM Sans;sans-serif"/>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394,452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133,124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325,120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890,436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123,940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694,445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85,415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386,910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113,106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445,162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98,214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164,740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129,228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254,154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89,280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162,703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504,096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60,144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451,144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Total</w:t>
            </w:r>
            <w:r>
              <w:rPr>
                <w:rFonts w:ascii="Times New Roman" w:hAnsi="Times New Roman"/>
                <w:color w:val="000000"/>
                <w:sz w:val="14"/>
              </w:rPr>
              <w:t>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1,158,493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566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4,605,305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40.19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4"/>
              </w:rPr>
            </w:pPr>
            <w:r>
              <w:rPr>
                <w:rFonts w:ascii="DM Sans;sans-serif" w:hAnsi="DM Sans;sans-serif"/>
                <w:color w:val="000000"/>
                <w:sz w:val="14"/>
              </w:rPr>
              <w:t>Anchor GLA Owned by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color w:val="000000"/>
                <w:sz w:val="14"/>
              </w:rPr>
              <w:t xml:space="preserve">Total Vacant </w:t>
            </w:r>
            <w:r>
              <w:rPr>
                <w:rFonts w:ascii="DM Sans;sans-serif" w:hAnsi="DM Sans;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124,386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290,843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Square Feet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1,282,879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5,151,064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Leases currently under month to month or in process of renewal.</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Totals may not foot due to rounding.</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Supplemental Report June 30, 2026 –</w:t>
            </w:r>
            <w:r>
              <w:rPr>
                <w:rFonts w:ascii="Times New Roman" w:hAnsi="Times New Roman"/>
                <w:color w:val="F73929"/>
                <w:sz w:val="16"/>
              </w:rPr>
              <w:t xml:space="preserve"> </w:t>
            </w:r>
            <w:r>
              <w:rPr>
                <w:rFonts w:ascii="PP Fragment;PP Fragment Sans Light;sans-serif" w:hAnsi="PP Fragment;PP Fragment Sans Light;sans-serif"/>
                <w:b/>
                <w:color w:val="F73929"/>
                <w:sz w:val="16"/>
              </w:rPr>
              <w:t>36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39" w:name="fund_overview"/>
      <w:bookmarkEnd w:id="39"/>
      <w:r>
        <w:rPr/>
        <w:t> </w:t>
      </w:r>
    </w:p>
    <w:tbl>
      <w:tblPr>
        <w:tblW w:w="2742" w:type="dxa"/>
        <w:jc w:val="left"/>
        <w:tblInd w:w="0" w:type="dxa"/>
        <w:tblLayout w:type="fixed"/>
        <w:tblCellMar>
          <w:top w:w="28" w:type="dxa"/>
          <w:left w:w="28" w:type="dxa"/>
          <w:bottom w:w="28" w:type="dxa"/>
          <w:right w:w="28" w:type="dxa"/>
        </w:tblCellMar>
      </w:tblPr>
      <w:tblGrid>
        <w:gridCol w:w="255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Fund Overview</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94"/>
        <w:gridCol w:w="189"/>
        <w:gridCol w:w="189"/>
        <w:gridCol w:w="211"/>
        <w:gridCol w:w="146"/>
        <w:gridCol w:w="571"/>
        <w:gridCol w:w="146"/>
        <w:gridCol w:w="440"/>
        <w:gridCol w:w="251"/>
        <w:gridCol w:w="146"/>
        <w:gridCol w:w="211"/>
        <w:gridCol w:w="146"/>
        <w:gridCol w:w="571"/>
        <w:gridCol w:w="146"/>
        <w:gridCol w:w="440"/>
        <w:gridCol w:w="251"/>
        <w:gridCol w:w="146"/>
        <w:gridCol w:w="211"/>
        <w:gridCol w:w="146"/>
        <w:gridCol w:w="571"/>
        <w:gridCol w:w="146"/>
        <w:gridCol w:w="421"/>
        <w:gridCol w:w="316"/>
      </w:tblGrid>
      <w:tr>
        <w:trPr/>
        <w:tc>
          <w:tcPr>
            <w:tcW w:w="41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4"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 KEY METRICS</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III</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IV</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6"/>
              </w:rPr>
            </w:pPr>
            <w:r>
              <w:rPr>
                <w:rFonts w:ascii="DM Sans;sans-serif" w:hAnsi="DM Sans;sans-serif"/>
                <w:b/>
                <w:color w:val="FFFFFF"/>
                <w:sz w:val="16"/>
              </w:rPr>
              <w:t>Fund V</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u w:val="single"/>
              </w:rPr>
              <w:t>General Information:</w:t>
            </w:r>
            <w:r>
              <w:rPr>
                <w:rFonts w:ascii="Times New Roman" w:hAnsi="Times New Roman"/>
                <w:color w:val="000000"/>
                <w:sz w:val="16"/>
              </w:rPr>
              <w:t> </w:t>
            </w:r>
            <w:r>
              <w:rPr>
                <w:rFonts w:ascii="DM Sans;sans-serif" w:hAnsi="DM Sans;sans-serif"/>
                <w:color w:val="000000"/>
                <w:sz w:val="11"/>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Vintage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May-2007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May-2012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6"/>
              </w:rPr>
            </w:pPr>
            <w:r>
              <w:rPr>
                <w:rFonts w:ascii="DM Sans;sans-serif" w:hAnsi="DM Sans;sans-serif"/>
                <w:color w:val="000000"/>
                <w:sz w:val="16"/>
              </w:rPr>
              <w:t>Aug-2016</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Fund Size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Acadia's Commitment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Acadia's Pro-Rata Share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Acadia's Promoted Share </w:t>
            </w:r>
            <w:r>
              <w:rPr>
                <w:rFonts w:ascii="DM Sans;sans-serif" w:hAnsi="DM Sans;sans-serif"/>
                <w:color w:val="000000"/>
                <w:sz w:val="11"/>
              </w:rPr>
              <w:t>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Preferred Return</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Current-Quarter, Fund-Level Information:</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Cumulative Contributions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508.3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Cumulative Net Distributions </w:t>
            </w:r>
            <w:r>
              <w:rPr>
                <w:rFonts w:ascii="DM Sans;sans-serif" w:hAnsi="DM Sans;sans-serif"/>
                <w:color w:val="000000"/>
                <w:sz w:val="11"/>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616.3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Net Distributions/Contributions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Unfunded Commitment </w:t>
            </w:r>
            <w:r>
              <w:rPr>
                <w:rFonts w:ascii="DM Sans;sans-serif" w:hAnsi="DM Sans;sans-serif"/>
                <w:color w:val="000000"/>
                <w:sz w:val="11"/>
              </w:rPr>
              <w:t>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DM Sans;sans-serif" w:hAnsi="DM Sans;sans-serif"/>
                <w:color w:val="000000"/>
                <w:sz w:val="16"/>
              </w:rPr>
              <w:t>Million</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Investment Period Closes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Closed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Closed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Closed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Currently in a Promote Position? (Yes/No)</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Yes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6"/>
              </w:rPr>
            </w:pPr>
            <w:r>
              <w:rPr>
                <w:rFonts w:ascii="DM Sans;sans-serif" w:hAnsi="DM Sans;sans-serif"/>
                <w:color w:val="000000"/>
                <w:sz w:val="16"/>
              </w:rPr>
              <w:t>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72" w:type="dxa"/>
            <w:gridSpan w:val="3"/>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6"/>
              </w:rPr>
            </w:pPr>
            <w:r>
              <w:rPr>
                <w:rFonts w:ascii="DM Sans;sans-serif" w:hAnsi="DM Sans;sans-serif"/>
                <w:b/>
                <w:color w:val="FFFFFF"/>
                <w:sz w:val="16"/>
              </w:rPr>
              <w:t>II. FEES &amp; PRIORITY DISTRIBUTIONS EARNED BY ACADIA</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u w:val="single"/>
              </w:rPr>
            </w:pPr>
            <w:r>
              <w:rPr>
                <w:rFonts w:ascii="DM Sans;sans-serif" w:hAnsi="DM Sans;sans-serif"/>
                <w:color w:val="000000"/>
                <w:sz w:val="16"/>
                <w:u w:val="single"/>
              </w:rPr>
              <w:t>Type: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Applicable to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1"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6"/>
              </w:rPr>
            </w:pPr>
            <w:r>
              <w:rPr>
                <w:rFonts w:ascii="DM Sans;sans-serif" w:hAnsi="DM Sans;sans-serif"/>
                <w:b/>
                <w:color w:val="000000"/>
                <w:sz w:val="16"/>
              </w:rPr>
              <w:t>Description</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Asset Management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Fund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1"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0%</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Asset Management </w:t>
            </w:r>
            <w:r>
              <w:rPr>
                <w:rFonts w:ascii="DM Sans;sans-serif" w:hAnsi="DM Sans;sans-serif"/>
                <w:color w:val="000000"/>
                <w:sz w:val="11"/>
              </w:rPr>
              <w:t>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1"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0.75% of Implied Capital</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DM Sans;sans-serif" w:hAnsi="DM Sans;sans-serif"/>
                <w:color w:val="000000"/>
                <w:sz w:val="16"/>
              </w:rPr>
              <w:t xml:space="preserve">Asset Management </w:t>
            </w:r>
            <w:r>
              <w:rPr>
                <w:rFonts w:ascii="DM Sans;sans-serif" w:hAnsi="DM Sans;sans-serif"/>
                <w:color w:val="000000"/>
                <w:sz w:val="11"/>
              </w:rPr>
              <w:t>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1"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1.25% of Implied Capital</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Property Management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All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1"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4.0% of gross property revenues</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Leasing</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All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1"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Market-rate leasing commissions</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Construction/Project Management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All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1"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Market-rate fees</w:t>
            </w:r>
          </w:p>
        </w:tc>
      </w:tr>
      <w:tr>
        <w:trPr/>
        <w:tc>
          <w:tcPr>
            <w:tcW w:w="4194"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Development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Fund III, IV &amp;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1"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6"/>
              </w:rPr>
            </w:pPr>
            <w:r>
              <w:rPr>
                <w:rFonts w:ascii="DM Sans;sans-serif" w:hAnsi="DM Sans;sans-serif"/>
                <w:color w:val="000000"/>
                <w:sz w:val="16"/>
              </w:rPr>
              <w:t>3.0% of total project costs</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In June 2026, the Company’s ownership interest in Fund II increased from 80% to 100% and has been removed from the overview.</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Acadia’s “Promoted Share” reflects Acadia's share of fund profits after all partners (including Acadia) have received a full return of their cumulative contributions plus their preferred return. Acadia's Promoted Share equals a 20% promote plus Acadia's pro-rata share of the remaining 80% of profits.</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All returns and distributions referenced are presented net of fees and promote.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Unfunded Commitments are reserved for completing leasing and development activities at existing fund investments. These amounts may not equal the difference between Fund Size and Cumulative Contributions due to factors such as recallable distributions, the end of the investment period, or accelerated asset sales that result in released commitments.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5.</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Implied Capital refers to the Fund Size less capital allocated to investments that have been sold or released.</w:t>
      </w:r>
    </w:p>
    <w:tbl>
      <w:tblPr>
        <w:tblW w:w="7212" w:type="dxa"/>
        <w:jc w:val="left"/>
        <w:tblInd w:w="0" w:type="dxa"/>
        <w:tblLayout w:type="fixed"/>
        <w:tblCellMar>
          <w:top w:w="28" w:type="dxa"/>
          <w:left w:w="28" w:type="dxa"/>
          <w:bottom w:w="28" w:type="dxa"/>
          <w:right w:w="28" w:type="dxa"/>
        </w:tblCellMar>
      </w:tblPr>
      <w:tblGrid>
        <w:gridCol w:w="3641"/>
        <w:gridCol w:w="3571"/>
      </w:tblGrid>
      <w:tr>
        <w:trPr/>
        <w:tc>
          <w:tcPr>
            <w:tcW w:w="3641"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247900" cy="361950"/>
                          </a:xfrm>
                          <a:prstGeom prst="rect">
                            <a:avLst/>
                          </a:prstGeom>
                        </pic:spPr>
                      </pic:pic>
                    </a:graphicData>
                  </a:graphic>
                </wp:inline>
              </w:drawing>
            </w:r>
          </w:p>
        </w:tc>
        <w:tc>
          <w:tcPr>
            <w:tcW w:w="357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pPr>
            <w:r>
              <w:rPr>
                <w:color w:val="F73929"/>
              </w:rPr>
              <w:t> </w:t>
            </w: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655" w:type="dxa"/>
        <w:jc w:val="left"/>
        <w:tblInd w:w="0" w:type="dxa"/>
        <w:tblLayout w:type="fixed"/>
        <w:tblCellMar>
          <w:top w:w="28" w:type="dxa"/>
          <w:left w:w="28" w:type="dxa"/>
          <w:bottom w:w="28" w:type="dxa"/>
          <w:right w:w="28" w:type="dxa"/>
        </w:tblCellMar>
      </w:tblPr>
      <w:tblGrid>
        <w:gridCol w:w="3958"/>
        <w:gridCol w:w="4697"/>
      </w:tblGrid>
      <w:tr>
        <w:trPr/>
        <w:tc>
          <w:tcPr>
            <w:tcW w:w="3958" w:type="dxa"/>
            <w:tcBorders/>
            <w:vAlign w:val="center"/>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8655"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Investment Management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40" w:name="investment_management_properties"/>
      <w:bookmarkEnd w:id="40"/>
      <w:r>
        <w:rPr/>
        <w:t> </w:t>
      </w:r>
    </w:p>
    <w:p>
      <w:pPr>
        <w:pStyle w:val="TextBody"/>
        <w:bidi w:val="0"/>
        <w:jc w:val="left"/>
        <w:rPr/>
      </w:pPr>
      <w:r>
        <w:rPr/>
        <w:t> </w:t>
      </w:r>
    </w:p>
    <w:tbl>
      <w:tblPr>
        <w:tblW w:w="16303" w:type="dxa"/>
        <w:jc w:val="left"/>
        <w:tblInd w:w="0" w:type="dxa"/>
        <w:tblLayout w:type="fixed"/>
        <w:tblCellMar>
          <w:top w:w="28" w:type="dxa"/>
          <w:left w:w="28" w:type="dxa"/>
          <w:bottom w:w="28" w:type="dxa"/>
          <w:right w:w="28" w:type="dxa"/>
        </w:tblCellMar>
      </w:tblPr>
      <w:tblGrid>
        <w:gridCol w:w="991"/>
        <w:gridCol w:w="146"/>
        <w:gridCol w:w="146"/>
        <w:gridCol w:w="721"/>
        <w:gridCol w:w="146"/>
        <w:gridCol w:w="205"/>
        <w:gridCol w:w="636"/>
        <w:gridCol w:w="226"/>
        <w:gridCol w:w="146"/>
        <w:gridCol w:w="146"/>
        <w:gridCol w:w="601"/>
        <w:gridCol w:w="146"/>
        <w:gridCol w:w="146"/>
        <w:gridCol w:w="146"/>
        <w:gridCol w:w="601"/>
        <w:gridCol w:w="146"/>
        <w:gridCol w:w="146"/>
        <w:gridCol w:w="146"/>
        <w:gridCol w:w="601"/>
        <w:gridCol w:w="146"/>
        <w:gridCol w:w="146"/>
        <w:gridCol w:w="346"/>
        <w:gridCol w:w="146"/>
        <w:gridCol w:w="146"/>
        <w:gridCol w:w="601"/>
        <w:gridCol w:w="146"/>
        <w:gridCol w:w="146"/>
        <w:gridCol w:w="146"/>
        <w:gridCol w:w="451"/>
        <w:gridCol w:w="226"/>
        <w:gridCol w:w="146"/>
        <w:gridCol w:w="161"/>
        <w:gridCol w:w="500"/>
        <w:gridCol w:w="226"/>
        <w:gridCol w:w="146"/>
        <w:gridCol w:w="146"/>
        <w:gridCol w:w="451"/>
        <w:gridCol w:w="226"/>
        <w:gridCol w:w="146"/>
        <w:gridCol w:w="146"/>
        <w:gridCol w:w="451"/>
        <w:gridCol w:w="226"/>
        <w:gridCol w:w="146"/>
        <w:gridCol w:w="209"/>
        <w:gridCol w:w="647"/>
        <w:gridCol w:w="226"/>
        <w:gridCol w:w="146"/>
        <w:gridCol w:w="181"/>
        <w:gridCol w:w="796"/>
        <w:gridCol w:w="146"/>
        <w:gridCol w:w="146"/>
        <w:gridCol w:w="181"/>
        <w:gridCol w:w="526"/>
        <w:gridCol w:w="146"/>
        <w:gridCol w:w="146"/>
        <w:gridCol w:w="856"/>
      </w:tblGrid>
      <w:tr>
        <w:trPr/>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r>
      <w:tr>
        <w:trPr/>
        <w:tc>
          <w:tcPr>
            <w:tcW w:w="991"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4356" w:type="dxa"/>
            <w:gridSpan w:val="1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Gross Leasable Area</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568"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Economic Occupancy</w:t>
            </w:r>
          </w:p>
        </w:tc>
        <w:tc>
          <w:tcPr>
            <w:tcW w:w="22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Leased</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Annualized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2"/>
              </w:rPr>
            </w:pPr>
            <w:r>
              <w:rPr>
                <w:rFonts w:ascii="DM Sans;sans-serif" w:hAnsi="DM Sans;sans-serif"/>
                <w:b/>
                <w:color w:val="FFFFFF"/>
                <w:sz w:val="12"/>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Ownership %</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Occupancy</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Base Rent (ABR)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 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Key Tenants</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Fund II Portfolio Detail</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DM Sans;sans-serif" w:hAnsi="DM Sans;sans-serif"/>
                <w:color w:val="000000"/>
                <w:sz w:val="12"/>
              </w:rPr>
              <w:t xml:space="preserve">City Point </w:t>
            </w:r>
            <w:r>
              <w:rPr>
                <w:rFonts w:ascii="DM Sans;sans-serif" w:hAnsi="DM Sans;sans-serif"/>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330,448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199,097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529,545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21,291,666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Primark, Target, Sephora,</w:t>
              <w:br/>
              <w:t>Basis Schools, Warby Parker, Just Salad</w:t>
              <w:br/>
              <w:t xml:space="preserve">Alamo Drafthouse, </w:t>
              <w:br/>
              <w:t>Trader Joe's, Lululemon</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Total - Fund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330,448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199,097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529,545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64.7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86.7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21,291,666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Fund IV Portfolio Detail</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801 Madison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210 Bowery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27 East 61st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17 East 71st Street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2,138,742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The Row</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BOSTON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Massachusetts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Restaurants at Fort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224,438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Santander Bank</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Georgia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Broughton Street Portfolio</w:t>
              <w:br/>
              <w:t>   (14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94,693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94,693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3,556,832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H&amp;M, Warby Parker,</w:t>
              <w:br/>
              <w:t>Kendra Scott, Starbucks, Lululemon</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Total - Fund 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128,073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128,073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76.7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76.7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78.6</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5,920,012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Fund V Portfolio Detail</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DDE8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SOUTHWEST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New 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Plaza Santa 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153,983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69,957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223,940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4,361,425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TJ Maxx, Best Buy, </w:t>
              <w:br/>
              <w:t>Ross Dress for Less</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Wood Ridge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217,249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5,032,550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Skechers, Diamonds Direct, Office Depot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La Frontera Village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203,619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330,822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534,441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8,312,934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Kohl's, Hobby Lobby, Burlington, Marshalls</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Fairlane Green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109,952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160,235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270,187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5,091,575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TJ Maxx, Michaels, Burlington</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Frederick County (1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146,454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236,507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3,769,577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Lidl, Advance Auto, Starbucks</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Shoppes at South Hills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416,804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512,908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4,655,811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ShopRite, </w:t>
              <w:br/>
              <w:t>Ashley Furniture</w:t>
            </w:r>
          </w:p>
        </w:tc>
      </w:tr>
    </w:tbl>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38</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655" w:type="dxa"/>
        <w:jc w:val="left"/>
        <w:tblInd w:w="0" w:type="dxa"/>
        <w:tblLayout w:type="fixed"/>
        <w:tblCellMar>
          <w:top w:w="28" w:type="dxa"/>
          <w:left w:w="28" w:type="dxa"/>
          <w:bottom w:w="28" w:type="dxa"/>
          <w:right w:w="28" w:type="dxa"/>
        </w:tblCellMar>
      </w:tblPr>
      <w:tblGrid>
        <w:gridCol w:w="3958"/>
        <w:gridCol w:w="4697"/>
      </w:tblGrid>
      <w:tr>
        <w:trPr/>
        <w:tc>
          <w:tcPr>
            <w:tcW w:w="3958" w:type="dxa"/>
            <w:tcBorders/>
            <w:vAlign w:val="center"/>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8655"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Investment Management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5984" w:type="dxa"/>
        <w:jc w:val="left"/>
        <w:tblInd w:w="0" w:type="dxa"/>
        <w:tblLayout w:type="fixed"/>
        <w:tblCellMar>
          <w:top w:w="28" w:type="dxa"/>
          <w:left w:w="28" w:type="dxa"/>
          <w:bottom w:w="28" w:type="dxa"/>
          <w:right w:w="28" w:type="dxa"/>
        </w:tblCellMar>
      </w:tblPr>
      <w:tblGrid>
        <w:gridCol w:w="1096"/>
        <w:gridCol w:w="146"/>
        <w:gridCol w:w="146"/>
        <w:gridCol w:w="721"/>
        <w:gridCol w:w="146"/>
        <w:gridCol w:w="205"/>
        <w:gridCol w:w="636"/>
        <w:gridCol w:w="226"/>
        <w:gridCol w:w="146"/>
        <w:gridCol w:w="156"/>
        <w:gridCol w:w="370"/>
        <w:gridCol w:w="146"/>
        <w:gridCol w:w="146"/>
        <w:gridCol w:w="146"/>
        <w:gridCol w:w="721"/>
        <w:gridCol w:w="146"/>
        <w:gridCol w:w="146"/>
        <w:gridCol w:w="146"/>
        <w:gridCol w:w="721"/>
        <w:gridCol w:w="146"/>
        <w:gridCol w:w="146"/>
        <w:gridCol w:w="146"/>
        <w:gridCol w:w="146"/>
        <w:gridCol w:w="721"/>
        <w:gridCol w:w="146"/>
        <w:gridCol w:w="146"/>
        <w:gridCol w:w="156"/>
        <w:gridCol w:w="370"/>
        <w:gridCol w:w="226"/>
        <w:gridCol w:w="146"/>
        <w:gridCol w:w="161"/>
        <w:gridCol w:w="500"/>
        <w:gridCol w:w="226"/>
        <w:gridCol w:w="146"/>
        <w:gridCol w:w="147"/>
        <w:gridCol w:w="379"/>
        <w:gridCol w:w="226"/>
        <w:gridCol w:w="146"/>
        <w:gridCol w:w="146"/>
        <w:gridCol w:w="376"/>
        <w:gridCol w:w="226"/>
        <w:gridCol w:w="146"/>
        <w:gridCol w:w="238"/>
        <w:gridCol w:w="618"/>
        <w:gridCol w:w="226"/>
        <w:gridCol w:w="146"/>
        <w:gridCol w:w="181"/>
        <w:gridCol w:w="796"/>
        <w:gridCol w:w="146"/>
        <w:gridCol w:w="146"/>
        <w:gridCol w:w="181"/>
        <w:gridCol w:w="451"/>
        <w:gridCol w:w="146"/>
        <w:gridCol w:w="146"/>
        <w:gridCol w:w="931"/>
      </w:tblGrid>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6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sz w:val="4"/>
                <w:szCs w:val="4"/>
              </w:rPr>
            </w:pPr>
            <w:r>
              <w:rPr>
                <w:sz w:val="4"/>
                <w:szCs w:val="4"/>
              </w:rPr>
            </w:r>
          </w:p>
        </w:tc>
        <w:tc>
          <w:tcPr>
            <w:tcW w:w="3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sz w:val="4"/>
                <w:szCs w:val="4"/>
              </w:rPr>
            </w:pPr>
            <w:r>
              <w:rPr>
                <w:sz w:val="4"/>
                <w:szCs w:val="4"/>
              </w:rPr>
            </w:r>
          </w:p>
        </w:tc>
        <w:tc>
          <w:tcPr>
            <w:tcW w:w="37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37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8" w:type="dxa"/>
            <w:tcBorders/>
            <w:shd w:fill="FFFFFF" w:val="clear"/>
            <w:vAlign w:val="center"/>
          </w:tcPr>
          <w:p>
            <w:pPr>
              <w:pStyle w:val="TableContents"/>
              <w:bidi w:val="0"/>
              <w:spacing w:before="0" w:after="283"/>
              <w:jc w:val="left"/>
              <w:rPr>
                <w:sz w:val="4"/>
                <w:szCs w:val="4"/>
              </w:rPr>
            </w:pPr>
            <w:r>
              <w:rPr>
                <w:sz w:val="4"/>
                <w:szCs w:val="4"/>
              </w:rPr>
            </w:r>
          </w:p>
        </w:tc>
        <w:tc>
          <w:tcPr>
            <w:tcW w:w="618"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4149" w:type="dxa"/>
            <w:gridSpan w:val="1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Gross Leasable Area</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351"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Economic Occupancy</w:t>
            </w:r>
          </w:p>
        </w:tc>
        <w:tc>
          <w:tcPr>
            <w:tcW w:w="22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Leased</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Annualized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2"/>
              </w:rPr>
            </w:pPr>
            <w:r>
              <w:rPr>
                <w:rFonts w:ascii="DM Sans;sans-serif" w:hAnsi="DM Sans;sans-serif"/>
                <w:b/>
                <w:color w:val="FFFFFF"/>
                <w:sz w:val="12"/>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Ownership %</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Occupancy</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Base Rent (ABR)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 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Key Tenants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Mohawk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330,874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67,794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398,668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5,691,371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Lowe's, Target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Monroe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263,376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108,276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4,462,057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Kohl's, Dick's </w:t>
              <w:br/>
              <w:t xml:space="preserve">Sporting Goods, </w:t>
              <w:br/>
              <w:t>Giant Food</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Rhode Island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Lincoln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305,534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460,813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5,595,691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Stop &amp; Shop (Ahold), Marshalls, </w:t>
              <w:br/>
              <w:t>HomeGoods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Vermont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DM Sans;sans-serif" w:hAnsi="DM Sans;sans-serif"/>
                <w:color w:val="000000"/>
                <w:sz w:val="12"/>
              </w:rPr>
              <w:t xml:space="preserve">Maple Tree Place </w:t>
            </w:r>
            <w:r>
              <w:rPr>
                <w:rFonts w:ascii="DM Sans;sans-serif" w:hAnsi="DM Sans;sans-serif"/>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256,035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140,021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396,056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7,499,576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Shaw's, Dick's Sporting Goods, Best Buy, Old Navy</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Florida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Cypress Creek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160,633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79,026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239,659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4,947,531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Hobby Lobby, Total Wine, HomeGoods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Alabama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Trussville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366,010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463,681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4,237,463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Wal-Mart, Regal Cinemas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Utah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Family Center at Riverdale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140,513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372,408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4,317,428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Target, Home Goods, </w:t>
              <w:br/>
              <w:t>Best Buy, Sierra Trading (TJX)</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Total - Fund 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2,738,513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1,959,656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4,698,169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92.0</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89.9</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93.0</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67,974,989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DDE8F7"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u w:val="single"/>
              </w:rPr>
            </w:pPr>
            <w:r>
              <w:rPr>
                <w:rFonts w:ascii="DM Sans;sans-serif" w:hAnsi="DM Sans;sans-serif"/>
                <w:b/>
                <w:color w:val="000000"/>
                <w:sz w:val="12"/>
                <w:u w:val="single"/>
              </w:rPr>
              <w:t>Other Co-investment Vehicles Detail 4</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8F7"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DDE8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Shops at Grand Avenue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52,336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47,501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99,837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3,206,092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Stop &amp; Shop (Ahold), Starbucks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Shops at Skyview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407,511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143,733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551,244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20,784,355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Target, BJ's Warehouse, Nike, Uniqlo, Burlington</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New Jersey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Midstate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270,423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122,466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392,889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7,382,795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ShopRite, Best Buy, DSW, PetSmart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Florida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Walk at Highwoods Preserve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80,894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56,862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137,756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2,646,613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HomeGoods, Michaels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Pinewood Square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4,774,182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TJ Maxx, Ross Dress for Less, Five Below</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Palm Coast Landing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73,241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171,721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3,651,176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TJ Maxx, PetSmart, </w:t>
              <w:br/>
              <w:t>Ross Dress for Less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Hickory 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266,584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113,981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380,565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4,714,677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Kohl's, Best Buy, Dick's Sporting Goods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Georgia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Avenue at West Cobb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230,421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254,446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76.2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4,762,030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Barnes &amp; Noble, Warby Parker, JCrew Factory, Jim N Nicks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Canton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132,569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215,397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347,966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6,341,085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Dick's Sporting Goods, TJ Maxx, Best Buy</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8655" w:type="dxa"/>
        <w:jc w:val="left"/>
        <w:tblInd w:w="0" w:type="dxa"/>
        <w:tblLayout w:type="fixed"/>
        <w:tblCellMar>
          <w:top w:w="28" w:type="dxa"/>
          <w:left w:w="28" w:type="dxa"/>
          <w:bottom w:w="28" w:type="dxa"/>
          <w:right w:w="28" w:type="dxa"/>
        </w:tblCellMar>
      </w:tblPr>
      <w:tblGrid>
        <w:gridCol w:w="3958"/>
        <w:gridCol w:w="4697"/>
      </w:tblGrid>
      <w:tr>
        <w:trPr/>
        <w:tc>
          <w:tcPr>
            <w:tcW w:w="3958" w:type="dxa"/>
            <w:tcBorders/>
            <w:vAlign w:val="center"/>
          </w:tcPr>
          <w:p>
            <w:pPr>
              <w:pStyle w:val="TableContents"/>
              <w:bidi w:val="0"/>
              <w:spacing w:before="0" w:after="283"/>
              <w:jc w:val="left"/>
              <w:rPr>
                <w:sz w:val="4"/>
                <w:szCs w:val="4"/>
              </w:rPr>
            </w:pPr>
            <w:r>
              <w:rPr>
                <w:sz w:val="4"/>
                <w:szCs w:val="4"/>
              </w:rPr>
            </w:r>
          </w:p>
        </w:tc>
        <w:tc>
          <w:tcPr>
            <w:tcW w:w="4697" w:type="dxa"/>
            <w:tcBorders/>
            <w:vAlign w:val="center"/>
          </w:tcPr>
          <w:p>
            <w:pPr>
              <w:pStyle w:val="TableContents"/>
              <w:bidi w:val="0"/>
              <w:spacing w:before="0" w:after="283"/>
              <w:jc w:val="left"/>
              <w:rPr>
                <w:sz w:val="4"/>
                <w:szCs w:val="4"/>
              </w:rPr>
            </w:pPr>
            <w:r>
              <w:rPr>
                <w:sz w:val="4"/>
                <w:szCs w:val="4"/>
              </w:rPr>
            </w:r>
          </w:p>
        </w:tc>
      </w:tr>
      <w:tr>
        <w:trPr/>
        <w:tc>
          <w:tcPr>
            <w:tcW w:w="8655" w:type="dxa"/>
            <w:gridSpan w:val="2"/>
            <w:tcBorders>
              <w:bottom w:val="single" w:sz="12" w:space="0" w:color="F73929"/>
            </w:tcBorders>
            <w:tcMar>
              <w:top w:w="0" w:type="dxa"/>
              <w:left w:w="0" w:type="dxa"/>
              <w:right w:w="0" w:type="dxa"/>
            </w:tcMar>
            <w:vAlign w:val="center"/>
          </w:tcPr>
          <w:p>
            <w:pPr>
              <w:pStyle w:val="TableContents"/>
              <w:bidi w:val="0"/>
              <w:jc w:val="left"/>
              <w:rPr>
                <w:rFonts w:ascii="Times New Roman" w:hAnsi="Times New Roman"/>
                <w:sz w:val="28"/>
              </w:rPr>
            </w:pPr>
            <w:r>
              <w:rPr>
                <w:rFonts w:ascii="PP Fragment;PP Fragment Sans;sans-serif" w:hAnsi="PP Fragment;PP Fragment Sans;sans-serif"/>
                <w:b/>
                <w:color w:val="F73929"/>
                <w:sz w:val="28"/>
              </w:rPr>
              <w:t xml:space="preserve">Investment Management Retail Properties – Detail </w:t>
            </w:r>
            <w:r>
              <w:rPr>
                <w:rFonts w:ascii="PP Fragment;PP Fragment Sans;sans-serif" w:hAnsi="PP Fragment;PP Fragment Sans;sans-serif"/>
                <w:b/>
                <w:color w:val="F73929"/>
                <w:sz w:val="19"/>
              </w:rPr>
              <w:t>1</w:t>
            </w:r>
          </w:p>
          <w:p>
            <w:pPr>
              <w:pStyle w:val="TableContents"/>
              <w:bidi w:val="0"/>
              <w:spacing w:before="0" w:after="283"/>
              <w:jc w:val="left"/>
              <w:rPr/>
            </w:pPr>
            <w:r>
              <w:rPr/>
              <w:t> </w:t>
            </w:r>
          </w:p>
        </w:tc>
      </w:tr>
      <w:tr>
        <w:trPr/>
        <w:tc>
          <w:tcPr>
            <w:tcW w:w="3958" w:type="dxa"/>
            <w:tcBorders/>
            <w:tcMar>
              <w:top w:w="0" w:type="dxa"/>
              <w:left w:w="0" w:type="dxa"/>
              <w:bottom w:w="0" w:type="dxa"/>
              <w:right w:w="0" w:type="dxa"/>
            </w:tcMar>
            <w:vAlign w:val="center"/>
          </w:tcPr>
          <w:p>
            <w:pPr>
              <w:pStyle w:val="TableContents"/>
              <w:bidi w:val="0"/>
              <w:spacing w:before="0" w:after="283"/>
              <w:jc w:val="left"/>
              <w:rPr/>
            </w:pPr>
            <w:r>
              <w:rPr/>
              <w:t> </w:t>
            </w:r>
          </w:p>
        </w:tc>
        <w:tc>
          <w:tcPr>
            <w:tcW w:w="469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6872" w:type="dxa"/>
        <w:jc w:val="left"/>
        <w:tblInd w:w="0" w:type="dxa"/>
        <w:tblLayout w:type="fixed"/>
        <w:tblCellMar>
          <w:top w:w="28" w:type="dxa"/>
          <w:left w:w="28" w:type="dxa"/>
          <w:bottom w:w="28" w:type="dxa"/>
          <w:right w:w="28" w:type="dxa"/>
        </w:tblCellMar>
      </w:tblPr>
      <w:tblGrid>
        <w:gridCol w:w="1096"/>
        <w:gridCol w:w="146"/>
        <w:gridCol w:w="146"/>
        <w:gridCol w:w="721"/>
        <w:gridCol w:w="146"/>
        <w:gridCol w:w="235"/>
        <w:gridCol w:w="606"/>
        <w:gridCol w:w="226"/>
        <w:gridCol w:w="146"/>
        <w:gridCol w:w="146"/>
        <w:gridCol w:w="691"/>
        <w:gridCol w:w="146"/>
        <w:gridCol w:w="146"/>
        <w:gridCol w:w="146"/>
        <w:gridCol w:w="826"/>
        <w:gridCol w:w="146"/>
        <w:gridCol w:w="146"/>
        <w:gridCol w:w="146"/>
        <w:gridCol w:w="826"/>
        <w:gridCol w:w="146"/>
        <w:gridCol w:w="146"/>
        <w:gridCol w:w="146"/>
        <w:gridCol w:w="146"/>
        <w:gridCol w:w="826"/>
        <w:gridCol w:w="146"/>
        <w:gridCol w:w="146"/>
        <w:gridCol w:w="146"/>
        <w:gridCol w:w="421"/>
        <w:gridCol w:w="226"/>
        <w:gridCol w:w="146"/>
        <w:gridCol w:w="161"/>
        <w:gridCol w:w="500"/>
        <w:gridCol w:w="226"/>
        <w:gridCol w:w="146"/>
        <w:gridCol w:w="146"/>
        <w:gridCol w:w="451"/>
        <w:gridCol w:w="226"/>
        <w:gridCol w:w="146"/>
        <w:gridCol w:w="146"/>
        <w:gridCol w:w="451"/>
        <w:gridCol w:w="226"/>
        <w:gridCol w:w="146"/>
        <w:gridCol w:w="209"/>
        <w:gridCol w:w="647"/>
        <w:gridCol w:w="226"/>
        <w:gridCol w:w="146"/>
        <w:gridCol w:w="196"/>
        <w:gridCol w:w="1006"/>
        <w:gridCol w:w="146"/>
        <w:gridCol w:w="146"/>
        <w:gridCol w:w="196"/>
        <w:gridCol w:w="511"/>
        <w:gridCol w:w="146"/>
        <w:gridCol w:w="146"/>
        <w:gridCol w:w="706"/>
      </w:tblGrid>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5"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50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4775" w:type="dxa"/>
            <w:gridSpan w:val="15"/>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Gross Leasable Area</w:t>
            </w:r>
          </w:p>
        </w:tc>
        <w:tc>
          <w:tcPr>
            <w:tcW w:w="14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3538" w:type="dxa"/>
            <w:gridSpan w:val="14"/>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Economic Occupancy</w:t>
            </w:r>
          </w:p>
        </w:tc>
        <w:tc>
          <w:tcPr>
            <w:tcW w:w="226" w:type="dxa"/>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Leased</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Annualized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2"/>
              </w:rPr>
            </w:pPr>
            <w:r>
              <w:rPr>
                <w:rFonts w:ascii="DM Sans;sans-serif" w:hAnsi="DM Sans;sans-serif"/>
                <w:b/>
                <w:color w:val="FFFFFF"/>
                <w:sz w:val="12"/>
              </w:rPr>
              <w:t>Property</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Acquired</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Ownership %</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Street</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Anchors</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Shops</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Total</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Occupancy</w:t>
            </w:r>
          </w:p>
        </w:tc>
        <w:tc>
          <w:tcPr>
            <w:tcW w:w="22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Base Rent (ABR)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ABR 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2"/>
              </w:rPr>
            </w:pPr>
            <w:r>
              <w:rPr>
                <w:rFonts w:ascii="DM Sans;sans-serif" w:hAnsi="DM Sans;sans-serif"/>
                <w:b/>
                <w:color w:val="FFFFFF"/>
                <w:sz w:val="12"/>
              </w:rPr>
              <w:t>Key Tenants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Hiram Pavilion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210,139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153,252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363,391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5,141,361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Kohl's, HomeGoods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Nevada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LINQ Promenade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181,498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181,498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16,528,576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 xml:space="preserve">Yard House, </w:t>
              <w:br/>
              <w:t xml:space="preserve">Brooklyn Bowl, </w:t>
              <w:br/>
              <w:t>I Love Sugar, Starbucks,</w:t>
              <w:br/>
              <w:t xml:space="preserve">Welcome to Las Vegas, </w:t>
              <w:br/>
              <w:t>In-N-Out Burger, Magicians Room</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u w:val="single"/>
              </w:rPr>
            </w:pPr>
            <w:r>
              <w:rPr>
                <w:rFonts w:ascii="DM Sans;sans-serif" w:hAnsi="DM Sans;sans-serif"/>
                <w:color w:val="000000"/>
                <w:sz w:val="12"/>
                <w:u w:val="single"/>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Elk Grove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DM Sans;sans-serif" w:hAnsi="DM Sans;sans-serif"/>
                <w:color w:val="000000"/>
                <w:sz w:val="12"/>
              </w:rPr>
            </w:pPr>
            <w:r>
              <w:rPr>
                <w:rFonts w:ascii="DM Sans;sans-serif" w:hAnsi="DM Sans;sans-serif"/>
                <w:color w:val="000000"/>
                <w:sz w:val="12"/>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132,489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109,589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242,078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5,492,027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Kohl's, HomeGoods</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Total - Other Co-investment 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1,650,211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1,677,097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3,327,308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92.1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90.7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91.4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95.9</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85,424,968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color w:val="000000"/>
                <w:sz w:val="12"/>
              </w:rPr>
            </w:pPr>
            <w:r>
              <w:rPr>
                <w:rFonts w:ascii="DM Sans;sans-serif" w:hAnsi="DM Sans;sans-serif"/>
                <w:color w:val="000000"/>
                <w:sz w:val="12"/>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2"/>
              </w:rPr>
            </w:pPr>
            <w:r>
              <w:rPr>
                <w:rFonts w:ascii="DM Sans;sans-serif" w:hAnsi="DM Sans;sans-serif"/>
                <w:color w:val="000000"/>
                <w:sz w:val="12"/>
              </w:rPr>
              <w:t>28.09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TOTAL INVESTMENT MANAGEMENT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128,073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4,719,172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3,835,850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8,683,095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76.7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92.6</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88.9</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90.8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93.8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180,611,635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22.92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6" w:type="dxa"/>
            <w:gridSpan w:val="7"/>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Acadia Share of Total Investment Management Properties</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29,610</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1,160,696</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882,010</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2,072,316</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76.7</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94.2</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84.8</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89.9</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93.1</w:t>
            </w:r>
          </w:p>
        </w:tc>
        <w:tc>
          <w:tcPr>
            <w:tcW w:w="22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1006"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50,392,608</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ABC8EB"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2"/>
              </w:rPr>
            </w:pPr>
            <w:r>
              <w:rPr>
                <w:rFonts w:ascii="DM Sans;sans-serif" w:hAnsi="DM Sans;sans-serif"/>
                <w:b/>
                <w:color w:val="000000"/>
                <w:sz w:val="12"/>
              </w:rPr>
              <w:t>$</w:t>
            </w:r>
          </w:p>
        </w:tc>
        <w:tc>
          <w:tcPr>
            <w:tcW w:w="511" w:type="dxa"/>
            <w:tcBorders/>
            <w:shd w:fill="ABC8EB" w:val="clear"/>
            <w:tcMar>
              <w:top w:w="0" w:type="dxa"/>
              <w:left w:w="0" w:type="dxa"/>
              <w:bottom w:w="0" w:type="dxa"/>
              <w:right w:w="0" w:type="dxa"/>
            </w:tcMar>
            <w:vAlign w:val="center"/>
          </w:tcPr>
          <w:p>
            <w:pPr>
              <w:pStyle w:val="TableContents"/>
              <w:bidi w:val="0"/>
              <w:spacing w:before="0" w:after="283"/>
              <w:jc w:val="right"/>
              <w:rPr>
                <w:rFonts w:ascii="DM Sans;sans-serif" w:hAnsi="DM Sans;sans-serif"/>
                <w:b/>
                <w:color w:val="000000"/>
                <w:sz w:val="12"/>
              </w:rPr>
            </w:pPr>
            <w:r>
              <w:rPr>
                <w:rFonts w:ascii="DM Sans;sans-serif" w:hAnsi="DM Sans;sans-serif"/>
                <w:b/>
                <w:color w:val="000000"/>
                <w:sz w:val="12"/>
              </w:rPr>
              <w:t>27.04</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tcBorders/>
            <w:shd w:fill="ABC8EB"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pPr>
      <w:r>
        <w:rPr>
          <w:rFonts w:ascii="PP Fragment;PP Fragment Sans Light;sans-serif" w:hAnsi="PP Fragment;PP Fragment Sans Light;sans-serif"/>
          <w:b w:val="false"/>
          <w:color w:val="000000"/>
          <w:sz w:val="16"/>
        </w:rPr>
        <w:t xml:space="preserve">Excludes properties currently under development. For details, refer to </w:t>
      </w:r>
      <w:hyperlink w:anchor="development_and_redevelopment_activity">
        <w:r>
          <w:rPr>
            <w:rStyle w:val="InternetLink"/>
            <w:rFonts w:ascii="PP Fragment;PP Fragment Sans Light;sans-serif" w:hAnsi="PP Fragment;PP Fragment Sans Light;sans-serif"/>
            <w:b w:val="false"/>
            <w:color w:val="F73929"/>
            <w:sz w:val="16"/>
            <w:u w:val="single"/>
          </w:rPr>
          <w:t>Development and Redevelopment Activity</w:t>
        </w:r>
      </w:hyperlink>
      <w:r>
        <w:rPr>
          <w:color w:val="000000"/>
        </w:rPr>
        <w:t xml:space="preserve"> </w:t>
      </w:r>
      <w:r>
        <w:rPr>
          <w:rFonts w:ascii="PP Fragment;PP Fragment Sans Light;sans-serif" w:hAnsi="PP Fragment;PP Fragment Sans Light;sans-serif"/>
          <w:b w:val="false"/>
          <w:color w:val="000000"/>
          <w:sz w:val="16"/>
        </w:rPr>
        <w:t>section of this Supplemental Report. The above economic occupancy and rent figures reflect only those retail spaces where leases have commenced. Leased occupancy includes both economic occupancy and signed leases that have not yet commenced. ABR and ABR per square foot are based on economic occupancy.</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Economic occupancy excludes short-term percentage rent.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3.</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 xml:space="preserve">Property also includes 93,259 square feet of office space. </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4.</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Ownership percentages for Fund properties reflect each Fund’s respective ownership interest, while ownership percentages for other co</w:t>
        <w:noBreakHyphen/>
        <w:t>investment vehicles reflect our pro</w:t>
        <w:noBreakHyphen/>
        <w:t xml:space="preserve">rata share.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40</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347" w:type="dxa"/>
        <w:jc w:val="left"/>
        <w:tblInd w:w="0" w:type="dxa"/>
        <w:tblLayout w:type="fixed"/>
        <w:tblCellMar>
          <w:top w:w="28" w:type="dxa"/>
          <w:left w:w="28" w:type="dxa"/>
          <w:bottom w:w="28" w:type="dxa"/>
          <w:right w:w="28" w:type="dxa"/>
        </w:tblCellMar>
      </w:tblPr>
      <w:tblGrid>
        <w:gridCol w:w="7156"/>
        <w:gridCol w:w="191"/>
      </w:tblGrid>
      <w:tr>
        <w:trPr/>
        <w:tc>
          <w:tcPr>
            <w:tcW w:w="71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5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Investment Management Lease Expirations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715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(Pro-Rata Basis)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bookmarkStart w:id="41" w:name="investment_mgt_lease_exp"/>
      <w:bookmarkEnd w:id="41"/>
      <w:r>
        <w:rPr/>
        <w:t> </w:t>
      </w:r>
    </w:p>
    <w:tbl>
      <w:tblPr>
        <w:tblW w:w="10205" w:type="dxa"/>
        <w:jc w:val="left"/>
        <w:tblInd w:w="0" w:type="dxa"/>
        <w:tblLayout w:type="fixed"/>
        <w:tblCellMar>
          <w:top w:w="28" w:type="dxa"/>
          <w:left w:w="28" w:type="dxa"/>
          <w:bottom w:w="28" w:type="dxa"/>
          <w:right w:w="28" w:type="dxa"/>
        </w:tblCellMar>
      </w:tblPr>
      <w:tblGrid>
        <w:gridCol w:w="901"/>
        <w:gridCol w:w="146"/>
        <w:gridCol w:w="706"/>
        <w:gridCol w:w="146"/>
        <w:gridCol w:w="706"/>
        <w:gridCol w:w="146"/>
        <w:gridCol w:w="691"/>
        <w:gridCol w:w="149"/>
        <w:gridCol w:w="601"/>
        <w:gridCol w:w="146"/>
        <w:gridCol w:w="676"/>
        <w:gridCol w:w="146"/>
        <w:gridCol w:w="886"/>
        <w:gridCol w:w="146"/>
        <w:gridCol w:w="706"/>
        <w:gridCol w:w="146"/>
        <w:gridCol w:w="706"/>
        <w:gridCol w:w="146"/>
        <w:gridCol w:w="691"/>
        <w:gridCol w:w="149"/>
        <w:gridCol w:w="601"/>
        <w:gridCol w:w="146"/>
        <w:gridCol w:w="722"/>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44"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FUND II</w:t>
            </w:r>
          </w:p>
        </w:tc>
        <w:tc>
          <w:tcPr>
            <w:tcW w:w="60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44"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FUND IV</w:t>
            </w:r>
          </w:p>
        </w:tc>
        <w:tc>
          <w:tcPr>
            <w:tcW w:w="60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4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149"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2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4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149"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9"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4"/>
              </w:rPr>
            </w:pPr>
            <w:r>
              <w:rPr>
                <w:rFonts w:ascii="DM Sans;sans-serif" w:hAnsi="DM Sans;sans-serif"/>
                <w:b/>
                <w:color w:val="FFFFFF"/>
                <w:sz w:val="14"/>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4"/>
              </w:rPr>
            </w:pPr>
            <w:r>
              <w:rPr>
                <w:rFonts w:ascii="DM Sans;sans-serif" w:hAnsi="DM Sans;sans-serif"/>
                <w:b/>
                <w:color w:val="FFFFFF"/>
                <w:sz w:val="14"/>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M to M </w:t>
            </w:r>
            <w:r>
              <w:rPr>
                <w:rFonts w:ascii="DM Sans;sans-serif" w:hAnsi="DM Sans;sans-serif"/>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M to M </w:t>
            </w:r>
            <w:r>
              <w:rPr>
                <w:rFonts w:ascii="DM Sans;sans-serif" w:hAnsi="DM Sans;sans-serif"/>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15.7%</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36.5%</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10.9%</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3.2%</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3.7%</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139,357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31.9%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16.5%</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30,869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5.6%</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3.9%</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180,792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41.4%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436,226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$46.37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Total</w:t>
            </w:r>
            <w:r>
              <w:rPr>
                <w:rFonts w:ascii="Times New Roman" w:hAnsi="Times New Roman"/>
                <w:color w:val="000000"/>
                <w:sz w:val="14"/>
              </w:rPr>
              <w:t>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22,700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$60.29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66,842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color w:val="000000"/>
                <w:sz w:val="14"/>
              </w:rPr>
              <w:t xml:space="preserve">Total Vacant </w:t>
            </w:r>
            <w:r>
              <w:rPr>
                <w:rFonts w:ascii="DM Sans;sans-serif" w:hAnsi="DM Sans;sans-serif"/>
                <w:color w:val="000000"/>
                <w:sz w:val="9"/>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color w:val="000000"/>
                <w:sz w:val="14"/>
              </w:rPr>
              <w:t xml:space="preserve">Total Vacant </w:t>
            </w:r>
            <w:r>
              <w:rPr>
                <w:rFonts w:ascii="DM Sans;sans-serif" w:hAnsi="DM Sans;sans-serif"/>
                <w:color w:val="000000"/>
                <w:sz w:val="9"/>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503,068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Square Feet </w:t>
            </w:r>
            <w:r>
              <w:rPr>
                <w:rFonts w:ascii="DM Sans;sans-serif" w:hAnsi="DM Sans;sans-serif"/>
                <w:b/>
                <w:color w:val="000000"/>
                <w:sz w:val="9"/>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29,610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Square Feet </w:t>
            </w:r>
            <w:r>
              <w:rPr>
                <w:rFonts w:ascii="DM Sans;sans-serif" w:hAnsi="DM Sans;sans-serif"/>
                <w:b/>
                <w:color w:val="000000"/>
                <w:sz w:val="9"/>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44"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FUND V</w:t>
            </w:r>
          </w:p>
        </w:tc>
        <w:tc>
          <w:tcPr>
            <w:tcW w:w="60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544"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OTHER CO-INVESTMENT VEHICLES</w:t>
            </w:r>
          </w:p>
        </w:tc>
        <w:tc>
          <w:tcPr>
            <w:tcW w:w="60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4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149"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2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4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GLA</w:t>
            </w:r>
          </w:p>
        </w:tc>
        <w:tc>
          <w:tcPr>
            <w:tcW w:w="149"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9"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ABR</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Leases</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c>
          <w:tcPr>
            <w:tcW w:w="14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Percent</w:t>
            </w:r>
          </w:p>
        </w:tc>
      </w:tr>
      <w:tr>
        <w:trPr/>
        <w:tc>
          <w:tcPr>
            <w:tcW w:w="901"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4"/>
              </w:rPr>
            </w:pPr>
            <w:r>
              <w:rPr>
                <w:rFonts w:ascii="DM Sans;sans-serif" w:hAnsi="DM Sans;sans-serif"/>
                <w:b/>
                <w:color w:val="FFFFFF"/>
                <w:sz w:val="14"/>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Expiring</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c>
          <w:tcPr>
            <w:tcW w:w="149"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4"/>
              </w:rPr>
            </w:pPr>
            <w:r>
              <w:rPr>
                <w:rFonts w:ascii="DM Sans;sans-serif" w:hAnsi="DM Sans;sans-serif"/>
                <w:b/>
                <w:color w:val="FFFFFF"/>
                <w:sz w:val="14"/>
              </w:rPr>
              <w:t>of Total</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M to M </w:t>
            </w:r>
            <w:r>
              <w:rPr>
                <w:rFonts w:ascii="DM Sans;sans-serif" w:hAnsi="DM Sans;sans-serif"/>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M to M </w:t>
            </w:r>
            <w:r>
              <w:rPr>
                <w:rFonts w:ascii="DM Sans;sans-serif" w:hAnsi="DM Sans;sans-serif"/>
                <w:b/>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DM Sans;sans-serif" w:hAnsi="DM Sans;sans-serif"/>
                <w:color w:val="000000"/>
                <w:sz w:val="14"/>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34,712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3.2%</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147,085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18.0%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75,203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10.1%</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114,206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85,068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13.8%</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109,404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16.4%</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136,884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23.0%</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56,676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5.7%</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45,503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2.8%</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38,129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42,507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5.5%</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6.3%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7.9%</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43,021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20,313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29,682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23.95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4"/>
              </w:rPr>
            </w:pPr>
            <w:r>
              <w:rPr>
                <w:rFonts w:ascii="DM Sans;sans-serif" w:hAnsi="DM Sans;sans-serif"/>
                <w:b/>
                <w:color w:val="000000"/>
                <w:sz w:val="14"/>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33,136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5.7%</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39.16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8.2%</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818,953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w:t>
            </w:r>
            <w:r>
              <w:rPr>
                <w:rFonts w:ascii="DM Sans;sans-serif" w:hAnsi="DM Sans;sans-serif"/>
                <w:b/>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586,028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$26.92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100.0%</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79,274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color w:val="000000"/>
                <w:sz w:val="14"/>
              </w:rPr>
              <w:t xml:space="preserve">Total Vacant </w:t>
            </w:r>
            <w:r>
              <w:rPr>
                <w:rFonts w:ascii="DM Sans;sans-serif" w:hAnsi="DM Sans;sans-serif"/>
                <w:color w:val="000000"/>
                <w:sz w:val="9"/>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4"/>
              </w:rPr>
            </w:pPr>
            <w:r>
              <w:rPr>
                <w:rFonts w:ascii="DM Sans;sans-serif" w:hAnsi="DM Sans;sans-serif"/>
                <w:color w:val="000000"/>
                <w:sz w:val="14"/>
              </w:rPr>
              <w:t>55,383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color w:val="000000"/>
                <w:sz w:val="14"/>
              </w:rPr>
              <w:t xml:space="preserve">Total Vacant </w:t>
            </w:r>
            <w:r>
              <w:rPr>
                <w:rFonts w:ascii="DM Sans;sans-serif" w:hAnsi="DM Sans;sans-serif"/>
                <w:color w:val="000000"/>
                <w:sz w:val="9"/>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898,227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Square Feet </w:t>
            </w:r>
            <w:r>
              <w:rPr>
                <w:rFonts w:ascii="DM Sans;sans-serif" w:hAnsi="DM Sans;sans-serif"/>
                <w:b/>
                <w:color w:val="000000"/>
                <w:sz w:val="9"/>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4"/>
              </w:rPr>
            </w:pPr>
            <w:r>
              <w:rPr>
                <w:rFonts w:ascii="DM Sans;sans-serif" w:hAnsi="DM Sans;sans-serif"/>
                <w:b/>
                <w:color w:val="000000"/>
                <w:sz w:val="14"/>
              </w:rPr>
              <w:t>641,411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DM Sans;sans-serif" w:hAnsi="DM Sans;sans-serif"/>
                <w:b/>
                <w:color w:val="000000"/>
                <w:sz w:val="14"/>
              </w:rPr>
              <w:t xml:space="preserve">Total Square Feet </w:t>
            </w:r>
            <w:r>
              <w:rPr>
                <w:rFonts w:ascii="DM Sans;sans-serif" w:hAnsi="DM Sans;sans-serif"/>
                <w:b/>
                <w:color w:val="000000"/>
                <w:sz w:val="9"/>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7347" w:type="dxa"/>
        <w:jc w:val="left"/>
        <w:tblInd w:w="0" w:type="dxa"/>
        <w:tblLayout w:type="fixed"/>
        <w:tblCellMar>
          <w:top w:w="28" w:type="dxa"/>
          <w:left w:w="28" w:type="dxa"/>
          <w:bottom w:w="28" w:type="dxa"/>
          <w:right w:w="28" w:type="dxa"/>
        </w:tblCellMar>
      </w:tblPr>
      <w:tblGrid>
        <w:gridCol w:w="7156"/>
        <w:gridCol w:w="191"/>
      </w:tblGrid>
      <w:tr>
        <w:trPr/>
        <w:tc>
          <w:tcPr>
            <w:tcW w:w="71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5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Investment Management Lease Expirations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7156" w:type="dxa"/>
            <w:tcBorders/>
            <w:tcMar>
              <w:top w:w="0" w:type="dxa"/>
              <w:left w:w="0" w:type="dxa"/>
              <w:bottom w:w="0" w:type="dxa"/>
              <w:right w:w="0" w:type="dxa"/>
            </w:tcMar>
            <w:vAlign w:val="center"/>
          </w:tcPr>
          <w:p>
            <w:pPr>
              <w:pStyle w:val="TableContents"/>
              <w:bidi w:val="0"/>
              <w:spacing w:before="0" w:after="283"/>
              <w:jc w:val="left"/>
              <w:rPr>
                <w:rFonts w:ascii="PP Fragment;PP Fragment Sans Light;sans-serif" w:hAnsi="PP Fragment;PP Fragment Sans Light;sans-serif"/>
                <w:b w:val="false"/>
                <w:color w:val="434244"/>
                <w:sz w:val="20"/>
              </w:rPr>
            </w:pPr>
            <w:r>
              <w:rPr>
                <w:rFonts w:ascii="PP Fragment;PP Fragment Sans Light;sans-serif" w:hAnsi="PP Fragment;PP Fragment Sans Light;sans-serif"/>
                <w:b w:val="false"/>
                <w:color w:val="434244"/>
                <w:sz w:val="20"/>
              </w:rPr>
              <w:t>(Pro-Rata Basis)</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8725" w:type="dxa"/>
        <w:jc w:val="left"/>
        <w:tblInd w:w="0" w:type="dxa"/>
        <w:tblLayout w:type="fixed"/>
        <w:tblCellMar>
          <w:top w:w="28" w:type="dxa"/>
          <w:left w:w="28" w:type="dxa"/>
          <w:bottom w:w="28" w:type="dxa"/>
          <w:right w:w="28" w:type="dxa"/>
        </w:tblCellMar>
      </w:tblPr>
      <w:tblGrid>
        <w:gridCol w:w="1036"/>
        <w:gridCol w:w="146"/>
        <w:gridCol w:w="811"/>
        <w:gridCol w:w="151"/>
        <w:gridCol w:w="998"/>
        <w:gridCol w:w="151"/>
        <w:gridCol w:w="1463"/>
        <w:gridCol w:w="277"/>
        <w:gridCol w:w="691"/>
        <w:gridCol w:w="146"/>
        <w:gridCol w:w="766"/>
        <w:gridCol w:w="146"/>
        <w:gridCol w:w="146"/>
        <w:gridCol w:w="146"/>
        <w:gridCol w:w="146"/>
        <w:gridCol w:w="146"/>
        <w:gridCol w:w="146"/>
        <w:gridCol w:w="146"/>
        <w:gridCol w:w="146"/>
        <w:gridCol w:w="146"/>
        <w:gridCol w:w="146"/>
        <w:gridCol w:w="146"/>
        <w:gridCol w:w="146"/>
        <w:gridCol w:w="146"/>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3851" w:type="dxa"/>
            <w:gridSpan w:val="6"/>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TOTAL INVESTMENT MANAGEMENT</w:t>
            </w:r>
          </w:p>
        </w:tc>
        <w:tc>
          <w:tcPr>
            <w:tcW w:w="691"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2612"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GLA</w:t>
            </w:r>
          </w:p>
        </w:tc>
        <w:tc>
          <w:tcPr>
            <w:tcW w:w="277" w:type="dxa"/>
            <w:tcBorders>
              <w:bottom w:val="single" w:sz="4" w:space="0" w:color="000000"/>
            </w:tcBorders>
            <w:shd w:fill="A77E4A" w:val="clear"/>
            <w:tcMar>
              <w:top w:w="0" w:type="dxa"/>
              <w:left w:w="0" w:type="dxa"/>
              <w:right w:w="0" w:type="dxa"/>
            </w:tcMar>
            <w:vAlign w:val="center"/>
          </w:tcPr>
          <w:p>
            <w:pPr>
              <w:pStyle w:val="TableContents"/>
              <w:bidi w:val="0"/>
              <w:spacing w:before="0" w:after="283"/>
              <w:jc w:val="center"/>
              <w:rPr/>
            </w:pPr>
            <w:r>
              <w:rPr/>
              <w:t> </w:t>
            </w:r>
          </w:p>
        </w:tc>
        <w:tc>
          <w:tcPr>
            <w:tcW w:w="1603" w:type="dxa"/>
            <w:gridSpan w:val="3"/>
            <w:tcBorders>
              <w:bottom w:val="single" w:sz="4" w:space="0" w:color="FFFFFF"/>
            </w:tcBorders>
            <w:shd w:fill="A77E4A" w:val="clear"/>
            <w:tcMar>
              <w:top w:w="0" w:type="dxa"/>
              <w:left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ABR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Leases</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Percent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A77E4A"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FFFFFF"/>
                <w:sz w:val="15"/>
              </w:rPr>
            </w:pPr>
            <w:r>
              <w:rPr>
                <w:rFonts w:ascii="DM Sans;sans-serif" w:hAnsi="DM Sans;sans-serif"/>
                <w:b/>
                <w:color w:val="FFFFFF"/>
                <w:sz w:val="15"/>
              </w:rPr>
              <w:t>Year</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Expiring</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998"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SF</w:t>
            </w:r>
          </w:p>
        </w:tc>
        <w:tc>
          <w:tcPr>
            <w:tcW w:w="151"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1463"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277"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PSF</w:t>
            </w:r>
          </w:p>
        </w:tc>
        <w:tc>
          <w:tcPr>
            <w:tcW w:w="146" w:type="dxa"/>
            <w:tcBorders/>
            <w:shd w:fill="A77E4A"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A77E4A" w:val="clear"/>
            <w:tcMar>
              <w:top w:w="0" w:type="dxa"/>
              <w:left w:w="0" w:type="dxa"/>
              <w:bottom w:w="0" w:type="dxa"/>
              <w:right w:w="0" w:type="dxa"/>
            </w:tcMar>
            <w:vAlign w:val="center"/>
          </w:tcPr>
          <w:p>
            <w:pPr>
              <w:pStyle w:val="TableContents"/>
              <w:bidi w:val="0"/>
              <w:spacing w:before="0" w:after="283"/>
              <w:jc w:val="center"/>
              <w:rPr>
                <w:rFonts w:ascii="DM Sans;sans-serif" w:hAnsi="DM Sans;sans-serif"/>
                <w:b/>
                <w:color w:val="FFFFFF"/>
                <w:sz w:val="15"/>
              </w:rPr>
            </w:pPr>
            <w:r>
              <w:rPr>
                <w:rFonts w:ascii="DM Sans;sans-serif" w:hAnsi="DM Sans;sans-serif"/>
                <w:b/>
                <w:color w:val="FFFFFF"/>
                <w:sz w:val="15"/>
              </w:rPr>
              <w:t>of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M to M </w:t>
            </w:r>
            <w:r>
              <w:rPr>
                <w:rFonts w:ascii="DM Sans;sans-serif" w:hAnsi="DM Sans;sans-serif"/>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57,512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235,716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204,740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201,769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263,761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14.2%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126,900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216,205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112,679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108,617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91,088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4.9%</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DM Sans;sans-serif" w:hAnsi="DM Sans;sans-serif"/>
                <w:b/>
                <w:color w:val="000000"/>
                <w:sz w:val="15"/>
              </w:rPr>
            </w:pPr>
            <w:r>
              <w:rPr>
                <w:rFonts w:ascii="DM Sans;sans-serif" w:hAnsi="DM Sans;sans-serif"/>
                <w:b/>
                <w:color w:val="000000"/>
                <w:sz w:val="15"/>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243,610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13.1%</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53.19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w:t>
            </w:r>
            <w:r>
              <w:rPr>
                <w:rFonts w:ascii="DM Sans;sans-serif" w:hAnsi="DM Sans;sans-serif"/>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817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1,863,907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$27.04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color w:val="000000"/>
                <w:sz w:val="15"/>
              </w:rPr>
            </w:pPr>
            <w:r>
              <w:rPr>
                <w:rFonts w:ascii="DM Sans;sans-serif" w:hAnsi="DM Sans;sans-serif"/>
                <w:color w:val="000000"/>
                <w:sz w:val="15"/>
              </w:rPr>
              <w:t>208,409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color w:val="000000"/>
                <w:sz w:val="15"/>
              </w:rPr>
              <w:t xml:space="preserve">Total Vacant </w:t>
            </w:r>
            <w:r>
              <w:rPr>
                <w:rFonts w:ascii="DM Sans;sans-serif" w:hAnsi="DM Sans;sans-serif"/>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DM Sans;sans-serif" w:hAnsi="DM Sans;sans-serif"/>
                <w:b/>
                <w:color w:val="000000"/>
                <w:sz w:val="15"/>
              </w:rPr>
            </w:pPr>
            <w:r>
              <w:rPr>
                <w:rFonts w:ascii="DM Sans;sans-serif" w:hAnsi="DM Sans;sans-serif"/>
                <w:b/>
                <w:color w:val="000000"/>
                <w:sz w:val="15"/>
              </w:rPr>
              <w:t>2,072,316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DM Sans;sans-serif" w:hAnsi="DM Sans;sans-serif"/>
                <w:b/>
                <w:color w:val="000000"/>
                <w:sz w:val="15"/>
              </w:rPr>
              <w:t xml:space="preserve">Total Square Feet </w:t>
            </w:r>
            <w:r>
              <w:rPr>
                <w:rFonts w:ascii="DM Sans;sans-serif" w:hAnsi="DM Sans;sans-serif"/>
                <w:b/>
                <w:color w:val="000000"/>
                <w:sz w:val="1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_____________________________</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1.</w:t>
      </w:r>
    </w:p>
    <w:p>
      <w:pPr>
        <w:pStyle w:val="TextBody"/>
        <w:bidi w:val="0"/>
        <w:spacing w:before="0" w:after="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Leases currently under month to month or in process of renewal.</w:t>
      </w:r>
    </w:p>
    <w:p>
      <w:pPr>
        <w:pStyle w:val="TextBody"/>
        <w:bidi w:val="0"/>
        <w:spacing w:before="0" w:after="0"/>
        <w:jc w:val="both"/>
        <w:rPr>
          <w:rFonts w:ascii="PP Fragment Sans Light;sans-serif" w:hAnsi="PP Fragment Sans Light;sans-serif"/>
          <w:b w:val="false"/>
          <w:color w:val="000000"/>
          <w:sz w:val="16"/>
        </w:rPr>
      </w:pPr>
      <w:r>
        <w:rPr>
          <w:rFonts w:ascii="PP Fragment Sans Light;sans-serif" w:hAnsi="PP Fragment Sans Light;sans-serif"/>
          <w:b w:val="false"/>
          <w:color w:val="000000"/>
          <w:sz w:val="16"/>
        </w:rPr>
        <w:t>2.</w:t>
      </w:r>
    </w:p>
    <w:p>
      <w:pPr>
        <w:pStyle w:val="TextBody"/>
        <w:bidi w:val="0"/>
        <w:jc w:val="both"/>
        <w:rPr>
          <w:rFonts w:ascii="PP Fragment;PP Fragment Sans Light;sans-serif" w:hAnsi="PP Fragment;PP Fragment Sans Light;sans-serif"/>
          <w:b w:val="false"/>
          <w:color w:val="000000"/>
          <w:sz w:val="16"/>
        </w:rPr>
      </w:pPr>
      <w:r>
        <w:rPr>
          <w:rFonts w:ascii="PP Fragment;PP Fragment Sans Light;sans-serif" w:hAnsi="PP Fragment;PP Fragment Sans Light;sans-serif"/>
          <w:b w:val="false"/>
          <w:color w:val="000000"/>
          <w:sz w:val="16"/>
        </w:rPr>
        <w:t>Totals may not foot due to rounding.</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42</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Important Notes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PP Fragment;PP Fragment Sans Light;sans-serif" w:hAnsi="PP Fragment;PP Fragment Sans Light;sans-serif"/>
          <w:b/>
          <w:color w:val="000000"/>
          <w:sz w:val="18"/>
        </w:rPr>
      </w:pPr>
      <w:bookmarkStart w:id="42" w:name="imp_notes"/>
      <w:bookmarkEnd w:id="42"/>
      <w:r>
        <w:rPr>
          <w:rFonts w:ascii="PP Fragment;PP Fragment Sans Light;sans-serif" w:hAnsi="PP Fragment;PP Fragment Sans Light;sans-serif"/>
          <w:b/>
          <w:color w:val="000000"/>
          <w:sz w:val="18"/>
        </w:rPr>
        <w:t>SPECIAL NOTE REGARDING FORWARD-LOOKING STATEMENTS</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Certain statements contained in this supplemental disclosure may contain forward-looking statements within the meaning of Section 27A of the Securities Act of 1933 and Section 21E of the Securities and Exchange Act of 1934 and as such may involve known and unknown risks, uncertainties and other factors which may cause the Company’s actual results, performance or achievements to be materially different from future results, performance or achievements expressed or implied by such forward-looking statements. Forward-looking statements, which are based on certain assumptions and describe the Company’s future plans, strategies and expectations are generally identifiable by use of the words “may,” “will,” “should,” “expect,” “anticipate,” “estimate,” “believe,” “intend” or “project” or the negative thereof or other variations thereon or comparable terminology. Factors which could have a material adverse effect on the operations and future prospects of the Company include, but are not limited to those set forth under the heading “Risk Factors” in the Company’s Annual Report on Form 10-K. These risks and uncertainties should be considered in evaluating any forward-looking statements contained or incorporated by reference herein.</w:t>
      </w:r>
    </w:p>
    <w:p>
      <w:pPr>
        <w:pStyle w:val="TextBody"/>
        <w:bidi w:val="0"/>
        <w:jc w:val="both"/>
        <w:rPr/>
      </w:pPr>
      <w:r>
        <w:rPr/>
        <w:t> </w:t>
      </w:r>
    </w:p>
    <w:p>
      <w:pPr>
        <w:pStyle w:val="TextBody"/>
        <w:bidi w:val="0"/>
        <w:jc w:val="both"/>
        <w:rPr>
          <w:rFonts w:ascii="PP Fragment;PP Fragment Sans Light;sans-serif" w:hAnsi="PP Fragment;PP Fragment Sans Light;sans-serif"/>
          <w:b/>
          <w:color w:val="000000"/>
          <w:sz w:val="18"/>
        </w:rPr>
      </w:pPr>
      <w:r>
        <w:rPr>
          <w:rFonts w:ascii="PP Fragment;PP Fragment Sans Light;sans-serif" w:hAnsi="PP Fragment;PP Fragment Sans Light;sans-serif"/>
          <w:b/>
          <w:color w:val="000000"/>
          <w:sz w:val="18"/>
        </w:rPr>
        <w:t>NON-GAAP FINANCIAL MEASURES</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The Company uses certain non-GAAP performance measures, in addition to the primary GAAP presentations, as management believes these measures improve the understanding of the Company’s operational results. We continually evaluate the usefulness, relevance, limitations, and calculation of our reported non-GAAP performance measures to determine how best to provide relevant information to the investing public, and thus such reported measures are subject to change. The Company’s non-GAAP performance measures have limitations as they do not include all items of income and expense that affect operations, and accordingly, should always be considered as supplemental financial results. Additionally, the Company’s computation of non-GAAP measures may not be comparable to similarly titled non-GAAP metrics reported by other real estate investment trusts (“REITs”) or real estate companies that define these metrics differently, and, as a result, it is important to understand the manner in which the Company defines and calculates each of its non-GAAP metrics. Quantitative reconciliations of the differences between the most directly comparable GAAP financial measures and the non-GAAP financial measures presented are provided within this Supplemental package.</w:t>
      </w:r>
    </w:p>
    <w:p>
      <w:pPr>
        <w:pStyle w:val="TextBody"/>
        <w:bidi w:val="0"/>
        <w:jc w:val="both"/>
        <w:rPr/>
      </w:pPr>
      <w:r>
        <w:rPr/>
        <w:t> </w:t>
      </w:r>
    </w:p>
    <w:p>
      <w:pPr>
        <w:pStyle w:val="TextBody"/>
        <w:bidi w:val="0"/>
        <w:jc w:val="left"/>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The following non-GAAP measures are commonly used by the Company and its investors to understand and evaluate its operating results and performance:</w:t>
      </w:r>
    </w:p>
    <w:p>
      <w:pPr>
        <w:pStyle w:val="TextBody"/>
        <w:bidi w:val="0"/>
        <w:jc w:val="left"/>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Funds From Operations (“FFO”)</w:t>
      </w:r>
      <w:r>
        <w:rPr>
          <w:rFonts w:ascii="PP Fragment;PP Fragment Sans Light;sans-serif" w:hAnsi="PP Fragment;PP Fragment Sans Light;sans-serif"/>
          <w:b w:val="false"/>
          <w:color w:val="000000"/>
          <w:sz w:val="18"/>
        </w:rPr>
        <w:t>: The Company considers FFO as defined by the National Association of Real Estate Investment Trusts (“NAREIT”) to be an appropriate supplemental disclosure of operating performance for an equity REIT due to its widespread acceptance and use within the REIT and analyst communities. FFO is presented to assist investors in analyzing the performance of the Company. It is helpful as it excludes various items included in net income that are not indicative of the operating performance, such as gains (or losses) from sales of property and depreciation and amortization. Consistent with the NAREIT definition, the Company defines FFO as net income (computed in accordance with GAAP), excluding (i) gains (or losses) from sales of depreciated properties; (ii) depreciation and amortization; (iii) impairment of real estate assets related to the Company’s main business and land held for the development of property for its operating portfolio; (iv) gains (losses) from change in control and (v) after adjustments for unconsolidated partnerships and joint ventures. Also consistent with NAREIT’s definition of FFO, the Company has elected to include the impact of the unrealized holding gains (losses) incidental to its main business. FFO does not represent cash generated from operations as defined by GAAP and are not indicative of cash available to fund all cash needs, including distributions, and should not be considered as an alternative to net income for the purpose of evaluating the Company’s performance or to cash flows as a measure of liquidity.</w:t>
      </w:r>
    </w:p>
    <w:p>
      <w:pPr>
        <w:pStyle w:val="TextBody"/>
        <w:bidi w:val="0"/>
        <w:jc w:val="both"/>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Adjusted FFO (“AFFO”)</w:t>
      </w:r>
      <w:r>
        <w:rPr>
          <w:rFonts w:ascii="PP Fragment;PP Fragment Sans Light;sans-serif" w:hAnsi="PP Fragment;PP Fragment Sans Light;sans-serif"/>
          <w:b w:val="false"/>
          <w:color w:val="000000"/>
          <w:sz w:val="18"/>
        </w:rPr>
        <w:t>: The Company also provides another supplemental disclosure of operating performance, AFFO. The Company defines AFFO as FFO adjusted for (i) straight line rent, (ii) non-real estate depreciation, (iii) stock-based compensation, (iv) amortization of finance costs and costs of management contracts, (v) tenant improvements, (vi) leasing commissions and (vii) capital expenditures.</w:t>
      </w:r>
      <w:r>
        <w:rPr>
          <w:rFonts w:ascii="Times New Roman" w:hAnsi="Times New Roman"/>
          <w:color w:val="000000"/>
          <w:sz w:val="20"/>
        </w:rPr>
        <w:t xml:space="preserve">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Important Notes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FFO As Adjusted</w:t>
      </w:r>
      <w:r>
        <w:rPr>
          <w:rFonts w:ascii="PP Fragment;PP Fragment Sans Light;sans-serif" w:hAnsi="PP Fragment;PP Fragment Sans Light;sans-serif"/>
          <w:b w:val="false"/>
          <w:color w:val="000000"/>
          <w:sz w:val="18"/>
        </w:rPr>
        <w:t>: The Company uses FFO As Adjusted for evaluating operating performance and comparing historical financial periods. The Company defines FFO As Adjusted as FFO adjusted for items that management believes are not reflective of ongoing core operating results, including non-comparable revenues, expenses, gains, and losses (including impairment losses related to the Company’s investment in Fifth Wall). While these adjustments may be subject to fluctuations from period to period, with both positive and negative short-term impacts, management believes that the removal of the impacts of these items enhances our understanding of the operating performance of our properties. The Company’s method of calculating FFO As Adjusted may be different from methods used by other REITs and, accordingly, may not be comparable to such other REITs.</w:t>
      </w:r>
    </w:p>
    <w:p>
      <w:pPr>
        <w:pStyle w:val="TextBody"/>
        <w:bidi w:val="0"/>
        <w:jc w:val="left"/>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Net Operating Income (“NOI”):</w:t>
      </w:r>
      <w:r>
        <w:rPr>
          <w:rFonts w:ascii="Times New Roman" w:hAnsi="Times New Roman"/>
          <w:color w:val="000000"/>
          <w:sz w:val="20"/>
        </w:rPr>
        <w:t xml:space="preserve"> </w:t>
      </w:r>
      <w:r>
        <w:rPr>
          <w:rFonts w:ascii="PP Fragment;PP Fragment Sans Light;sans-serif" w:hAnsi="PP Fragment;PP Fragment Sans Light;sans-serif"/>
          <w:b w:val="false"/>
          <w:color w:val="000000"/>
          <w:sz w:val="18"/>
        </w:rPr>
        <w:t>The Company uses NOI to make investment and capital allocation decisions and management believes NOI is useful to investors as a performance measure because, when compared across periods, NOI reflects the impact on operations from trends in occupancy rates, rental rates, operating costs, and acquisition and disposition activity on an unleveraged basis, providing perspective not immediately apparent from net income. The Company computes NOI by taking the difference between Property Revenues and Property Expenses as detailed in this reporting supplement. Management does not believe NOI is a meaningful measure for its Investment Management investments as Investment Management invests primarily in properties that typically require significant leasing and development and is primarily comprised of finite-life investment vehicles.</w:t>
      </w:r>
    </w:p>
    <w:p>
      <w:pPr>
        <w:pStyle w:val="TextBody"/>
        <w:bidi w:val="0"/>
        <w:jc w:val="both"/>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Same-Property:</w:t>
      </w:r>
      <w:r>
        <w:rPr>
          <w:rFonts w:ascii="Times New Roman" w:hAnsi="Times New Roman"/>
          <w:color w:val="000000"/>
          <w:sz w:val="20"/>
        </w:rPr>
        <w:t xml:space="preserve"> </w:t>
      </w:r>
      <w:r>
        <w:rPr>
          <w:rFonts w:ascii="PP Fragment;PP Fragment Sans Light;sans-serif" w:hAnsi="PP Fragment;PP Fragment Sans Light;sans-serif"/>
          <w:b w:val="false"/>
          <w:color w:val="000000"/>
          <w:sz w:val="18"/>
        </w:rPr>
        <w:t>In the Company’s analysis of NOI, particularly to make comparisons of NOI between periods meaningful, it is important to provide information for properties that were in-service and owned by the Company throughout each period presented. The Company refers to properties acquired or placed in-service prior to the beginning of the earliest period presented and owned by the Company through the end of the latest period presented as “Same-Property.” “Same-Property” therefore exclude properties placed in-service, acquired, repositioned or in or held for development or redevelopment after the beginning of the earliest period presented or disposed of prior to the end of the latest period presented.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u w:val="single"/>
        </w:rPr>
        <w:t>EBITDA</w:t>
      </w:r>
      <w:r>
        <w:rPr>
          <w:rFonts w:ascii="PP Fragment;PP Fragment Sans Light;sans-serif" w:hAnsi="PP Fragment;PP Fragment Sans Light;sans-serif"/>
          <w:b w:val="false"/>
          <w:color w:val="000000"/>
          <w:sz w:val="18"/>
        </w:rPr>
        <w:t>: The Company defines EBITDA as net income (loss) attributable to Company shareholders, adjusted to exclude the impact of interest expense, income taxes, depreciation, and amortization. EBITDA is intended to represent a GAAP-based operating performance measure that isolates earnings before the effects of capital structure, tax position, and non-cash depreciation and amortization. Consistent with industry practice, the Company further adjusts GAAP net income to remove certain items that do not relate to, or are not indicative of, our core operating performance. These include above- or below-market lease amortization, gains or losses on the disposition of properties, unrealized holding gains or losses on investments, impairment charges, realized gains, and the impact of changes in control or other non-recurring items. These additional adjustments are applied after the determination of GAAP EBITDA and are included in the calculation of Adjusted EBITDA, a supplemental non-GAAP measure used in evaluating operational performance.</w:t>
      </w:r>
    </w:p>
    <w:p>
      <w:pPr>
        <w:pStyle w:val="TextBody"/>
        <w:bidi w:val="0"/>
        <w:jc w:val="both"/>
        <w:rPr>
          <w:rFonts w:ascii="Times New Roman" w:hAnsi="Times New Roman"/>
          <w:sz w:val="20"/>
        </w:rPr>
      </w:pPr>
      <w:r>
        <w:rPr>
          <w:rFonts w:ascii="PP Fragment;PP Fragment Sans Light;sans-serif" w:hAnsi="PP Fragment;PP Fragment Sans Light;sans-serif"/>
          <w:b w:val="false"/>
          <w:color w:val="000000"/>
          <w:sz w:val="18"/>
        </w:rPr>
        <w:t>The Company also presents certain non-GAAP financial measures on a “Pro-Rata Share” basis. These amounts are calculated as the consolidated amount determined in accordance with GAAP, adjusted to include the Company’s proportionate share of amounts from its unconsolidated joint ventures (based on the Company’s ownership interest and, in some cases, after priority allocations), and to exclude the partners’ share of results from the Company’s consolidated joint ventures (based on the partners’ ownership percentages).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Management believes this presentation provides useful information to investors regarding the Company’s financial condition and operating results because the Company participates in several significant joint ventures. In certain cases, the Company exercises significant influence but does not control the joint venture, requiring GAAP to apply the equity method of accounting, which results in non-consolidation for financial reporting purposes. In other cases, GAAP requires consolidation even though the Company’s partner(s) hold a substantial ownership interest. Accordingly, management believes that presenting these measures on a Pro-Rata Share basis helps investors better understand the Company’s financial condition and operating performance after considering its true economic interest in these joint ventures. The Company cautions that ownership percentages used in these calculations may not fully reflect all legal and economic implications of holding an interest in a consolidated or unconsolidated joint venture, which arrangements often include varying provisions related to decision-making rights, distributions, transferability of interests, financing and guarantees, liquidations, and other matters. Accordingly, these measures should be considered supplemental and not a substitute for the Company’s GAAP financial information.</w:t>
      </w:r>
    </w:p>
    <w:p>
      <w:pPr>
        <w:pStyle w:val="TextBody"/>
        <w:bidi w:val="0"/>
        <w:jc w:val="both"/>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44</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12" w:space="0" w:color="F73929"/>
            </w:tcBorders>
            <w:tcMar>
              <w:top w:w="0" w:type="dxa"/>
              <w:left w:w="0" w:type="dxa"/>
              <w:right w:w="0" w:type="dxa"/>
            </w:tcMar>
            <w:vAlign w:val="center"/>
          </w:tcPr>
          <w:p>
            <w:pPr>
              <w:pStyle w:val="TableContents"/>
              <w:bidi w:val="0"/>
              <w:jc w:val="left"/>
              <w:rPr>
                <w:rFonts w:ascii="PP Fragment;PP Fragment Sans;sans-serif" w:hAnsi="PP Fragment;PP Fragment Sans;sans-serif"/>
                <w:b/>
                <w:color w:val="F73929"/>
                <w:sz w:val="28"/>
              </w:rPr>
            </w:pPr>
            <w:r>
              <w:rPr>
                <w:rFonts w:ascii="PP Fragment;PP Fragment Sans;sans-serif" w:hAnsi="PP Fragment;PP Fragment Sans;sans-serif"/>
                <w:b/>
                <w:color w:val="F73929"/>
                <w:sz w:val="28"/>
              </w:rPr>
              <w:t>Important Notes</w:t>
            </w:r>
          </w:p>
          <w:p>
            <w:pPr>
              <w:pStyle w:val="TableContents"/>
              <w:bidi w:val="0"/>
              <w:spacing w:before="0" w:after="283"/>
              <w:jc w:val="left"/>
              <w:rPr/>
            </w:pPr>
            <w:r>
              <w:rPr/>
              <w:t> </w:t>
            </w:r>
          </w:p>
        </w:tc>
        <w:tc>
          <w:tcPr>
            <w:tcW w:w="191" w:type="dxa"/>
            <w:tcBorders>
              <w:bottom w:val="single" w:sz="12" w:space="0" w:color="F73929"/>
            </w:tcBorders>
            <w:tcMar>
              <w:top w:w="0" w:type="dxa"/>
              <w:left w:w="0" w:type="dxa"/>
              <w:right w:w="0" w:type="dxa"/>
            </w:tcMar>
            <w:vAlign w:val="center"/>
          </w:tcPr>
          <w:p>
            <w:pPr>
              <w:pStyle w:val="TableContents"/>
              <w:bidi w:val="0"/>
              <w:spacing w:before="0" w:after="283"/>
              <w:jc w:val="righ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PP Fragment;PP Fragment Sans Light;sans-serif" w:hAnsi="PP Fragment;PP Fragment Sans Light;sans-serif"/>
          <w:b w:val="false"/>
          <w:color w:val="000000"/>
          <w:sz w:val="18"/>
        </w:rPr>
      </w:pPr>
      <w:r>
        <w:rPr>
          <w:rFonts w:ascii="PP Fragment;PP Fragment Sans Light;sans-serif" w:hAnsi="PP Fragment;PP Fragment Sans Light;sans-serif"/>
          <w:b w:val="false"/>
          <w:color w:val="000000"/>
          <w:sz w:val="18"/>
        </w:rPr>
        <w:t>The Company also presents certain operating metrics, such as occupancy and leased percentages, on a Pro-Rata Share basis. These amounts combine the Company’s consolidated portfolio square footage with its share of square footage from unconsolidated joint ventures (based on ownership interest), net of partners’ share from consolidated ventures.</w:t>
      </w:r>
    </w:p>
    <w:p>
      <w:pPr>
        <w:pStyle w:val="TextBody"/>
        <w:bidi w:val="0"/>
        <w:jc w:val="left"/>
        <w:rPr/>
      </w:pPr>
      <w:r>
        <w:rPr/>
        <w:t> </w:t>
      </w:r>
    </w:p>
    <w:tbl>
      <w:tblPr>
        <w:tblW w:w="7152" w:type="dxa"/>
        <w:jc w:val="left"/>
        <w:tblInd w:w="0" w:type="dxa"/>
        <w:tblLayout w:type="fixed"/>
        <w:tblCellMar>
          <w:top w:w="28" w:type="dxa"/>
          <w:left w:w="28" w:type="dxa"/>
          <w:bottom w:w="28" w:type="dxa"/>
          <w:right w:w="28" w:type="dxa"/>
        </w:tblCellMar>
      </w:tblPr>
      <w:tblGrid>
        <w:gridCol w:w="3641"/>
        <w:gridCol w:w="3511"/>
      </w:tblGrid>
      <w:tr>
        <w:trPr/>
        <w:tc>
          <w:tcPr>
            <w:tcW w:w="364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36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247900" cy="3619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247900" cy="361950"/>
                          </a:xfrm>
                          <a:prstGeom prst="rect">
                            <a:avLst/>
                          </a:prstGeom>
                        </pic:spPr>
                      </pic:pic>
                    </a:graphicData>
                  </a:graphic>
                </wp:inline>
              </w:drawing>
            </w:r>
          </w:p>
        </w:tc>
        <w:tc>
          <w:tcPr>
            <w:tcW w:w="351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sz w:val="16"/>
              </w:rPr>
            </w:pPr>
            <w:r>
              <w:rPr>
                <w:rFonts w:ascii="PP Fragment;PP Fragment Sans Light;sans-serif" w:hAnsi="PP Fragment;PP Fragment Sans Light;sans-serif"/>
                <w:b w:val="false"/>
                <w:color w:val="F73929"/>
                <w:sz w:val="16"/>
              </w:rPr>
              <w:t xml:space="preserve">Supplemental Report June 30, 2026 – </w:t>
            </w:r>
            <w:r>
              <w:rPr>
                <w:rFonts w:ascii="PP Fragment;PP Fragment Sans Light;sans-serif" w:hAnsi="PP Fragment;PP Fragment Sans Light;sans-serif"/>
                <w:b/>
                <w:color w:val="F73929"/>
                <w:sz w:val="16"/>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ource Sans Pro Semibold">
    <w:altName w:val="sans-serif"/>
    <w:charset w:val="01"/>
    <w:family w:val="auto"/>
    <w:pitch w:val="default"/>
  </w:font>
  <w:font w:name="PP Fragment">
    <w:altName w:val="PP Fragment Sans Light"/>
    <w:charset w:val="01"/>
    <w:family w:val="auto"/>
    <w:pitch w:val="default"/>
  </w:font>
  <w:font w:name="PP Fragment">
    <w:altName w:val="PP Fragment Sans"/>
    <w:charset w:val="01"/>
    <w:family w:val="auto"/>
    <w:pitch w:val="default"/>
  </w:font>
  <w:font w:name="Source Sans Pro">
    <w:altName w:val="sans-serif"/>
    <w:charset w:val="01"/>
    <w:family w:val="auto"/>
    <w:pitch w:val="default"/>
  </w:font>
  <w:font w:name="DM Sans">
    <w:altName w:val="sans-serif"/>
    <w:charset w:val="01"/>
    <w:family w:val="auto"/>
    <w:pitch w:val="default"/>
  </w:font>
  <w:font w:name="Arial">
    <w:charset w:val="01"/>
    <w:family w:val="auto"/>
    <w:pitch w:val="default"/>
  </w:font>
  <w:font w:name="PP Fragment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20162</Words>
  <Characters>109741</Characters>
  <CharactersWithSpaces>143066</CharactersWithSpaces>
  <Paragraphs>29001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