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99"/>
        <w:spacing w:after="0"/>
        <w:rPr>
          <w:sz w:val="20"/>
          <w:szCs w:val="20"/>
          <w:color w:val="auto"/>
        </w:rPr>
      </w:pPr>
      <w:r>
        <w:rPr>
          <w:rFonts w:ascii="Courier New" w:cs="Courier New" w:eastAsia="Courier New" w:hAnsi="Courier New"/>
          <w:sz w:val="16"/>
          <w:szCs w:val="16"/>
          <w:color w:val="auto"/>
        </w:rPr>
        <w:t>UNITED STATES</w:t>
      </w:r>
    </w:p>
    <w:p>
      <w:pPr>
        <w:jc w:val="center"/>
        <w:ind w:right="2779"/>
        <w:spacing w:after="0" w:line="236" w:lineRule="auto"/>
        <w:rPr>
          <w:sz w:val="20"/>
          <w:szCs w:val="20"/>
          <w:color w:val="auto"/>
        </w:rPr>
      </w:pPr>
      <w:r>
        <w:rPr>
          <w:rFonts w:ascii="Courier New" w:cs="Courier New" w:eastAsia="Courier New" w:hAnsi="Courier New"/>
          <w:sz w:val="16"/>
          <w:szCs w:val="16"/>
          <w:color w:val="auto"/>
        </w:rPr>
        <w:t>SECURITIES AND EXCHANGE COMMISSION</w:t>
      </w:r>
    </w:p>
    <w:p>
      <w:pPr>
        <w:jc w:val="center"/>
        <w:ind w:right="2779"/>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ind w:left="3340"/>
        <w:spacing w:after="0"/>
        <w:rPr>
          <w:sz w:val="20"/>
          <w:szCs w:val="20"/>
          <w:color w:val="auto"/>
        </w:rPr>
      </w:pPr>
      <w:r>
        <w:rPr>
          <w:rFonts w:ascii="Courier New" w:cs="Courier New" w:eastAsia="Courier New" w:hAnsi="Courier New"/>
          <w:sz w:val="16"/>
          <w:szCs w:val="16"/>
          <w:color w:val="auto"/>
        </w:rPr>
        <w:t>FORM 10-Q</w:t>
      </w:r>
    </w:p>
    <w:p>
      <w:pPr>
        <w:spacing w:after="0" w:line="183" w:lineRule="exact"/>
        <w:rPr>
          <w:sz w:val="24"/>
          <w:szCs w:val="24"/>
          <w:color w:val="auto"/>
        </w:rPr>
      </w:pPr>
    </w:p>
    <w:p>
      <w:pPr>
        <w:ind w:left="2780" w:right="3239" w:hanging="2319"/>
        <w:spacing w:after="0" w:line="234" w:lineRule="auto"/>
        <w:tabs>
          <w:tab w:leader="none" w:pos="82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77"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For the quarterly period ended March 31, 2001</w:t>
      </w:r>
    </w:p>
    <w:p>
      <w:pPr>
        <w:spacing w:after="0" w:line="177" w:lineRule="exact"/>
        <w:rPr>
          <w:sz w:val="24"/>
          <w:szCs w:val="24"/>
          <w:color w:val="auto"/>
        </w:rPr>
      </w:pPr>
    </w:p>
    <w:p>
      <w:pPr>
        <w:ind w:left="3620"/>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4"/>
          <w:szCs w:val="24"/>
          <w:color w:val="auto"/>
        </w:rPr>
      </w:pPr>
    </w:p>
    <w:p>
      <w:pPr>
        <w:ind w:left="2780" w:right="3159" w:hanging="2319"/>
        <w:spacing w:after="0" w:line="234" w:lineRule="auto"/>
        <w:tabs>
          <w:tab w:leader="none" w:pos="6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200" w:lineRule="exact"/>
        <w:rPr>
          <w:sz w:val="24"/>
          <w:szCs w:val="24"/>
          <w:color w:val="auto"/>
        </w:rPr>
      </w:pPr>
    </w:p>
    <w:p>
      <w:pPr>
        <w:spacing w:after="0" w:line="335"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For the transition period from to</w:t>
      </w:r>
    </w:p>
    <w:p>
      <w:pPr>
        <w:spacing w:after="0" w:line="177"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Commission File Number 1-12002</w:t>
      </w:r>
    </w:p>
    <w:p>
      <w:pPr>
        <w:spacing w:after="0" w:line="177"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ACADIA REALTY TRUST</w:t>
      </w:r>
    </w:p>
    <w:p>
      <w:pPr>
        <w:jc w:val="center"/>
        <w:ind w:right="2699"/>
        <w:spacing w:after="0" w:line="236" w:lineRule="auto"/>
        <w:rPr>
          <w:sz w:val="20"/>
          <w:szCs w:val="20"/>
          <w:color w:val="auto"/>
        </w:rPr>
      </w:pPr>
      <w:r>
        <w:rPr>
          <w:rFonts w:ascii="Courier New" w:cs="Courier New" w:eastAsia="Courier New" w:hAnsi="Courier New"/>
          <w:sz w:val="16"/>
          <w:szCs w:val="16"/>
          <w:color w:val="auto"/>
        </w:rPr>
        <w:t>(Exact name of registrant in its charter)</w:t>
      </w:r>
    </w:p>
    <w:p>
      <w:pPr>
        <w:sectPr>
          <w:pgSz w:w="11900" w:h="16838" w:orient="portrait"/>
          <w:cols w:equalWidth="0" w:num="1">
            <w:col w:w="10219"/>
          </w:cols>
          <w:pgMar w:left="240" w:top="589" w:right="1440" w:bottom="1440" w:gutter="0" w:footer="0" w:header="0"/>
        </w:sectPr>
      </w:pPr>
    </w:p>
    <w:p>
      <w:pPr>
        <w:spacing w:after="0" w:line="177"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MARYLAND</w:t>
      </w:r>
    </w:p>
    <w:p>
      <w:pPr>
        <w:spacing w:after="0" w:line="4"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23-2715194</w:t>
      </w:r>
    </w:p>
    <w:p>
      <w:pPr>
        <w:ind w:left="100"/>
        <w:spacing w:after="0" w:line="236" w:lineRule="auto"/>
        <w:rPr>
          <w:sz w:val="20"/>
          <w:szCs w:val="20"/>
          <w:color w:val="auto"/>
        </w:rPr>
      </w:pPr>
      <w:r>
        <w:rPr>
          <w:rFonts w:ascii="Courier New" w:cs="Courier New" w:eastAsia="Courier New" w:hAnsi="Courier New"/>
          <w:sz w:val="16"/>
          <w:szCs w:val="16"/>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93" w:lineRule="exact"/>
        <w:rPr>
          <w:sz w:val="24"/>
          <w:szCs w:val="24"/>
          <w:color w:val="auto"/>
        </w:rPr>
      </w:pPr>
    </w:p>
    <w:p>
      <w:pPr>
        <w:sectPr>
          <w:pgSz w:w="11900" w:h="16838" w:orient="portrait"/>
          <w:cols w:equalWidth="0" w:num="2">
            <w:col w:w="4020" w:space="720"/>
            <w:col w:w="5479"/>
          </w:cols>
          <w:pgMar w:left="240" w:top="589" w:right="1440" w:bottom="1440" w:gutter="0" w:footer="0" w:header="0"/>
          <w:type w:val="continuous"/>
        </w:sectPr>
      </w:pPr>
    </w:p>
    <w:p>
      <w:pPr>
        <w:spacing w:after="0" w:line="6" w:lineRule="exact"/>
        <w:rPr>
          <w:sz w:val="24"/>
          <w:szCs w:val="24"/>
          <w:color w:val="auto"/>
        </w:rPr>
      </w:pPr>
    </w:p>
    <w:p>
      <w:pPr>
        <w:ind w:left="1200" w:hanging="279"/>
        <w:spacing w:after="0" w:line="295" w:lineRule="auto"/>
        <w:tabs>
          <w:tab w:leader="none" w:pos="1180" w:val="left"/>
        </w:tabs>
        <w:rPr>
          <w:sz w:val="20"/>
          <w:szCs w:val="20"/>
          <w:color w:val="auto"/>
        </w:rPr>
      </w:pPr>
      <w:r>
        <w:rPr>
          <w:rFonts w:ascii="Courier New" w:cs="Courier New" w:eastAsia="Courier New" w:hAnsi="Courier New"/>
          <w:sz w:val="14"/>
          <w:szCs w:val="14"/>
          <w:color w:val="auto"/>
        </w:rPr>
        <w:t>20</w:t>
        <w:tab/>
        <w:t>SOUNDVIEW MARKETPLACE, PORT WASHINGTON, NY (Address of principal executive offices)</w:t>
      </w:r>
    </w:p>
    <w:p>
      <w:pPr>
        <w:spacing w:after="0" w:line="20" w:lineRule="exact"/>
        <w:rPr>
          <w:sz w:val="24"/>
          <w:szCs w:val="24"/>
          <w:color w:val="auto"/>
        </w:rPr>
      </w:pPr>
      <w:r>
        <w:rPr>
          <w:sz w:val="24"/>
          <w:szCs w:val="24"/>
          <w:color w:val="auto"/>
        </w:rPr>
        <w:br w:type="column"/>
      </w:r>
    </w:p>
    <w:p>
      <w:pPr>
        <w:ind w:left="280"/>
        <w:spacing w:after="0"/>
        <w:rPr>
          <w:sz w:val="20"/>
          <w:szCs w:val="20"/>
          <w:color w:val="auto"/>
        </w:rPr>
      </w:pPr>
      <w:r>
        <w:rPr>
          <w:rFonts w:ascii="Courier New" w:cs="Courier New" w:eastAsia="Courier New" w:hAnsi="Courier New"/>
          <w:sz w:val="16"/>
          <w:szCs w:val="16"/>
          <w:color w:val="auto"/>
        </w:rPr>
        <w:t>11050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93" w:lineRule="exact"/>
        <w:rPr>
          <w:sz w:val="24"/>
          <w:szCs w:val="24"/>
          <w:color w:val="auto"/>
        </w:rPr>
      </w:pPr>
    </w:p>
    <w:p>
      <w:pPr>
        <w:sectPr>
          <w:pgSz w:w="11900" w:h="16838" w:orient="portrait"/>
          <w:cols w:equalWidth="0" w:num="2">
            <w:col w:w="5120" w:space="640"/>
            <w:col w:w="4459"/>
          </w:cols>
          <w:pgMar w:left="240" w:top="589" w:right="1440" w:bottom="144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(516) 767-8830</w:t>
      </w:r>
    </w:p>
    <w:p>
      <w:pPr>
        <w:spacing w:after="0" w:line="183" w:lineRule="exact"/>
        <w:rPr>
          <w:sz w:val="24"/>
          <w:szCs w:val="24"/>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6" w:lineRule="exact"/>
        <w:rPr>
          <w:sz w:val="24"/>
          <w:szCs w:val="24"/>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As of May 8, 2001, there were 28,005,572 common shares of beneficial interest, par value $.001 per share, outstanding.</w:t>
      </w:r>
    </w:p>
    <w:p>
      <w:pPr>
        <w:sectPr>
          <w:pgSz w:w="11900" w:h="16838" w:orient="portrait"/>
          <w:cols w:equalWidth="0" w:num="1">
            <w:col w:w="10219"/>
          </w:cols>
          <w:pgMar w:left="240" w:top="58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740" w:type="dxa"/>
            <w:vAlign w:val="bottom"/>
          </w:tcPr>
          <w:p>
            <w:pPr>
              <w:spacing w:after="0"/>
              <w:rPr>
                <w:sz w:val="15"/>
                <w:szCs w:val="15"/>
                <w:color w:val="auto"/>
              </w:rPr>
            </w:pPr>
          </w:p>
        </w:tc>
        <w:tc>
          <w:tcPr>
            <w:tcW w:w="5680" w:type="dxa"/>
            <w:vAlign w:val="bottom"/>
          </w:tcPr>
          <w:p>
            <w:pPr>
              <w:ind w:left="1300"/>
              <w:spacing w:after="0"/>
              <w:rPr>
                <w:sz w:val="20"/>
                <w:szCs w:val="20"/>
                <w:color w:val="auto"/>
              </w:rPr>
            </w:pPr>
            <w:r>
              <w:rPr>
                <w:rFonts w:ascii="Courier New" w:cs="Courier New" w:eastAsia="Courier New" w:hAnsi="Courier New"/>
                <w:sz w:val="16"/>
                <w:szCs w:val="16"/>
                <w:color w:val="auto"/>
              </w:rPr>
              <w:t>ACADIA REALTY TRUST AND SUBSIDIARIES</w:t>
            </w:r>
          </w:p>
        </w:tc>
        <w:tc>
          <w:tcPr>
            <w:tcW w:w="920" w:type="dxa"/>
            <w:vAlign w:val="bottom"/>
          </w:tcPr>
          <w:p>
            <w:pPr>
              <w:spacing w:after="0"/>
              <w:rPr>
                <w:sz w:val="15"/>
                <w:szCs w:val="15"/>
                <w:color w:val="auto"/>
              </w:rPr>
            </w:pPr>
          </w:p>
        </w:tc>
      </w:tr>
      <w:tr>
        <w:trPr>
          <w:trHeight w:val="179"/>
        </w:trPr>
        <w:tc>
          <w:tcPr>
            <w:tcW w:w="740" w:type="dxa"/>
            <w:vAlign w:val="bottom"/>
          </w:tcPr>
          <w:p>
            <w:pPr>
              <w:spacing w:after="0"/>
              <w:rPr>
                <w:sz w:val="15"/>
                <w:szCs w:val="15"/>
                <w:color w:val="auto"/>
              </w:rPr>
            </w:pPr>
          </w:p>
        </w:tc>
        <w:tc>
          <w:tcPr>
            <w:tcW w:w="5680" w:type="dxa"/>
            <w:vAlign w:val="bottom"/>
          </w:tcPr>
          <w:p>
            <w:pPr>
              <w:ind w:left="2600"/>
              <w:spacing w:after="0" w:line="179" w:lineRule="exact"/>
              <w:rPr>
                <w:sz w:val="20"/>
                <w:szCs w:val="20"/>
                <w:color w:val="auto"/>
              </w:rPr>
            </w:pPr>
            <w:r>
              <w:rPr>
                <w:rFonts w:ascii="Courier New" w:cs="Courier New" w:eastAsia="Courier New" w:hAnsi="Courier New"/>
                <w:sz w:val="16"/>
                <w:szCs w:val="16"/>
                <w:color w:val="auto"/>
              </w:rPr>
              <w:t>FORM 10-Q</w:t>
            </w:r>
          </w:p>
        </w:tc>
        <w:tc>
          <w:tcPr>
            <w:tcW w:w="920" w:type="dxa"/>
            <w:vAlign w:val="bottom"/>
          </w:tcPr>
          <w:p>
            <w:pPr>
              <w:spacing w:after="0"/>
              <w:rPr>
                <w:sz w:val="15"/>
                <w:szCs w:val="15"/>
                <w:color w:val="auto"/>
              </w:rPr>
            </w:pPr>
          </w:p>
        </w:tc>
      </w:tr>
      <w:tr>
        <w:trPr>
          <w:trHeight w:val="537"/>
        </w:trPr>
        <w:tc>
          <w:tcPr>
            <w:tcW w:w="740" w:type="dxa"/>
            <w:vAlign w:val="bottom"/>
          </w:tcPr>
          <w:p>
            <w:pPr>
              <w:spacing w:after="0"/>
              <w:rPr>
                <w:sz w:val="24"/>
                <w:szCs w:val="24"/>
                <w:color w:val="auto"/>
              </w:rPr>
            </w:pPr>
          </w:p>
        </w:tc>
        <w:tc>
          <w:tcPr>
            <w:tcW w:w="5680" w:type="dxa"/>
            <w:vAlign w:val="bottom"/>
          </w:tcPr>
          <w:p>
            <w:pPr>
              <w:ind w:left="2800"/>
              <w:spacing w:after="0"/>
              <w:rPr>
                <w:sz w:val="20"/>
                <w:szCs w:val="20"/>
                <w:color w:val="auto"/>
              </w:rPr>
            </w:pPr>
            <w:r>
              <w:rPr>
                <w:rFonts w:ascii="Courier New" w:cs="Courier New" w:eastAsia="Courier New" w:hAnsi="Courier New"/>
                <w:sz w:val="16"/>
                <w:szCs w:val="16"/>
                <w:color w:val="auto"/>
              </w:rPr>
              <w:t>INDEX</w:t>
            </w:r>
          </w:p>
        </w:tc>
        <w:tc>
          <w:tcPr>
            <w:tcW w:w="920" w:type="dxa"/>
            <w:vAlign w:val="bottom"/>
          </w:tcPr>
          <w:p>
            <w:pPr>
              <w:spacing w:after="0"/>
              <w:rPr>
                <w:sz w:val="24"/>
                <w:szCs w:val="24"/>
                <w:color w:val="auto"/>
              </w:rPr>
            </w:pPr>
          </w:p>
        </w:tc>
      </w:tr>
      <w:tr>
        <w:trPr>
          <w:trHeight w:val="358"/>
        </w:trPr>
        <w:tc>
          <w:tcPr>
            <w:tcW w:w="7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20" w:type="dxa"/>
            <w:vAlign w:val="bottom"/>
          </w:tcPr>
          <w:p>
            <w:pPr>
              <w:ind w:left="560"/>
              <w:spacing w:after="0"/>
              <w:rPr>
                <w:sz w:val="20"/>
                <w:szCs w:val="20"/>
                <w:color w:val="auto"/>
              </w:rPr>
            </w:pPr>
            <w:r>
              <w:rPr>
                <w:rFonts w:ascii="Courier New" w:cs="Courier New" w:eastAsia="Courier New" w:hAnsi="Courier New"/>
                <w:sz w:val="16"/>
                <w:szCs w:val="16"/>
                <w:color w:val="auto"/>
                <w:w w:val="88"/>
              </w:rPr>
              <w:t>Page</w:t>
            </w:r>
          </w:p>
        </w:tc>
      </w:tr>
      <w:tr>
        <w:trPr>
          <w:trHeight w:val="358"/>
        </w:trPr>
        <w:tc>
          <w:tcPr>
            <w:tcW w:w="74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5680" w:type="dxa"/>
            <w:vAlign w:val="bottom"/>
          </w:tcPr>
          <w:p>
            <w:pPr>
              <w:ind w:left="100"/>
              <w:spacing w:after="0"/>
              <w:rPr>
                <w:sz w:val="20"/>
                <w:szCs w:val="20"/>
                <w:color w:val="auto"/>
              </w:rPr>
            </w:pPr>
            <w:r>
              <w:rPr>
                <w:rFonts w:ascii="Courier New" w:cs="Courier New" w:eastAsia="Courier New" w:hAnsi="Courier New"/>
                <w:sz w:val="16"/>
                <w:szCs w:val="16"/>
                <w:color w:val="auto"/>
              </w:rPr>
              <w:t>Financial Information</w:t>
            </w:r>
          </w:p>
        </w:tc>
        <w:tc>
          <w:tcPr>
            <w:tcW w:w="920" w:type="dxa"/>
            <w:vAlign w:val="bottom"/>
          </w:tcPr>
          <w:p>
            <w:pPr>
              <w:spacing w:after="0"/>
              <w:rPr>
                <w:sz w:val="24"/>
                <w:szCs w:val="24"/>
                <w:color w:val="auto"/>
              </w:rPr>
            </w:pPr>
          </w:p>
        </w:tc>
      </w:tr>
      <w:tr>
        <w:trPr>
          <w:trHeight w:val="358"/>
        </w:trPr>
        <w:tc>
          <w:tcPr>
            <w:tcW w:w="74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5680" w:type="dxa"/>
            <w:vAlign w:val="bottom"/>
          </w:tcPr>
          <w:p>
            <w:pPr>
              <w:ind w:left="100"/>
              <w:spacing w:after="0"/>
              <w:rPr>
                <w:sz w:val="20"/>
                <w:szCs w:val="20"/>
                <w:color w:val="auto"/>
              </w:rPr>
            </w:pPr>
            <w:r>
              <w:rPr>
                <w:rFonts w:ascii="Courier New" w:cs="Courier New" w:eastAsia="Courier New" w:hAnsi="Courier New"/>
                <w:sz w:val="16"/>
                <w:szCs w:val="16"/>
                <w:color w:val="auto"/>
              </w:rPr>
              <w:t>Financial Statements (unaudited)</w:t>
            </w:r>
          </w:p>
        </w:tc>
        <w:tc>
          <w:tcPr>
            <w:tcW w:w="920" w:type="dxa"/>
            <w:vAlign w:val="bottom"/>
          </w:tcPr>
          <w:p>
            <w:pPr>
              <w:spacing w:after="0"/>
              <w:rPr>
                <w:sz w:val="24"/>
                <w:szCs w:val="24"/>
                <w:color w:val="auto"/>
              </w:rPr>
            </w:pPr>
          </w:p>
        </w:tc>
      </w:tr>
      <w:tr>
        <w:trPr>
          <w:trHeight w:val="358"/>
        </w:trPr>
        <w:tc>
          <w:tcPr>
            <w:tcW w:w="740" w:type="dxa"/>
            <w:vAlign w:val="bottom"/>
          </w:tcPr>
          <w:p>
            <w:pPr>
              <w:spacing w:after="0"/>
              <w:rPr>
                <w:sz w:val="24"/>
                <w:szCs w:val="24"/>
                <w:color w:val="auto"/>
              </w:rPr>
            </w:pPr>
          </w:p>
        </w:tc>
        <w:tc>
          <w:tcPr>
            <w:tcW w:w="5680" w:type="dxa"/>
            <w:vAlign w:val="bottom"/>
          </w:tcPr>
          <w:p>
            <w:pPr>
              <w:ind w:left="740"/>
              <w:spacing w:after="0"/>
              <w:rPr>
                <w:sz w:val="20"/>
                <w:szCs w:val="20"/>
                <w:color w:val="auto"/>
              </w:rPr>
            </w:pPr>
            <w:r>
              <w:rPr>
                <w:rFonts w:ascii="Courier New" w:cs="Courier New" w:eastAsia="Courier New" w:hAnsi="Courier New"/>
                <w:sz w:val="16"/>
                <w:szCs w:val="16"/>
                <w:color w:val="auto"/>
              </w:rPr>
              <w:t>Consolidated Balance Sheets as of</w:t>
            </w:r>
          </w:p>
        </w:tc>
        <w:tc>
          <w:tcPr>
            <w:tcW w:w="920" w:type="dxa"/>
            <w:vAlign w:val="bottom"/>
          </w:tcPr>
          <w:p>
            <w:pPr>
              <w:spacing w:after="0"/>
              <w:rPr>
                <w:sz w:val="24"/>
                <w:szCs w:val="24"/>
                <w:color w:val="auto"/>
              </w:rPr>
            </w:pPr>
          </w:p>
        </w:tc>
      </w:tr>
      <w:tr>
        <w:trPr>
          <w:trHeight w:val="179"/>
        </w:trPr>
        <w:tc>
          <w:tcPr>
            <w:tcW w:w="740" w:type="dxa"/>
            <w:vAlign w:val="bottom"/>
          </w:tcPr>
          <w:p>
            <w:pPr>
              <w:spacing w:after="0"/>
              <w:rPr>
                <w:sz w:val="15"/>
                <w:szCs w:val="15"/>
                <w:color w:val="auto"/>
              </w:rPr>
            </w:pPr>
          </w:p>
        </w:tc>
        <w:tc>
          <w:tcPr>
            <w:tcW w:w="56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March 31, 2001 and December 31, 2000</w:t>
            </w:r>
          </w:p>
        </w:tc>
        <w:tc>
          <w:tcPr>
            <w:tcW w:w="9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1</w:t>
            </w:r>
          </w:p>
        </w:tc>
      </w:tr>
      <w:tr>
        <w:trPr>
          <w:trHeight w:val="358"/>
        </w:trPr>
        <w:tc>
          <w:tcPr>
            <w:tcW w:w="740" w:type="dxa"/>
            <w:vAlign w:val="bottom"/>
          </w:tcPr>
          <w:p>
            <w:pPr>
              <w:spacing w:after="0"/>
              <w:rPr>
                <w:sz w:val="24"/>
                <w:szCs w:val="24"/>
                <w:color w:val="auto"/>
              </w:rPr>
            </w:pPr>
          </w:p>
        </w:tc>
        <w:tc>
          <w:tcPr>
            <w:tcW w:w="5680" w:type="dxa"/>
            <w:vAlign w:val="bottom"/>
          </w:tcPr>
          <w:p>
            <w:pPr>
              <w:ind w:left="740"/>
              <w:spacing w:after="0"/>
              <w:rPr>
                <w:sz w:val="20"/>
                <w:szCs w:val="20"/>
                <w:color w:val="auto"/>
              </w:rPr>
            </w:pPr>
            <w:r>
              <w:rPr>
                <w:rFonts w:ascii="Courier New" w:cs="Courier New" w:eastAsia="Courier New" w:hAnsi="Courier New"/>
                <w:sz w:val="16"/>
                <w:szCs w:val="16"/>
                <w:color w:val="auto"/>
              </w:rPr>
              <w:t>Consolidated Statements of Operations for</w:t>
            </w:r>
          </w:p>
        </w:tc>
        <w:tc>
          <w:tcPr>
            <w:tcW w:w="920" w:type="dxa"/>
            <w:vAlign w:val="bottom"/>
          </w:tcPr>
          <w:p>
            <w:pPr>
              <w:spacing w:after="0"/>
              <w:rPr>
                <w:sz w:val="24"/>
                <w:szCs w:val="24"/>
                <w:color w:val="auto"/>
              </w:rPr>
            </w:pPr>
          </w:p>
        </w:tc>
      </w:tr>
      <w:tr>
        <w:trPr>
          <w:trHeight w:val="179"/>
        </w:trPr>
        <w:tc>
          <w:tcPr>
            <w:tcW w:w="740" w:type="dxa"/>
            <w:vAlign w:val="bottom"/>
          </w:tcPr>
          <w:p>
            <w:pPr>
              <w:spacing w:after="0"/>
              <w:rPr>
                <w:sz w:val="15"/>
                <w:szCs w:val="15"/>
                <w:color w:val="auto"/>
              </w:rPr>
            </w:pPr>
          </w:p>
        </w:tc>
        <w:tc>
          <w:tcPr>
            <w:tcW w:w="56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the three months ended March 31, 2001 and 2000</w:t>
            </w:r>
          </w:p>
        </w:tc>
        <w:tc>
          <w:tcPr>
            <w:tcW w:w="9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2</w:t>
            </w:r>
          </w:p>
        </w:tc>
      </w:tr>
      <w:tr>
        <w:trPr>
          <w:trHeight w:val="358"/>
        </w:trPr>
        <w:tc>
          <w:tcPr>
            <w:tcW w:w="740" w:type="dxa"/>
            <w:vAlign w:val="bottom"/>
          </w:tcPr>
          <w:p>
            <w:pPr>
              <w:spacing w:after="0"/>
              <w:rPr>
                <w:sz w:val="24"/>
                <w:szCs w:val="24"/>
                <w:color w:val="auto"/>
              </w:rPr>
            </w:pPr>
          </w:p>
        </w:tc>
        <w:tc>
          <w:tcPr>
            <w:tcW w:w="5680" w:type="dxa"/>
            <w:vAlign w:val="bottom"/>
          </w:tcPr>
          <w:p>
            <w:pPr>
              <w:ind w:left="740"/>
              <w:spacing w:after="0"/>
              <w:rPr>
                <w:sz w:val="20"/>
                <w:szCs w:val="20"/>
                <w:color w:val="auto"/>
              </w:rPr>
            </w:pPr>
            <w:r>
              <w:rPr>
                <w:rFonts w:ascii="Courier New" w:cs="Courier New" w:eastAsia="Courier New" w:hAnsi="Courier New"/>
                <w:sz w:val="16"/>
                <w:szCs w:val="16"/>
                <w:color w:val="auto"/>
              </w:rPr>
              <w:t>Consolidated Statements of Cash Flows for</w:t>
            </w:r>
          </w:p>
        </w:tc>
        <w:tc>
          <w:tcPr>
            <w:tcW w:w="920" w:type="dxa"/>
            <w:vAlign w:val="bottom"/>
          </w:tcPr>
          <w:p>
            <w:pPr>
              <w:spacing w:after="0"/>
              <w:rPr>
                <w:sz w:val="24"/>
                <w:szCs w:val="24"/>
                <w:color w:val="auto"/>
              </w:rPr>
            </w:pPr>
          </w:p>
        </w:tc>
      </w:tr>
      <w:tr>
        <w:trPr>
          <w:trHeight w:val="179"/>
        </w:trPr>
        <w:tc>
          <w:tcPr>
            <w:tcW w:w="740" w:type="dxa"/>
            <w:vAlign w:val="bottom"/>
          </w:tcPr>
          <w:p>
            <w:pPr>
              <w:spacing w:after="0"/>
              <w:rPr>
                <w:sz w:val="15"/>
                <w:szCs w:val="15"/>
                <w:color w:val="auto"/>
              </w:rPr>
            </w:pPr>
          </w:p>
        </w:tc>
        <w:tc>
          <w:tcPr>
            <w:tcW w:w="56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the three months ended March 31, 2001 and 2000</w:t>
            </w:r>
          </w:p>
        </w:tc>
        <w:tc>
          <w:tcPr>
            <w:tcW w:w="9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3</w:t>
            </w:r>
          </w:p>
        </w:tc>
      </w:tr>
      <w:tr>
        <w:trPr>
          <w:trHeight w:val="358"/>
        </w:trPr>
        <w:tc>
          <w:tcPr>
            <w:tcW w:w="740" w:type="dxa"/>
            <w:vAlign w:val="bottom"/>
          </w:tcPr>
          <w:p>
            <w:pPr>
              <w:spacing w:after="0"/>
              <w:rPr>
                <w:sz w:val="24"/>
                <w:szCs w:val="24"/>
                <w:color w:val="auto"/>
              </w:rPr>
            </w:pPr>
          </w:p>
        </w:tc>
        <w:tc>
          <w:tcPr>
            <w:tcW w:w="5680" w:type="dxa"/>
            <w:vAlign w:val="bottom"/>
          </w:tcPr>
          <w:p>
            <w:pPr>
              <w:ind w:left="74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920" w:type="dxa"/>
            <w:vAlign w:val="bottom"/>
          </w:tcPr>
          <w:p>
            <w:pPr>
              <w:ind w:left="740"/>
              <w:spacing w:after="0"/>
              <w:rPr>
                <w:sz w:val="20"/>
                <w:szCs w:val="20"/>
                <w:color w:val="auto"/>
              </w:rPr>
            </w:pPr>
            <w:r>
              <w:rPr>
                <w:rFonts w:ascii="Courier New" w:cs="Courier New" w:eastAsia="Courier New" w:hAnsi="Courier New"/>
                <w:sz w:val="16"/>
                <w:szCs w:val="16"/>
                <w:color w:val="auto"/>
              </w:rPr>
              <w:t>5</w:t>
            </w:r>
          </w:p>
        </w:tc>
      </w:tr>
      <w:tr>
        <w:trPr>
          <w:trHeight w:val="358"/>
        </w:trPr>
        <w:tc>
          <w:tcPr>
            <w:tcW w:w="74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5680" w:type="dxa"/>
            <w:vAlign w:val="bottom"/>
          </w:tcPr>
          <w:p>
            <w:pPr>
              <w:ind w:left="100"/>
              <w:spacing w:after="0"/>
              <w:rPr>
                <w:sz w:val="20"/>
                <w:szCs w:val="20"/>
                <w:color w:val="auto"/>
              </w:rPr>
            </w:pPr>
            <w:r>
              <w:rPr>
                <w:rFonts w:ascii="Courier New" w:cs="Courier New" w:eastAsia="Courier New" w:hAnsi="Courier New"/>
                <w:sz w:val="16"/>
                <w:szCs w:val="16"/>
                <w:color w:val="auto"/>
              </w:rPr>
              <w:t>Management's Discussion and Analysis of</w:t>
            </w:r>
          </w:p>
        </w:tc>
        <w:tc>
          <w:tcPr>
            <w:tcW w:w="920" w:type="dxa"/>
            <w:vAlign w:val="bottom"/>
          </w:tcPr>
          <w:p>
            <w:pPr>
              <w:spacing w:after="0"/>
              <w:rPr>
                <w:sz w:val="24"/>
                <w:szCs w:val="24"/>
                <w:color w:val="auto"/>
              </w:rPr>
            </w:pPr>
          </w:p>
        </w:tc>
      </w:tr>
      <w:tr>
        <w:trPr>
          <w:trHeight w:val="179"/>
        </w:trPr>
        <w:tc>
          <w:tcPr>
            <w:tcW w:w="740" w:type="dxa"/>
            <w:vAlign w:val="bottom"/>
          </w:tcPr>
          <w:p>
            <w:pPr>
              <w:spacing w:after="0"/>
              <w:rPr>
                <w:sz w:val="15"/>
                <w:szCs w:val="15"/>
                <w:color w:val="auto"/>
              </w:rPr>
            </w:pPr>
          </w:p>
        </w:tc>
        <w:tc>
          <w:tcPr>
            <w:tcW w:w="56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Financial Condition and Results of Operations</w:t>
            </w:r>
          </w:p>
        </w:tc>
        <w:tc>
          <w:tcPr>
            <w:tcW w:w="9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w w:val="83"/>
              </w:rPr>
              <w:t>10</w:t>
            </w:r>
          </w:p>
        </w:tc>
      </w:tr>
      <w:tr>
        <w:trPr>
          <w:trHeight w:val="358"/>
        </w:trPr>
        <w:tc>
          <w:tcPr>
            <w:tcW w:w="740" w:type="dxa"/>
            <w:vAlign w:val="bottom"/>
          </w:tcPr>
          <w:p>
            <w:pPr>
              <w:spacing w:after="0"/>
              <w:rPr>
                <w:sz w:val="20"/>
                <w:szCs w:val="20"/>
                <w:color w:val="auto"/>
              </w:rPr>
            </w:pPr>
            <w:r>
              <w:rPr>
                <w:rFonts w:ascii="Courier New" w:cs="Courier New" w:eastAsia="Courier New" w:hAnsi="Courier New"/>
                <w:sz w:val="16"/>
                <w:szCs w:val="16"/>
                <w:color w:val="auto"/>
              </w:rPr>
              <w:t>Item 3.</w:t>
            </w:r>
          </w:p>
        </w:tc>
        <w:tc>
          <w:tcPr>
            <w:tcW w:w="5680" w:type="dxa"/>
            <w:vAlign w:val="bottom"/>
          </w:tcPr>
          <w:p>
            <w:pPr>
              <w:ind w:left="100"/>
              <w:spacing w:after="0"/>
              <w:rPr>
                <w:sz w:val="20"/>
                <w:szCs w:val="20"/>
                <w:color w:val="auto"/>
              </w:rPr>
            </w:pPr>
            <w:r>
              <w:rPr>
                <w:rFonts w:ascii="Courier New" w:cs="Courier New" w:eastAsia="Courier New" w:hAnsi="Courier New"/>
                <w:sz w:val="16"/>
                <w:szCs w:val="16"/>
                <w:color w:val="auto"/>
              </w:rPr>
              <w:t>Quantitative and Qualitative Disclosure of Market Risk</w:t>
            </w:r>
          </w:p>
        </w:tc>
        <w:tc>
          <w:tcPr>
            <w:tcW w:w="920" w:type="dxa"/>
            <w:vAlign w:val="bottom"/>
          </w:tcPr>
          <w:p>
            <w:pPr>
              <w:ind w:left="740"/>
              <w:spacing w:after="0"/>
              <w:rPr>
                <w:sz w:val="20"/>
                <w:szCs w:val="20"/>
                <w:color w:val="auto"/>
              </w:rPr>
            </w:pPr>
            <w:r>
              <w:rPr>
                <w:rFonts w:ascii="Courier New" w:cs="Courier New" w:eastAsia="Courier New" w:hAnsi="Courier New"/>
                <w:sz w:val="16"/>
                <w:szCs w:val="16"/>
                <w:color w:val="auto"/>
                <w:w w:val="83"/>
              </w:rPr>
              <w:t>16</w:t>
            </w:r>
          </w:p>
        </w:tc>
      </w:tr>
      <w:tr>
        <w:trPr>
          <w:trHeight w:val="537"/>
        </w:trPr>
        <w:tc>
          <w:tcPr>
            <w:tcW w:w="6420" w:type="dxa"/>
            <w:vAlign w:val="bottom"/>
            <w:gridSpan w:val="2"/>
          </w:tcPr>
          <w:p>
            <w:pPr>
              <w:spacing w:after="0"/>
              <w:rPr>
                <w:sz w:val="20"/>
                <w:szCs w:val="20"/>
                <w:color w:val="auto"/>
              </w:rPr>
            </w:pPr>
            <w:r>
              <w:rPr>
                <w:rFonts w:ascii="Courier New" w:cs="Courier New" w:eastAsia="Courier New" w:hAnsi="Courier New"/>
                <w:sz w:val="16"/>
                <w:szCs w:val="16"/>
                <w:color w:val="auto"/>
              </w:rPr>
              <w:t>Part II: Other Information</w:t>
            </w:r>
          </w:p>
        </w:tc>
        <w:tc>
          <w:tcPr>
            <w:tcW w:w="920" w:type="dxa"/>
            <w:vAlign w:val="bottom"/>
          </w:tcPr>
          <w:p>
            <w:pPr>
              <w:spacing w:after="0"/>
              <w:rPr>
                <w:sz w:val="24"/>
                <w:szCs w:val="24"/>
                <w:color w:val="auto"/>
              </w:rPr>
            </w:pPr>
          </w:p>
        </w:tc>
      </w:tr>
      <w:tr>
        <w:trPr>
          <w:trHeight w:val="358"/>
        </w:trPr>
        <w:tc>
          <w:tcPr>
            <w:tcW w:w="74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5680" w:type="dxa"/>
            <w:vAlign w:val="bottom"/>
          </w:tcPr>
          <w:p>
            <w:pPr>
              <w:ind w:left="100"/>
              <w:spacing w:after="0"/>
              <w:rPr>
                <w:sz w:val="20"/>
                <w:szCs w:val="20"/>
                <w:color w:val="auto"/>
              </w:rPr>
            </w:pPr>
            <w:r>
              <w:rPr>
                <w:rFonts w:ascii="Courier New" w:cs="Courier New" w:eastAsia="Courier New" w:hAnsi="Courier New"/>
                <w:sz w:val="16"/>
                <w:szCs w:val="16"/>
                <w:color w:val="auto"/>
              </w:rPr>
              <w:t>Exhibits</w:t>
            </w:r>
          </w:p>
        </w:tc>
        <w:tc>
          <w:tcPr>
            <w:tcW w:w="920" w:type="dxa"/>
            <w:vAlign w:val="bottom"/>
          </w:tcPr>
          <w:p>
            <w:pPr>
              <w:ind w:left="740"/>
              <w:spacing w:after="0"/>
              <w:rPr>
                <w:sz w:val="20"/>
                <w:szCs w:val="20"/>
                <w:color w:val="auto"/>
              </w:rPr>
            </w:pPr>
            <w:r>
              <w:rPr>
                <w:rFonts w:ascii="Courier New" w:cs="Courier New" w:eastAsia="Courier New" w:hAnsi="Courier New"/>
                <w:sz w:val="16"/>
                <w:szCs w:val="16"/>
                <w:color w:val="auto"/>
                <w:w w:val="83"/>
              </w:rPr>
              <w:t>17</w:t>
            </w:r>
          </w:p>
        </w:tc>
      </w:tr>
      <w:tr>
        <w:trPr>
          <w:trHeight w:val="358"/>
        </w:trPr>
        <w:tc>
          <w:tcPr>
            <w:tcW w:w="740" w:type="dxa"/>
            <w:vAlign w:val="bottom"/>
          </w:tcPr>
          <w:p>
            <w:pPr>
              <w:spacing w:after="0"/>
              <w:rPr>
                <w:sz w:val="24"/>
                <w:szCs w:val="24"/>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6"/>
                <w:szCs w:val="16"/>
                <w:color w:val="auto"/>
              </w:rPr>
              <w:t>Signatures</w:t>
            </w:r>
          </w:p>
        </w:tc>
        <w:tc>
          <w:tcPr>
            <w:tcW w:w="920" w:type="dxa"/>
            <w:vAlign w:val="bottom"/>
          </w:tcPr>
          <w:p>
            <w:pPr>
              <w:ind w:left="740"/>
              <w:spacing w:after="0"/>
              <w:rPr>
                <w:sz w:val="20"/>
                <w:szCs w:val="20"/>
                <w:color w:val="auto"/>
              </w:rPr>
            </w:pPr>
            <w:r>
              <w:rPr>
                <w:rFonts w:ascii="Courier New" w:cs="Courier New" w:eastAsia="Courier New" w:hAnsi="Courier New"/>
                <w:sz w:val="16"/>
                <w:szCs w:val="16"/>
                <w:color w:val="auto"/>
                <w:w w:val="83"/>
              </w:rPr>
              <w:t>18</w:t>
            </w:r>
          </w:p>
        </w:tc>
      </w:tr>
    </w:tbl>
    <w:p>
      <w:pPr>
        <w:sectPr>
          <w:pgSz w:w="11900" w:h="16838" w:orient="portrait"/>
          <w:cols w:equalWidth="0" w:num="1">
            <w:col w:w="10219"/>
          </w:cols>
          <w:pgMar w:left="240" w:top="648" w:right="1440" w:bottom="1440" w:gutter="0" w:footer="0" w:header="0"/>
        </w:sectPr>
      </w:pPr>
    </w:p>
    <w:bookmarkStart w:id="2" w:name="page3"/>
    <w:bookmarkEnd w:id="2"/>
    <w:p>
      <w:pPr>
        <w:spacing w:after="0"/>
        <w:tabs>
          <w:tab w:leader="none" w:pos="82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ACADIA REALTY TRUST AND SUBSIDIARIES</w:t>
      </w:r>
    </w:p>
    <w:p>
      <w:pPr>
        <w:ind w:left="2500"/>
        <w:spacing w:after="0" w:line="236" w:lineRule="auto"/>
        <w:rPr>
          <w:sz w:val="20"/>
          <w:szCs w:val="20"/>
          <w:color w:val="auto"/>
        </w:rPr>
      </w:pPr>
      <w:r>
        <w:rPr>
          <w:rFonts w:ascii="Courier New" w:cs="Courier New" w:eastAsia="Courier New" w:hAnsi="Courier New"/>
          <w:sz w:val="16"/>
          <w:szCs w:val="16"/>
          <w:color w:val="auto"/>
        </w:rPr>
        <w:t>CONSOLIDATED BALANCE SHEETS</w:t>
      </w:r>
    </w:p>
    <w:p>
      <w:pPr>
        <w:ind w:left="1860"/>
        <w:spacing w:after="0" w:line="237" w:lineRule="auto"/>
        <w:rPr>
          <w:sz w:val="20"/>
          <w:szCs w:val="20"/>
          <w:color w:val="auto"/>
        </w:rPr>
      </w:pPr>
      <w:r>
        <w:rPr>
          <w:rFonts w:ascii="Courier New" w:cs="Courier New" w:eastAsia="Courier New" w:hAnsi="Courier New"/>
          <w:sz w:val="16"/>
          <w:szCs w:val="16"/>
          <w:color w:val="auto"/>
        </w:rPr>
        <w:t>(in thousands, except per share amounts)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80" w:type="dxa"/>
            <w:vAlign w:val="bottom"/>
          </w:tcPr>
          <w:p>
            <w:pPr>
              <w:spacing w:after="0"/>
              <w:rPr>
                <w:sz w:val="15"/>
                <w:szCs w:val="15"/>
                <w:color w:val="auto"/>
              </w:rPr>
            </w:pPr>
          </w:p>
        </w:tc>
        <w:tc>
          <w:tcPr>
            <w:tcW w:w="19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March 31,</w:t>
            </w:r>
          </w:p>
        </w:tc>
        <w:tc>
          <w:tcPr>
            <w:tcW w:w="1360" w:type="dxa"/>
            <w:vAlign w:val="bottom"/>
          </w:tcPr>
          <w:p>
            <w:pPr>
              <w:spacing w:after="0"/>
              <w:rPr>
                <w:sz w:val="15"/>
                <w:szCs w:val="15"/>
                <w:color w:val="auto"/>
              </w:rPr>
            </w:pPr>
          </w:p>
        </w:tc>
      </w:tr>
      <w:tr>
        <w:trPr>
          <w:trHeight w:val="179"/>
        </w:trPr>
        <w:tc>
          <w:tcPr>
            <w:tcW w:w="4180" w:type="dxa"/>
            <w:vAlign w:val="bottom"/>
          </w:tcPr>
          <w:p>
            <w:pPr>
              <w:spacing w:after="0"/>
              <w:rPr>
                <w:sz w:val="15"/>
                <w:szCs w:val="15"/>
                <w:color w:val="auto"/>
              </w:rPr>
            </w:pPr>
          </w:p>
        </w:tc>
        <w:tc>
          <w:tcPr>
            <w:tcW w:w="19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2001</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December 31,</w:t>
            </w:r>
          </w:p>
        </w:tc>
      </w:tr>
      <w:tr>
        <w:trPr>
          <w:trHeight w:val="179"/>
        </w:trPr>
        <w:tc>
          <w:tcPr>
            <w:tcW w:w="4180" w:type="dxa"/>
            <w:vAlign w:val="bottom"/>
          </w:tcPr>
          <w:p>
            <w:pPr>
              <w:spacing w:after="0"/>
              <w:rPr>
                <w:sz w:val="15"/>
                <w:szCs w:val="15"/>
                <w:color w:val="auto"/>
              </w:rPr>
            </w:pPr>
          </w:p>
        </w:tc>
        <w:tc>
          <w:tcPr>
            <w:tcW w:w="19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(unaudited)</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4180" w:type="dxa"/>
            <w:vAlign w:val="bottom"/>
          </w:tcPr>
          <w:p>
            <w:pPr>
              <w:spacing w:after="0"/>
              <w:rPr>
                <w:sz w:val="15"/>
                <w:szCs w:val="15"/>
                <w:color w:val="auto"/>
              </w:rPr>
            </w:pPr>
          </w:p>
        </w:tc>
        <w:tc>
          <w:tcPr>
            <w:tcW w:w="19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1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9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8"/>
        </w:trPr>
        <w:tc>
          <w:tcPr>
            <w:tcW w:w="4180" w:type="dxa"/>
            <w:vAlign w:val="bottom"/>
          </w:tcPr>
          <w:p>
            <w:pPr>
              <w:spacing w:after="0"/>
              <w:rPr>
                <w:sz w:val="20"/>
                <w:szCs w:val="20"/>
                <w:color w:val="auto"/>
              </w:rPr>
            </w:pPr>
            <w:r>
              <w:rPr>
                <w:rFonts w:ascii="Courier New" w:cs="Courier New" w:eastAsia="Courier New" w:hAnsi="Courier New"/>
                <w:sz w:val="16"/>
                <w:szCs w:val="16"/>
                <w:color w:val="auto"/>
              </w:rPr>
              <w:t>Real estate</w:t>
            </w:r>
          </w:p>
        </w:tc>
        <w:tc>
          <w:tcPr>
            <w:tcW w:w="19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Land</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$ 69,206</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$ 69,206</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Buildings and improvements</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447,286</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444,933</w:t>
            </w:r>
          </w:p>
        </w:tc>
      </w:tr>
      <w:tr>
        <w:trPr>
          <w:trHeight w:val="179"/>
        </w:trPr>
        <w:tc>
          <w:tcPr>
            <w:tcW w:w="4180" w:type="dxa"/>
            <w:vAlign w:val="bottom"/>
          </w:tcPr>
          <w:p>
            <w:pPr>
              <w:spacing w:after="0"/>
              <w:rPr>
                <w:sz w:val="15"/>
                <w:szCs w:val="15"/>
                <w:color w:val="auto"/>
              </w:rPr>
            </w:pP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rPr>
                <w:sz w:val="15"/>
                <w:szCs w:val="15"/>
                <w:color w:val="auto"/>
              </w:rPr>
            </w:pP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516,492</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514,139</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Less: accumulated depreciation</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106,520</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102,461</w:t>
            </w:r>
          </w:p>
        </w:tc>
      </w:tr>
      <w:tr>
        <w:trPr>
          <w:trHeight w:val="179"/>
        </w:trPr>
        <w:tc>
          <w:tcPr>
            <w:tcW w:w="4180" w:type="dxa"/>
            <w:vAlign w:val="bottom"/>
          </w:tcPr>
          <w:p>
            <w:pPr>
              <w:spacing w:after="0"/>
              <w:rPr>
                <w:sz w:val="15"/>
                <w:szCs w:val="15"/>
                <w:color w:val="auto"/>
              </w:rPr>
            </w:pP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Net real estate</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409,972</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411,678</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Property held for sale</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49,144</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49,445</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15,705</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22,167</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in escrow</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5,737</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5,213</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Investments in unconsolidated</w:t>
            </w:r>
          </w:p>
        </w:tc>
        <w:tc>
          <w:tcPr>
            <w:tcW w:w="19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partnerships</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5,802</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6,784</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Rents receivable, net</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9,047</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9,667</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Prepaid expenses</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2,757</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2,905</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charges, net</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12,668</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13,026</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2,739</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2,726</w:t>
            </w:r>
          </w:p>
        </w:tc>
      </w:tr>
      <w:tr>
        <w:trPr>
          <w:trHeight w:val="179"/>
        </w:trPr>
        <w:tc>
          <w:tcPr>
            <w:tcW w:w="4180" w:type="dxa"/>
            <w:vAlign w:val="bottom"/>
          </w:tcPr>
          <w:p>
            <w:pPr>
              <w:spacing w:after="0"/>
              <w:rPr>
                <w:sz w:val="15"/>
                <w:szCs w:val="15"/>
                <w:color w:val="auto"/>
              </w:rPr>
            </w:pP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180" w:type="dxa"/>
            <w:vAlign w:val="bottom"/>
          </w:tcPr>
          <w:p>
            <w:pPr>
              <w:spacing w:after="0"/>
              <w:rPr>
                <w:sz w:val="24"/>
                <w:szCs w:val="24"/>
                <w:color w:val="auto"/>
              </w:rPr>
            </w:pPr>
          </w:p>
        </w:tc>
        <w:tc>
          <w:tcPr>
            <w:tcW w:w="19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$513,571</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$523,611</w:t>
            </w:r>
          </w:p>
        </w:tc>
      </w:tr>
      <w:tr>
        <w:trPr>
          <w:trHeight w:val="179"/>
        </w:trPr>
        <w:tc>
          <w:tcPr>
            <w:tcW w:w="4180" w:type="dxa"/>
            <w:vAlign w:val="bottom"/>
          </w:tcPr>
          <w:p>
            <w:pPr>
              <w:spacing w:after="0"/>
              <w:rPr>
                <w:sz w:val="15"/>
                <w:szCs w:val="15"/>
                <w:color w:val="auto"/>
              </w:rPr>
            </w:pP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18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9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8"/>
        </w:trPr>
        <w:tc>
          <w:tcPr>
            <w:tcW w:w="4180" w:type="dxa"/>
            <w:vAlign w:val="bottom"/>
          </w:tcPr>
          <w:p>
            <w:pPr>
              <w:spacing w:after="0"/>
              <w:rPr>
                <w:sz w:val="20"/>
                <w:szCs w:val="20"/>
                <w:color w:val="auto"/>
              </w:rPr>
            </w:pPr>
            <w:r>
              <w:rPr>
                <w:rFonts w:ascii="Courier New" w:cs="Courier New" w:eastAsia="Courier New" w:hAnsi="Courier New"/>
                <w:sz w:val="16"/>
                <w:szCs w:val="16"/>
                <w:color w:val="auto"/>
              </w:rPr>
              <w:t>Mortgage notes payable</w:t>
            </w:r>
          </w:p>
        </w:tc>
        <w:tc>
          <w:tcPr>
            <w:tcW w:w="19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$271,387</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$277,112</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Accounts payable and accrued expenses</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6,582</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7,495</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Dividends and distributions payable</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4,228</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4,241</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Due to related parties</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124</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111</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liabilities</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4,420</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4,179</w:t>
            </w:r>
          </w:p>
        </w:tc>
      </w:tr>
      <w:tr>
        <w:trPr>
          <w:trHeight w:val="179"/>
        </w:trPr>
        <w:tc>
          <w:tcPr>
            <w:tcW w:w="4180" w:type="dxa"/>
            <w:vAlign w:val="bottom"/>
          </w:tcPr>
          <w:p>
            <w:pPr>
              <w:spacing w:after="0"/>
              <w:rPr>
                <w:sz w:val="15"/>
                <w:szCs w:val="15"/>
                <w:color w:val="auto"/>
              </w:rPr>
            </w:pP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liabilities</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286,741</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293,138</w:t>
            </w:r>
          </w:p>
        </w:tc>
      </w:tr>
      <w:tr>
        <w:trPr>
          <w:trHeight w:val="179"/>
        </w:trPr>
        <w:tc>
          <w:tcPr>
            <w:tcW w:w="4180" w:type="dxa"/>
            <w:vAlign w:val="bottom"/>
          </w:tcPr>
          <w:p>
            <w:pPr>
              <w:spacing w:after="0"/>
              <w:rPr>
                <w:sz w:val="15"/>
                <w:szCs w:val="15"/>
                <w:color w:val="auto"/>
              </w:rPr>
            </w:pP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180" w:type="dxa"/>
            <w:vAlign w:val="bottom"/>
          </w:tcPr>
          <w:p>
            <w:pPr>
              <w:spacing w:after="0"/>
              <w:rPr>
                <w:sz w:val="20"/>
                <w:szCs w:val="20"/>
                <w:color w:val="auto"/>
              </w:rPr>
            </w:pPr>
            <w:r>
              <w:rPr>
                <w:rFonts w:ascii="Courier New" w:cs="Courier New" w:eastAsia="Courier New" w:hAnsi="Courier New"/>
                <w:sz w:val="16"/>
                <w:szCs w:val="16"/>
                <w:color w:val="auto"/>
              </w:rPr>
              <w:t>Minority interest in Operating</w:t>
            </w:r>
          </w:p>
        </w:tc>
        <w:tc>
          <w:tcPr>
            <w:tcW w:w="19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Partnership</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48,521</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48,959</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Minority interests in majority-</w:t>
            </w:r>
          </w:p>
        </w:tc>
        <w:tc>
          <w:tcPr>
            <w:tcW w:w="19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owned partnerships</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2,208</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2,197</w:t>
            </w:r>
          </w:p>
        </w:tc>
      </w:tr>
      <w:tr>
        <w:trPr>
          <w:trHeight w:val="179"/>
        </w:trPr>
        <w:tc>
          <w:tcPr>
            <w:tcW w:w="4180" w:type="dxa"/>
            <w:vAlign w:val="bottom"/>
          </w:tcPr>
          <w:p>
            <w:pPr>
              <w:spacing w:after="0"/>
              <w:rPr>
                <w:sz w:val="15"/>
                <w:szCs w:val="15"/>
                <w:color w:val="auto"/>
              </w:rPr>
            </w:pP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minority interests</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50,729</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51,156</w:t>
            </w:r>
          </w:p>
        </w:tc>
      </w:tr>
      <w:tr>
        <w:trPr>
          <w:trHeight w:val="179"/>
        </w:trPr>
        <w:tc>
          <w:tcPr>
            <w:tcW w:w="4180" w:type="dxa"/>
            <w:vAlign w:val="bottom"/>
          </w:tcPr>
          <w:p>
            <w:pPr>
              <w:spacing w:after="0"/>
              <w:rPr>
                <w:sz w:val="15"/>
                <w:szCs w:val="15"/>
                <w:color w:val="auto"/>
              </w:rPr>
            </w:pP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18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9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Common shares, $.001 par value,</w:t>
            </w:r>
          </w:p>
        </w:tc>
        <w:tc>
          <w:tcPr>
            <w:tcW w:w="19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authorized 100,000,000 shares,</w:t>
            </w:r>
          </w:p>
        </w:tc>
        <w:tc>
          <w:tcPr>
            <w:tcW w:w="19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issued and outstanding 28,011,672</w:t>
            </w:r>
          </w:p>
        </w:tc>
        <w:tc>
          <w:tcPr>
            <w:tcW w:w="19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and 28,150,472 shares, respectively</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28</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Additional paid-in capital</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185,772</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188,392</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Accumulated other comprehensive income</w:t>
            </w:r>
          </w:p>
        </w:tc>
        <w:tc>
          <w:tcPr>
            <w:tcW w:w="19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(596)</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Deficit</w:t>
            </w:r>
          </w:p>
        </w:tc>
        <w:tc>
          <w:tcPr>
            <w:tcW w:w="190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(9,103)</w:t>
            </w: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(9,103)</w:t>
            </w:r>
          </w:p>
        </w:tc>
      </w:tr>
      <w:tr>
        <w:trPr>
          <w:trHeight w:val="179"/>
        </w:trPr>
        <w:tc>
          <w:tcPr>
            <w:tcW w:w="4180" w:type="dxa"/>
            <w:vAlign w:val="bottom"/>
          </w:tcPr>
          <w:p>
            <w:pPr>
              <w:spacing w:after="0"/>
              <w:rPr>
                <w:sz w:val="15"/>
                <w:szCs w:val="15"/>
                <w:color w:val="auto"/>
              </w:rPr>
            </w:pP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shareholders' equity</w:t>
            </w: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176,101</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179,317</w:t>
            </w:r>
          </w:p>
        </w:tc>
      </w:tr>
      <w:tr>
        <w:trPr>
          <w:trHeight w:val="179"/>
        </w:trPr>
        <w:tc>
          <w:tcPr>
            <w:tcW w:w="4180" w:type="dxa"/>
            <w:vAlign w:val="bottom"/>
          </w:tcPr>
          <w:p>
            <w:pPr>
              <w:spacing w:after="0"/>
              <w:rPr>
                <w:sz w:val="15"/>
                <w:szCs w:val="15"/>
                <w:color w:val="auto"/>
              </w:rPr>
            </w:pP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180" w:type="dxa"/>
            <w:vAlign w:val="bottom"/>
          </w:tcPr>
          <w:p>
            <w:pPr>
              <w:spacing w:after="0"/>
              <w:rPr>
                <w:sz w:val="24"/>
                <w:szCs w:val="24"/>
                <w:color w:val="auto"/>
              </w:rPr>
            </w:pPr>
          </w:p>
        </w:tc>
        <w:tc>
          <w:tcPr>
            <w:tcW w:w="19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$513,571</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$523,611</w:t>
            </w:r>
          </w:p>
        </w:tc>
      </w:tr>
      <w:tr>
        <w:trPr>
          <w:trHeight w:val="179"/>
        </w:trPr>
        <w:tc>
          <w:tcPr>
            <w:tcW w:w="4180" w:type="dxa"/>
            <w:vAlign w:val="bottom"/>
          </w:tcPr>
          <w:p>
            <w:pPr>
              <w:spacing w:after="0"/>
              <w:rPr>
                <w:sz w:val="15"/>
                <w:szCs w:val="15"/>
                <w:color w:val="auto"/>
              </w:rPr>
            </w:pPr>
          </w:p>
        </w:tc>
        <w:tc>
          <w:tcPr>
            <w:tcW w:w="19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See accompanying notes</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48" w:right="1440" w:bottom="1440" w:gutter="0" w:footer="0" w:header="0"/>
        </w:sectPr>
      </w:pPr>
    </w:p>
    <w:bookmarkStart w:id="3" w:name="page4"/>
    <w:bookmarkEnd w:id="3"/>
    <w:p>
      <w:pPr>
        <w:ind w:left="2040"/>
        <w:spacing w:after="0"/>
        <w:rPr>
          <w:sz w:val="20"/>
          <w:szCs w:val="20"/>
          <w:color w:val="auto"/>
        </w:rPr>
      </w:pPr>
      <w:r>
        <w:rPr>
          <w:rFonts w:ascii="Courier New" w:cs="Courier New" w:eastAsia="Courier New" w:hAnsi="Courier New"/>
          <w:sz w:val="16"/>
          <w:szCs w:val="16"/>
          <w:color w:val="auto"/>
        </w:rPr>
        <w:t>ACADIA REALTY TRUST AND SUBSIDIARIES</w:t>
      </w:r>
    </w:p>
    <w:p>
      <w:pPr>
        <w:ind w:left="2040"/>
        <w:spacing w:after="0" w:line="236" w:lineRule="auto"/>
        <w:rPr>
          <w:sz w:val="20"/>
          <w:szCs w:val="20"/>
          <w:color w:val="auto"/>
        </w:rPr>
      </w:pPr>
      <w:r>
        <w:rPr>
          <w:rFonts w:ascii="Courier New" w:cs="Courier New" w:eastAsia="Courier New" w:hAnsi="Courier New"/>
          <w:sz w:val="16"/>
          <w:szCs w:val="16"/>
          <w:color w:val="auto"/>
        </w:rPr>
        <w:t>CONSOLIDATED STATEMENTS OF OPERATIONS</w:t>
      </w:r>
    </w:p>
    <w:p>
      <w:pPr>
        <w:ind w:left="1400"/>
        <w:spacing w:after="0" w:line="237" w:lineRule="auto"/>
        <w:rPr>
          <w:sz w:val="20"/>
          <w:szCs w:val="20"/>
          <w:color w:val="auto"/>
        </w:rPr>
      </w:pPr>
      <w:r>
        <w:rPr>
          <w:rFonts w:ascii="Courier New" w:cs="Courier New" w:eastAsia="Courier New" w:hAnsi="Courier New"/>
          <w:sz w:val="16"/>
          <w:szCs w:val="16"/>
          <w:color w:val="auto"/>
        </w:rPr>
        <w:t>FOR THE THREE MONTHS ENDED MARCH 31, 2001 AND 2000</w:t>
      </w:r>
    </w:p>
    <w:p>
      <w:pPr>
        <w:ind w:left="1860"/>
        <w:spacing w:after="0" w:line="237" w:lineRule="auto"/>
        <w:rPr>
          <w:sz w:val="20"/>
          <w:szCs w:val="20"/>
          <w:color w:val="auto"/>
        </w:rPr>
      </w:pPr>
      <w:r>
        <w:rPr>
          <w:rFonts w:ascii="Courier New" w:cs="Courier New" w:eastAsia="Courier New" w:hAnsi="Courier New"/>
          <w:sz w:val="16"/>
          <w:szCs w:val="16"/>
          <w:color w:val="auto"/>
        </w:rPr>
        <w:t>(in thousands, except per share amounts)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20" w:type="dxa"/>
            <w:vAlign w:val="bottom"/>
          </w:tcPr>
          <w:p>
            <w:pPr>
              <w:spacing w:after="0"/>
              <w:rPr>
                <w:sz w:val="15"/>
                <w:szCs w:val="15"/>
                <w:color w:val="auto"/>
              </w:rPr>
            </w:pPr>
          </w:p>
        </w:tc>
        <w:tc>
          <w:tcPr>
            <w:tcW w:w="176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March 31,</w:t>
            </w:r>
          </w:p>
        </w:tc>
        <w:tc>
          <w:tcPr>
            <w:tcW w:w="12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March 31,</w:t>
            </w:r>
          </w:p>
        </w:tc>
      </w:tr>
      <w:tr>
        <w:trPr>
          <w:trHeight w:val="179"/>
        </w:trPr>
        <w:tc>
          <w:tcPr>
            <w:tcW w:w="4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2001</w:t>
            </w:r>
          </w:p>
        </w:tc>
        <w:tc>
          <w:tcPr>
            <w:tcW w:w="520" w:type="dxa"/>
            <w:vAlign w:val="bottom"/>
          </w:tcPr>
          <w:p>
            <w:pPr>
              <w:spacing w:after="0"/>
              <w:rPr>
                <w:sz w:val="15"/>
                <w:szCs w:val="15"/>
                <w:color w:val="auto"/>
              </w:rPr>
            </w:pPr>
          </w:p>
        </w:tc>
        <w:tc>
          <w:tcPr>
            <w:tcW w:w="7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88"/>
              </w:rPr>
              <w:t>2000</w:t>
            </w:r>
          </w:p>
        </w:tc>
      </w:tr>
      <w:tr>
        <w:trPr>
          <w:trHeight w:val="179"/>
        </w:trPr>
        <w:tc>
          <w:tcPr>
            <w:tcW w:w="4420" w:type="dxa"/>
            <w:vAlign w:val="bottom"/>
          </w:tcPr>
          <w:p>
            <w:pPr>
              <w:spacing w:after="0"/>
              <w:rPr>
                <w:sz w:val="15"/>
                <w:szCs w:val="15"/>
                <w:color w:val="auto"/>
              </w:rPr>
            </w:pPr>
          </w:p>
        </w:tc>
        <w:tc>
          <w:tcPr>
            <w:tcW w:w="17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(unaudited)</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179"/>
        </w:trPr>
        <w:tc>
          <w:tcPr>
            <w:tcW w:w="4420" w:type="dxa"/>
            <w:vAlign w:val="bottom"/>
          </w:tcPr>
          <w:p>
            <w:pPr>
              <w:spacing w:after="0"/>
              <w:rPr>
                <w:sz w:val="15"/>
                <w:szCs w:val="15"/>
                <w:color w:val="auto"/>
              </w:rPr>
            </w:pPr>
          </w:p>
        </w:tc>
        <w:tc>
          <w:tcPr>
            <w:tcW w:w="17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4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44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Minimum rents</w:t>
            </w:r>
          </w:p>
        </w:tc>
        <w:tc>
          <w:tcPr>
            <w:tcW w:w="17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$ 17,446</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$ 18,441</w:t>
            </w:r>
          </w:p>
        </w:tc>
      </w:tr>
      <w:tr>
        <w:trPr>
          <w:trHeight w:val="179"/>
        </w:trPr>
        <w:tc>
          <w:tcPr>
            <w:tcW w:w="44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Percentage rents</w:t>
            </w:r>
          </w:p>
        </w:tc>
        <w:tc>
          <w:tcPr>
            <w:tcW w:w="74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732</w:t>
            </w:r>
          </w:p>
        </w:tc>
        <w:tc>
          <w:tcPr>
            <w:tcW w:w="5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751</w:t>
            </w:r>
          </w:p>
        </w:tc>
      </w:tr>
      <w:tr>
        <w:trPr>
          <w:trHeight w:val="179"/>
        </w:trPr>
        <w:tc>
          <w:tcPr>
            <w:tcW w:w="44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Expense reimbursements</w:t>
            </w:r>
          </w:p>
        </w:tc>
        <w:tc>
          <w:tcPr>
            <w:tcW w:w="74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3,909</w:t>
            </w:r>
          </w:p>
        </w:tc>
        <w:tc>
          <w:tcPr>
            <w:tcW w:w="5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3,844</w:t>
            </w:r>
          </w:p>
        </w:tc>
      </w:tr>
      <w:tr>
        <w:trPr>
          <w:trHeight w:val="179"/>
        </w:trPr>
        <w:tc>
          <w:tcPr>
            <w:tcW w:w="44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Other</w:t>
            </w:r>
          </w:p>
        </w:tc>
        <w:tc>
          <w:tcPr>
            <w:tcW w:w="74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502</w:t>
            </w:r>
          </w:p>
        </w:tc>
        <w:tc>
          <w:tcPr>
            <w:tcW w:w="5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827</w:t>
            </w:r>
          </w:p>
        </w:tc>
      </w:tr>
      <w:tr>
        <w:trPr>
          <w:trHeight w:val="179"/>
        </w:trPr>
        <w:tc>
          <w:tcPr>
            <w:tcW w:w="4420" w:type="dxa"/>
            <w:vAlign w:val="bottom"/>
          </w:tcPr>
          <w:p>
            <w:pPr>
              <w:spacing w:after="0"/>
              <w:rPr>
                <w:sz w:val="15"/>
                <w:szCs w:val="15"/>
                <w:color w:val="auto"/>
              </w:rPr>
            </w:pPr>
          </w:p>
        </w:tc>
        <w:tc>
          <w:tcPr>
            <w:tcW w:w="17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420" w:type="dxa"/>
            <w:vAlign w:val="bottom"/>
          </w:tcPr>
          <w:p>
            <w:pPr>
              <w:ind w:left="280"/>
              <w:spacing w:after="0"/>
              <w:rPr>
                <w:sz w:val="20"/>
                <w:szCs w:val="20"/>
                <w:color w:val="auto"/>
              </w:rPr>
            </w:pPr>
            <w:r>
              <w:rPr>
                <w:rFonts w:ascii="Courier New" w:cs="Courier New" w:eastAsia="Courier New" w:hAnsi="Courier New"/>
                <w:sz w:val="16"/>
                <w:szCs w:val="16"/>
                <w:color w:val="auto"/>
              </w:rPr>
              <w:t>Total revenues</w:t>
            </w:r>
          </w:p>
        </w:tc>
        <w:tc>
          <w:tcPr>
            <w:tcW w:w="740" w:type="dxa"/>
            <w:vAlign w:val="bottom"/>
          </w:tcPr>
          <w:p>
            <w:pPr>
              <w:spacing w:after="0"/>
              <w:rPr>
                <w:sz w:val="24"/>
                <w:szCs w:val="24"/>
                <w:color w:val="auto"/>
              </w:rPr>
            </w:pP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22,589</w:t>
            </w:r>
          </w:p>
        </w:tc>
        <w:tc>
          <w:tcPr>
            <w:tcW w:w="52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23,863</w:t>
            </w:r>
          </w:p>
        </w:tc>
      </w:tr>
      <w:tr>
        <w:trPr>
          <w:trHeight w:val="179"/>
        </w:trPr>
        <w:tc>
          <w:tcPr>
            <w:tcW w:w="4420" w:type="dxa"/>
            <w:vAlign w:val="bottom"/>
          </w:tcPr>
          <w:p>
            <w:pPr>
              <w:spacing w:after="0"/>
              <w:rPr>
                <w:sz w:val="15"/>
                <w:szCs w:val="15"/>
                <w:color w:val="auto"/>
              </w:rPr>
            </w:pPr>
          </w:p>
        </w:tc>
        <w:tc>
          <w:tcPr>
            <w:tcW w:w="17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4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44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Property operating</w:t>
            </w:r>
          </w:p>
        </w:tc>
        <w:tc>
          <w:tcPr>
            <w:tcW w:w="74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6,198</w:t>
            </w:r>
          </w:p>
        </w:tc>
        <w:tc>
          <w:tcPr>
            <w:tcW w:w="5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5,986</w:t>
            </w:r>
          </w:p>
        </w:tc>
      </w:tr>
      <w:tr>
        <w:trPr>
          <w:trHeight w:val="179"/>
        </w:trPr>
        <w:tc>
          <w:tcPr>
            <w:tcW w:w="44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Real estate taxes</w:t>
            </w:r>
          </w:p>
        </w:tc>
        <w:tc>
          <w:tcPr>
            <w:tcW w:w="74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2,800</w:t>
            </w:r>
          </w:p>
        </w:tc>
        <w:tc>
          <w:tcPr>
            <w:tcW w:w="5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2,713</w:t>
            </w:r>
          </w:p>
        </w:tc>
      </w:tr>
      <w:tr>
        <w:trPr>
          <w:trHeight w:val="179"/>
        </w:trPr>
        <w:tc>
          <w:tcPr>
            <w:tcW w:w="44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74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4,964</w:t>
            </w:r>
          </w:p>
        </w:tc>
        <w:tc>
          <w:tcPr>
            <w:tcW w:w="5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5,015</w:t>
            </w:r>
          </w:p>
        </w:tc>
      </w:tr>
      <w:tr>
        <w:trPr>
          <w:trHeight w:val="179"/>
        </w:trPr>
        <w:tc>
          <w:tcPr>
            <w:tcW w:w="44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General and administrative</w:t>
            </w:r>
          </w:p>
        </w:tc>
        <w:tc>
          <w:tcPr>
            <w:tcW w:w="74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1,189</w:t>
            </w:r>
          </w:p>
        </w:tc>
        <w:tc>
          <w:tcPr>
            <w:tcW w:w="5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1,293</w:t>
            </w:r>
          </w:p>
        </w:tc>
      </w:tr>
      <w:tr>
        <w:trPr>
          <w:trHeight w:val="179"/>
        </w:trPr>
        <w:tc>
          <w:tcPr>
            <w:tcW w:w="4420" w:type="dxa"/>
            <w:vAlign w:val="bottom"/>
          </w:tcPr>
          <w:p>
            <w:pPr>
              <w:spacing w:after="0"/>
              <w:rPr>
                <w:sz w:val="15"/>
                <w:szCs w:val="15"/>
                <w:color w:val="auto"/>
              </w:rPr>
            </w:pPr>
          </w:p>
        </w:tc>
        <w:tc>
          <w:tcPr>
            <w:tcW w:w="17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420" w:type="dxa"/>
            <w:vAlign w:val="bottom"/>
          </w:tcPr>
          <w:p>
            <w:pPr>
              <w:ind w:left="280"/>
              <w:spacing w:after="0"/>
              <w:rPr>
                <w:sz w:val="20"/>
                <w:szCs w:val="20"/>
                <w:color w:val="auto"/>
              </w:rPr>
            </w:pPr>
            <w:r>
              <w:rPr>
                <w:rFonts w:ascii="Courier New" w:cs="Courier New" w:eastAsia="Courier New" w:hAnsi="Courier New"/>
                <w:sz w:val="16"/>
                <w:szCs w:val="16"/>
                <w:color w:val="auto"/>
              </w:rPr>
              <w:t>Total operating expenses</w:t>
            </w:r>
          </w:p>
        </w:tc>
        <w:tc>
          <w:tcPr>
            <w:tcW w:w="740" w:type="dxa"/>
            <w:vAlign w:val="bottom"/>
          </w:tcPr>
          <w:p>
            <w:pPr>
              <w:spacing w:after="0"/>
              <w:rPr>
                <w:sz w:val="24"/>
                <w:szCs w:val="24"/>
                <w:color w:val="auto"/>
              </w:rPr>
            </w:pP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15,151</w:t>
            </w:r>
          </w:p>
        </w:tc>
        <w:tc>
          <w:tcPr>
            <w:tcW w:w="52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15,007</w:t>
            </w:r>
          </w:p>
        </w:tc>
      </w:tr>
      <w:tr>
        <w:trPr>
          <w:trHeight w:val="179"/>
        </w:trPr>
        <w:tc>
          <w:tcPr>
            <w:tcW w:w="4420" w:type="dxa"/>
            <w:vAlign w:val="bottom"/>
          </w:tcPr>
          <w:p>
            <w:pPr>
              <w:spacing w:after="0"/>
              <w:rPr>
                <w:sz w:val="15"/>
                <w:szCs w:val="15"/>
                <w:color w:val="auto"/>
              </w:rPr>
            </w:pPr>
          </w:p>
        </w:tc>
        <w:tc>
          <w:tcPr>
            <w:tcW w:w="17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42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740" w:type="dxa"/>
            <w:vAlign w:val="bottom"/>
          </w:tcPr>
          <w:p>
            <w:pPr>
              <w:spacing w:after="0"/>
              <w:rPr>
                <w:sz w:val="24"/>
                <w:szCs w:val="24"/>
                <w:color w:val="auto"/>
              </w:rPr>
            </w:pP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7,438</w:t>
            </w:r>
          </w:p>
        </w:tc>
        <w:tc>
          <w:tcPr>
            <w:tcW w:w="52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8,856</w:t>
            </w:r>
          </w:p>
        </w:tc>
      </w:tr>
      <w:tr>
        <w:trPr>
          <w:trHeight w:val="179"/>
        </w:trPr>
        <w:tc>
          <w:tcPr>
            <w:tcW w:w="4420" w:type="dxa"/>
            <w:vAlign w:val="bottom"/>
          </w:tcPr>
          <w:p>
            <w:pPr>
              <w:spacing w:after="0" w:line="179" w:lineRule="exact"/>
              <w:rPr>
                <w:sz w:val="20"/>
                <w:szCs w:val="20"/>
                <w:color w:val="auto"/>
              </w:rPr>
            </w:pPr>
            <w:r>
              <w:rPr>
                <w:rFonts w:ascii="Courier New" w:cs="Courier New" w:eastAsia="Courier New" w:hAnsi="Courier New"/>
                <w:sz w:val="16"/>
                <w:szCs w:val="16"/>
                <w:color w:val="auto"/>
              </w:rPr>
              <w:t>Equity in earnings of un-</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4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consolidated partnerships</w:t>
            </w:r>
          </w:p>
        </w:tc>
        <w:tc>
          <w:tcPr>
            <w:tcW w:w="74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152</w:t>
            </w:r>
          </w:p>
        </w:tc>
        <w:tc>
          <w:tcPr>
            <w:tcW w:w="5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200</w:t>
            </w:r>
          </w:p>
        </w:tc>
      </w:tr>
      <w:tr>
        <w:trPr>
          <w:trHeight w:val="179"/>
        </w:trPr>
        <w:tc>
          <w:tcPr>
            <w:tcW w:w="442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74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(5,278)</w:t>
            </w:r>
          </w:p>
        </w:tc>
        <w:tc>
          <w:tcPr>
            <w:tcW w:w="5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(6,355)</w:t>
            </w:r>
          </w:p>
        </w:tc>
      </w:tr>
      <w:tr>
        <w:trPr>
          <w:trHeight w:val="179"/>
        </w:trPr>
        <w:tc>
          <w:tcPr>
            <w:tcW w:w="4420" w:type="dxa"/>
            <w:vAlign w:val="bottom"/>
          </w:tcPr>
          <w:p>
            <w:pPr>
              <w:spacing w:after="0"/>
              <w:rPr>
                <w:sz w:val="15"/>
                <w:szCs w:val="15"/>
                <w:color w:val="auto"/>
              </w:rPr>
            </w:pPr>
          </w:p>
        </w:tc>
        <w:tc>
          <w:tcPr>
            <w:tcW w:w="17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420" w:type="dxa"/>
            <w:vAlign w:val="bottom"/>
          </w:tcPr>
          <w:p>
            <w:pPr>
              <w:spacing w:after="0"/>
              <w:rPr>
                <w:sz w:val="20"/>
                <w:szCs w:val="20"/>
                <w:color w:val="auto"/>
              </w:rPr>
            </w:pPr>
            <w:r>
              <w:rPr>
                <w:rFonts w:ascii="Courier New" w:cs="Courier New" w:eastAsia="Courier New" w:hAnsi="Courier New"/>
                <w:sz w:val="16"/>
                <w:szCs w:val="16"/>
                <w:color w:val="auto"/>
              </w:rPr>
              <w:t>Income before extraordinary item,</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4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minority interest and cumulative effect</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of a change in accounting principal</w:t>
            </w:r>
          </w:p>
        </w:tc>
        <w:tc>
          <w:tcPr>
            <w:tcW w:w="74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2,312</w:t>
            </w:r>
          </w:p>
        </w:tc>
        <w:tc>
          <w:tcPr>
            <w:tcW w:w="5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2,701</w:t>
            </w:r>
          </w:p>
        </w:tc>
      </w:tr>
      <w:tr>
        <w:trPr>
          <w:trHeight w:val="179"/>
        </w:trPr>
        <w:tc>
          <w:tcPr>
            <w:tcW w:w="442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item - Loss on early</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extinguishment of debt</w:t>
            </w:r>
          </w:p>
        </w:tc>
        <w:tc>
          <w:tcPr>
            <w:tcW w:w="74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(140)</w:t>
            </w:r>
          </w:p>
        </w:tc>
        <w:tc>
          <w:tcPr>
            <w:tcW w:w="5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420" w:type="dxa"/>
            <w:vAlign w:val="bottom"/>
          </w:tcPr>
          <w:p>
            <w:pPr>
              <w:spacing w:after="0" w:line="179" w:lineRule="exact"/>
              <w:rPr>
                <w:sz w:val="20"/>
                <w:szCs w:val="20"/>
                <w:color w:val="auto"/>
              </w:rPr>
            </w:pPr>
            <w:r>
              <w:rPr>
                <w:rFonts w:ascii="Courier New" w:cs="Courier New" w:eastAsia="Courier New" w:hAnsi="Courier New"/>
                <w:sz w:val="16"/>
                <w:szCs w:val="16"/>
                <w:color w:val="auto"/>
              </w:rPr>
              <w:t>Minority interest in Operating Partnership</w:t>
            </w:r>
          </w:p>
        </w:tc>
        <w:tc>
          <w:tcPr>
            <w:tcW w:w="74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(440)</w:t>
            </w:r>
          </w:p>
        </w:tc>
        <w:tc>
          <w:tcPr>
            <w:tcW w:w="5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(827)</w:t>
            </w:r>
          </w:p>
        </w:tc>
      </w:tr>
      <w:tr>
        <w:trPr>
          <w:trHeight w:val="179"/>
        </w:trPr>
        <w:tc>
          <w:tcPr>
            <w:tcW w:w="4420" w:type="dxa"/>
            <w:vAlign w:val="bottom"/>
          </w:tcPr>
          <w:p>
            <w:pPr>
              <w:spacing w:after="0" w:line="179" w:lineRule="exact"/>
              <w:rPr>
                <w:sz w:val="20"/>
                <w:szCs w:val="20"/>
                <w:color w:val="auto"/>
              </w:rPr>
            </w:pPr>
            <w:r>
              <w:rPr>
                <w:rFonts w:ascii="Courier New" w:cs="Courier New" w:eastAsia="Courier New" w:hAnsi="Courier New"/>
                <w:sz w:val="16"/>
                <w:szCs w:val="16"/>
                <w:color w:val="auto"/>
              </w:rPr>
              <w:t>Cumulative effect of a change in</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accounting principal</w:t>
            </w:r>
          </w:p>
        </w:tc>
        <w:tc>
          <w:tcPr>
            <w:tcW w:w="74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(149)</w:t>
            </w:r>
          </w:p>
        </w:tc>
        <w:tc>
          <w:tcPr>
            <w:tcW w:w="5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420" w:type="dxa"/>
            <w:vAlign w:val="bottom"/>
          </w:tcPr>
          <w:p>
            <w:pPr>
              <w:spacing w:after="0"/>
              <w:rPr>
                <w:sz w:val="15"/>
                <w:szCs w:val="15"/>
                <w:color w:val="auto"/>
              </w:rPr>
            </w:pPr>
          </w:p>
        </w:tc>
        <w:tc>
          <w:tcPr>
            <w:tcW w:w="17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4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740" w:type="dxa"/>
            <w:vAlign w:val="bottom"/>
          </w:tcPr>
          <w:p>
            <w:pPr>
              <w:ind w:left="6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1,583</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1,874</w:t>
            </w:r>
          </w:p>
        </w:tc>
      </w:tr>
      <w:tr>
        <w:trPr>
          <w:trHeight w:val="179"/>
        </w:trPr>
        <w:tc>
          <w:tcPr>
            <w:tcW w:w="4420" w:type="dxa"/>
            <w:vAlign w:val="bottom"/>
          </w:tcPr>
          <w:p>
            <w:pPr>
              <w:spacing w:after="0"/>
              <w:rPr>
                <w:sz w:val="15"/>
                <w:szCs w:val="15"/>
                <w:color w:val="auto"/>
              </w:rPr>
            </w:pPr>
          </w:p>
        </w:tc>
        <w:tc>
          <w:tcPr>
            <w:tcW w:w="17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420" w:type="dxa"/>
            <w:vAlign w:val="bottom"/>
          </w:tcPr>
          <w:p>
            <w:pPr>
              <w:spacing w:after="0"/>
              <w:rPr>
                <w:sz w:val="20"/>
                <w:szCs w:val="20"/>
                <w:color w:val="auto"/>
              </w:rPr>
            </w:pPr>
            <w:r>
              <w:rPr>
                <w:rFonts w:ascii="Courier New" w:cs="Courier New" w:eastAsia="Courier New" w:hAnsi="Courier New"/>
                <w:sz w:val="16"/>
                <w:szCs w:val="16"/>
                <w:color w:val="auto"/>
              </w:rPr>
              <w:t>Net income per Common Share:</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8"/>
        </w:trPr>
        <w:tc>
          <w:tcPr>
            <w:tcW w:w="4420" w:type="dxa"/>
            <w:vAlign w:val="bottom"/>
          </w:tcPr>
          <w:p>
            <w:pPr>
              <w:spacing w:after="0"/>
              <w:rPr>
                <w:sz w:val="20"/>
                <w:szCs w:val="20"/>
                <w:color w:val="auto"/>
              </w:rPr>
            </w:pPr>
            <w:r>
              <w:rPr>
                <w:rFonts w:ascii="Courier New" w:cs="Courier New" w:eastAsia="Courier New" w:hAnsi="Courier New"/>
                <w:sz w:val="16"/>
                <w:szCs w:val="16"/>
                <w:color w:val="auto"/>
              </w:rPr>
              <w:t>Income before extraordinary item</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4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and cumulative effect of a change</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 accounting principal</w:t>
            </w:r>
          </w:p>
        </w:tc>
        <w:tc>
          <w:tcPr>
            <w:tcW w:w="7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.08</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.07</w:t>
            </w:r>
          </w:p>
        </w:tc>
      </w:tr>
      <w:tr>
        <w:trPr>
          <w:trHeight w:val="179"/>
        </w:trPr>
        <w:tc>
          <w:tcPr>
            <w:tcW w:w="442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item</w:t>
            </w:r>
          </w:p>
        </w:tc>
        <w:tc>
          <w:tcPr>
            <w:tcW w:w="74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(.01)</w:t>
            </w:r>
          </w:p>
        </w:tc>
        <w:tc>
          <w:tcPr>
            <w:tcW w:w="5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420" w:type="dxa"/>
            <w:vAlign w:val="bottom"/>
          </w:tcPr>
          <w:p>
            <w:pPr>
              <w:spacing w:after="0" w:line="179" w:lineRule="exact"/>
              <w:rPr>
                <w:sz w:val="20"/>
                <w:szCs w:val="20"/>
                <w:color w:val="auto"/>
              </w:rPr>
            </w:pPr>
            <w:r>
              <w:rPr>
                <w:rFonts w:ascii="Courier New" w:cs="Courier New" w:eastAsia="Courier New" w:hAnsi="Courier New"/>
                <w:sz w:val="16"/>
                <w:szCs w:val="16"/>
                <w:color w:val="auto"/>
              </w:rPr>
              <w:t>Cumulative effect of a change in</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44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accounting principal</w:t>
            </w:r>
          </w:p>
        </w:tc>
        <w:tc>
          <w:tcPr>
            <w:tcW w:w="740" w:type="dxa"/>
            <w:vAlign w:val="bottom"/>
          </w:tcPr>
          <w:p>
            <w:pPr>
              <w:spacing w:after="0"/>
              <w:rPr>
                <w:sz w:val="15"/>
                <w:szCs w:val="15"/>
                <w:color w:val="auto"/>
              </w:rPr>
            </w:pP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(.01)</w:t>
            </w:r>
          </w:p>
        </w:tc>
        <w:tc>
          <w:tcPr>
            <w:tcW w:w="52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420" w:type="dxa"/>
            <w:vAlign w:val="bottom"/>
          </w:tcPr>
          <w:p>
            <w:pPr>
              <w:spacing w:after="0"/>
              <w:rPr>
                <w:sz w:val="15"/>
                <w:szCs w:val="15"/>
                <w:color w:val="auto"/>
              </w:rPr>
            </w:pPr>
          </w:p>
        </w:tc>
        <w:tc>
          <w:tcPr>
            <w:tcW w:w="17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4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74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.06</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.07</w:t>
            </w:r>
          </w:p>
        </w:tc>
      </w:tr>
      <w:tr>
        <w:trPr>
          <w:trHeight w:val="179"/>
        </w:trPr>
        <w:tc>
          <w:tcPr>
            <w:tcW w:w="4420" w:type="dxa"/>
            <w:vAlign w:val="bottom"/>
          </w:tcPr>
          <w:p>
            <w:pPr>
              <w:spacing w:after="0"/>
              <w:rPr>
                <w:sz w:val="15"/>
                <w:szCs w:val="15"/>
                <w:color w:val="auto"/>
              </w:rPr>
            </w:pPr>
          </w:p>
        </w:tc>
        <w:tc>
          <w:tcPr>
            <w:tcW w:w="17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See accompanying notes</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48" w:right="1440" w:bottom="1440" w:gutter="0" w:footer="0" w:header="0"/>
        </w:sectPr>
      </w:pPr>
    </w:p>
    <w:bookmarkStart w:id="4" w:name="page5"/>
    <w:bookmarkEnd w:id="4"/>
    <w:p>
      <w:pPr>
        <w:ind w:left="2040"/>
        <w:spacing w:after="0"/>
        <w:rPr>
          <w:sz w:val="20"/>
          <w:szCs w:val="20"/>
          <w:color w:val="auto"/>
        </w:rPr>
      </w:pPr>
      <w:r>
        <w:rPr>
          <w:rFonts w:ascii="Courier New" w:cs="Courier New" w:eastAsia="Courier New" w:hAnsi="Courier New"/>
          <w:sz w:val="16"/>
          <w:szCs w:val="16"/>
          <w:color w:val="auto"/>
        </w:rPr>
        <w:t>ACADIA REALTY TRUST AND SUBSIDIARIES</w:t>
      </w:r>
    </w:p>
    <w:p>
      <w:pPr>
        <w:ind w:left="2040"/>
        <w:spacing w:after="0" w:line="236" w:lineRule="auto"/>
        <w:rPr>
          <w:sz w:val="20"/>
          <w:szCs w:val="20"/>
          <w:color w:val="auto"/>
        </w:rPr>
      </w:pPr>
      <w:r>
        <w:rPr>
          <w:rFonts w:ascii="Courier New" w:cs="Courier New" w:eastAsia="Courier New" w:hAnsi="Courier New"/>
          <w:sz w:val="16"/>
          <w:szCs w:val="16"/>
          <w:color w:val="auto"/>
        </w:rPr>
        <w:t>CONSOLIDATED STATEMENTS OF CASH FLOWS</w:t>
      </w:r>
    </w:p>
    <w:p>
      <w:pPr>
        <w:ind w:left="1400"/>
        <w:spacing w:after="0" w:line="237" w:lineRule="auto"/>
        <w:rPr>
          <w:sz w:val="20"/>
          <w:szCs w:val="20"/>
          <w:color w:val="auto"/>
        </w:rPr>
      </w:pPr>
      <w:r>
        <w:rPr>
          <w:rFonts w:ascii="Courier New" w:cs="Courier New" w:eastAsia="Courier New" w:hAnsi="Courier New"/>
          <w:sz w:val="16"/>
          <w:szCs w:val="16"/>
          <w:color w:val="auto"/>
        </w:rPr>
        <w:t>FOR THE THREE MONTHS ENDED MARCH 31, 2001 AND 2000</w:t>
      </w:r>
    </w:p>
    <w:p>
      <w:pPr>
        <w:ind w:left="3060"/>
        <w:spacing w:after="0" w:line="237" w:lineRule="auto"/>
        <w:rPr>
          <w:sz w:val="20"/>
          <w:szCs w:val="20"/>
          <w:color w:val="auto"/>
        </w:rPr>
      </w:pPr>
      <w:r>
        <w:rPr>
          <w:rFonts w:ascii="Courier New" w:cs="Courier New" w:eastAsia="Courier New" w:hAnsi="Courier New"/>
          <w:sz w:val="16"/>
          <w:szCs w:val="16"/>
          <w:color w:val="auto"/>
        </w:rPr>
        <w:t>(in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0" w:type="dxa"/>
            <w:vAlign w:val="bottom"/>
          </w:tcPr>
          <w:p>
            <w:pPr>
              <w:spacing w:after="0"/>
              <w:rPr>
                <w:sz w:val="15"/>
                <w:szCs w:val="15"/>
                <w:color w:val="auto"/>
              </w:rPr>
            </w:pPr>
          </w:p>
        </w:tc>
        <w:tc>
          <w:tcPr>
            <w:tcW w:w="15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March 31,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r>
      <w:tr>
        <w:trPr>
          <w:trHeight w:val="179"/>
        </w:trPr>
        <w:tc>
          <w:tcPr>
            <w:tcW w:w="4600" w:type="dxa"/>
            <w:vAlign w:val="bottom"/>
          </w:tcPr>
          <w:p>
            <w:pPr>
              <w:spacing w:after="0"/>
              <w:rPr>
                <w:sz w:val="15"/>
                <w:szCs w:val="15"/>
                <w:color w:val="auto"/>
              </w:rPr>
            </w:pPr>
          </w:p>
        </w:tc>
        <w:tc>
          <w:tcPr>
            <w:tcW w:w="15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2001</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4600" w:type="dxa"/>
            <w:vAlign w:val="bottom"/>
          </w:tcPr>
          <w:p>
            <w:pPr>
              <w:spacing w:after="0"/>
              <w:rPr>
                <w:sz w:val="15"/>
                <w:szCs w:val="15"/>
                <w:color w:val="auto"/>
              </w:rPr>
            </w:pP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(unaudited)</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179"/>
        </w:trPr>
        <w:tc>
          <w:tcPr>
            <w:tcW w:w="4600" w:type="dxa"/>
            <w:vAlign w:val="bottom"/>
          </w:tcPr>
          <w:p>
            <w:pPr>
              <w:spacing w:after="0"/>
              <w:rPr>
                <w:sz w:val="15"/>
                <w:szCs w:val="15"/>
                <w:color w:val="auto"/>
              </w:rPr>
            </w:pP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$ 1,583</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$1,874</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Adjustments to reconcile net income to</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cash provided by operating activities:</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4,964</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5,015</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Minority interests</w:t>
            </w: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440</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827</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Equity in earnings of unconsolidated</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6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partnerships</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(152)</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Provision for bad debts</w:t>
            </w: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386</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227</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Stock-based compensation</w:t>
            </w: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197</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item - Loss on early</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extinguishment of debt</w:t>
            </w: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140</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Cumulative effect of a change in accounting</w:t>
            </w:r>
          </w:p>
        </w:tc>
        <w:tc>
          <w:tcPr>
            <w:tcW w:w="15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principal</w:t>
            </w: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149</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rPr>
              <w:t>Changes in assets and liabilities:</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Funding of escrows, net</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(524)</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(712)</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Rents receivable</w:t>
            </w: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234</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467</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Prepaid expenses</w:t>
            </w: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148</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305</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Due to related parties</w:t>
            </w: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13</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(99)</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(115)</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Accounts payable and accrued expenses</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(913)</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(558)</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liabilities</w:t>
            </w: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241</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(575)</w:t>
            </w:r>
          </w:p>
        </w:tc>
      </w:tr>
      <w:tr>
        <w:trPr>
          <w:trHeight w:val="179"/>
        </w:trPr>
        <w:tc>
          <w:tcPr>
            <w:tcW w:w="4600" w:type="dxa"/>
            <w:vAlign w:val="bottom"/>
          </w:tcPr>
          <w:p>
            <w:pPr>
              <w:spacing w:after="0"/>
              <w:rPr>
                <w:sz w:val="15"/>
                <w:szCs w:val="15"/>
                <w:color w:val="auto"/>
              </w:rPr>
            </w:pP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5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6,610</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6,771</w:t>
            </w:r>
          </w:p>
        </w:tc>
      </w:tr>
      <w:tr>
        <w:trPr>
          <w:trHeight w:val="179"/>
        </w:trPr>
        <w:tc>
          <w:tcPr>
            <w:tcW w:w="4600" w:type="dxa"/>
            <w:vAlign w:val="bottom"/>
          </w:tcPr>
          <w:p>
            <w:pPr>
              <w:spacing w:after="0"/>
              <w:rPr>
                <w:sz w:val="15"/>
                <w:szCs w:val="15"/>
                <w:color w:val="auto"/>
              </w:rPr>
            </w:pP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rPr>
              <w:t>Expenditures for real estate and</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9"/>
        </w:trPr>
        <w:tc>
          <w:tcPr>
            <w:tcW w:w="46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improvements</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(2,453)</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(2,440)</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Distributions from unconsolidated partnerships</w:t>
            </w: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538</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503</w:t>
            </w:r>
          </w:p>
        </w:tc>
      </w:tr>
      <w:tr>
        <w:trPr>
          <w:trHeight w:val="179"/>
        </w:trPr>
        <w:tc>
          <w:tcPr>
            <w:tcW w:w="4600" w:type="dxa"/>
            <w:vAlign w:val="bottom"/>
          </w:tcPr>
          <w:p>
            <w:pPr>
              <w:spacing w:after="0" w:line="179" w:lineRule="exact"/>
              <w:rPr>
                <w:sz w:val="20"/>
                <w:szCs w:val="20"/>
                <w:color w:val="auto"/>
              </w:rPr>
            </w:pPr>
            <w:r>
              <w:rPr>
                <w:rFonts w:ascii="Courier New" w:cs="Courier New" w:eastAsia="Courier New" w:hAnsi="Courier New"/>
                <w:sz w:val="16"/>
                <w:szCs w:val="16"/>
                <w:color w:val="auto"/>
              </w:rPr>
              <w:t>Payment of deferred leasing costs</w:t>
            </w:r>
          </w:p>
        </w:tc>
        <w:tc>
          <w:tcPr>
            <w:tcW w:w="15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(331)</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(668)</w:t>
            </w:r>
          </w:p>
        </w:tc>
      </w:tr>
      <w:tr>
        <w:trPr>
          <w:trHeight w:val="179"/>
        </w:trPr>
        <w:tc>
          <w:tcPr>
            <w:tcW w:w="4600" w:type="dxa"/>
            <w:vAlign w:val="bottom"/>
          </w:tcPr>
          <w:p>
            <w:pPr>
              <w:spacing w:after="0"/>
              <w:rPr>
                <w:sz w:val="15"/>
                <w:szCs w:val="15"/>
                <w:color w:val="auto"/>
              </w:rPr>
            </w:pP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00" w:type="dxa"/>
            <w:vAlign w:val="bottom"/>
          </w:tcPr>
          <w:p>
            <w:pPr>
              <w:spacing w:after="0"/>
              <w:rPr>
                <w:sz w:val="20"/>
                <w:szCs w:val="20"/>
                <w:color w:val="auto"/>
              </w:rPr>
            </w:pPr>
            <w:r>
              <w:rPr>
                <w:rFonts w:ascii="Courier New" w:cs="Courier New" w:eastAsia="Courier New" w:hAnsi="Courier New"/>
                <w:sz w:val="16"/>
                <w:szCs w:val="16"/>
                <w:color w:val="auto"/>
              </w:rPr>
              <w:t>Net cash used in investing activities</w:t>
            </w:r>
          </w:p>
        </w:tc>
        <w:tc>
          <w:tcPr>
            <w:tcW w:w="15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(2,246)</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(2,605)</w:t>
            </w:r>
          </w:p>
        </w:tc>
      </w:tr>
      <w:tr>
        <w:trPr>
          <w:trHeight w:val="179"/>
        </w:trPr>
        <w:tc>
          <w:tcPr>
            <w:tcW w:w="4600" w:type="dxa"/>
            <w:vAlign w:val="bottom"/>
          </w:tcPr>
          <w:p>
            <w:pPr>
              <w:spacing w:after="0"/>
              <w:rPr>
                <w:sz w:val="15"/>
                <w:szCs w:val="15"/>
                <w:color w:val="auto"/>
              </w:rPr>
            </w:pP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See accompanying notes</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69" w:right="1440" w:bottom="1440" w:gutter="0" w:footer="0" w:header="0"/>
        </w:sectPr>
      </w:pPr>
    </w:p>
    <w:bookmarkStart w:id="5" w:name="page6"/>
    <w:bookmarkEnd w:id="5"/>
    <w:p>
      <w:pPr>
        <w:ind w:left="2040"/>
        <w:spacing w:after="0"/>
        <w:rPr>
          <w:sz w:val="20"/>
          <w:szCs w:val="20"/>
          <w:color w:val="auto"/>
        </w:rPr>
      </w:pPr>
      <w:r>
        <w:rPr>
          <w:rFonts w:ascii="Courier New" w:cs="Courier New" w:eastAsia="Courier New" w:hAnsi="Courier New"/>
          <w:sz w:val="16"/>
          <w:szCs w:val="16"/>
          <w:color w:val="auto"/>
        </w:rPr>
        <w:t>ACADIA REALTY TRUST AND SUBSIDIARIES</w:t>
      </w:r>
    </w:p>
    <w:p>
      <w:pPr>
        <w:ind w:left="2040"/>
        <w:spacing w:after="0" w:line="236" w:lineRule="auto"/>
        <w:rPr>
          <w:sz w:val="20"/>
          <w:szCs w:val="20"/>
          <w:color w:val="auto"/>
        </w:rPr>
      </w:pPr>
      <w:r>
        <w:rPr>
          <w:rFonts w:ascii="Courier New" w:cs="Courier New" w:eastAsia="Courier New" w:hAnsi="Courier New"/>
          <w:sz w:val="16"/>
          <w:szCs w:val="16"/>
          <w:color w:val="auto"/>
        </w:rPr>
        <w:t>CONSOLIDATED STATEMENTS OF CASH FLOWS</w:t>
      </w:r>
    </w:p>
    <w:p>
      <w:pPr>
        <w:ind w:left="1400"/>
        <w:spacing w:after="0" w:line="237" w:lineRule="auto"/>
        <w:rPr>
          <w:sz w:val="20"/>
          <w:szCs w:val="20"/>
          <w:color w:val="auto"/>
        </w:rPr>
      </w:pPr>
      <w:r>
        <w:rPr>
          <w:rFonts w:ascii="Courier New" w:cs="Courier New" w:eastAsia="Courier New" w:hAnsi="Courier New"/>
          <w:sz w:val="16"/>
          <w:szCs w:val="16"/>
          <w:color w:val="auto"/>
        </w:rPr>
        <w:t>FOR THE THREE MONTHS ENDED MARCH 31, 2001 AND 2000</w:t>
      </w:r>
    </w:p>
    <w:p>
      <w:pPr>
        <w:ind w:left="3060"/>
        <w:spacing w:after="0" w:line="237" w:lineRule="auto"/>
        <w:rPr>
          <w:sz w:val="20"/>
          <w:szCs w:val="20"/>
          <w:color w:val="auto"/>
        </w:rPr>
      </w:pPr>
      <w:r>
        <w:rPr>
          <w:rFonts w:ascii="Courier New" w:cs="Courier New" w:eastAsia="Courier New" w:hAnsi="Courier New"/>
          <w:sz w:val="16"/>
          <w:szCs w:val="16"/>
          <w:color w:val="auto"/>
        </w:rPr>
        <w:t>(in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4"/>
              </w:rPr>
              <w:t>March 31,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r>
      <w:tr>
        <w:trPr>
          <w:trHeight w:val="179"/>
        </w:trPr>
        <w:tc>
          <w:tcPr>
            <w:tcW w:w="4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2001</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4840" w:type="dxa"/>
            <w:vAlign w:val="bottom"/>
          </w:tcPr>
          <w:p>
            <w:pPr>
              <w:spacing w:after="0"/>
              <w:rPr>
                <w:sz w:val="15"/>
                <w:szCs w:val="15"/>
                <w:color w:val="auto"/>
              </w:rPr>
            </w:pPr>
          </w:p>
        </w:tc>
        <w:tc>
          <w:tcPr>
            <w:tcW w:w="13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(unaudited)</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179"/>
        </w:trPr>
        <w:tc>
          <w:tcPr>
            <w:tcW w:w="4840" w:type="dxa"/>
            <w:vAlign w:val="bottom"/>
          </w:tcPr>
          <w:p>
            <w:pPr>
              <w:spacing w:after="0"/>
              <w:rPr>
                <w:sz w:val="15"/>
                <w:szCs w:val="15"/>
                <w:color w:val="auto"/>
              </w:rPr>
            </w:pPr>
          </w:p>
        </w:tc>
        <w:tc>
          <w:tcPr>
            <w:tcW w:w="134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8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8"/>
        </w:trPr>
        <w:tc>
          <w:tcPr>
            <w:tcW w:w="4840" w:type="dxa"/>
            <w:vAlign w:val="bottom"/>
          </w:tcPr>
          <w:p>
            <w:pPr>
              <w:spacing w:after="0"/>
              <w:rPr>
                <w:sz w:val="20"/>
                <w:szCs w:val="20"/>
                <w:color w:val="auto"/>
              </w:rPr>
            </w:pPr>
            <w:r>
              <w:rPr>
                <w:rFonts w:ascii="Courier New" w:cs="Courier New" w:eastAsia="Courier New" w:hAnsi="Courier New"/>
                <w:sz w:val="16"/>
                <w:szCs w:val="16"/>
                <w:color w:val="auto"/>
              </w:rPr>
              <w:t>Principal payments on mortgages</w:t>
            </w:r>
          </w:p>
        </w:tc>
        <w:tc>
          <w:tcPr>
            <w:tcW w:w="13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 (28,725)</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$(59,421)</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Proceeds received on mortgage notes</w:t>
            </w:r>
          </w:p>
        </w:tc>
        <w:tc>
          <w:tcPr>
            <w:tcW w:w="180" w:type="dxa"/>
            <w:vAlign w:val="bottom"/>
          </w:tcPr>
          <w:p>
            <w:pPr>
              <w:spacing w:after="0"/>
              <w:rPr>
                <w:sz w:val="15"/>
                <w:szCs w:val="15"/>
                <w:color w:val="auto"/>
              </w:rPr>
            </w:pP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23,000</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41,000</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Payment of deferred financing and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8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other costs</w:t>
            </w:r>
          </w:p>
        </w:tc>
        <w:tc>
          <w:tcPr>
            <w:tcW w:w="180" w:type="dxa"/>
            <w:vAlign w:val="bottom"/>
          </w:tcPr>
          <w:p>
            <w:pPr>
              <w:spacing w:after="0"/>
              <w:rPr>
                <w:sz w:val="15"/>
                <w:szCs w:val="15"/>
                <w:color w:val="auto"/>
              </w:rPr>
            </w:pP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(1,066)</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Dividends paid</w:t>
            </w:r>
          </w:p>
        </w:tc>
        <w:tc>
          <w:tcPr>
            <w:tcW w:w="180" w:type="dxa"/>
            <w:vAlign w:val="bottom"/>
          </w:tcPr>
          <w:p>
            <w:pPr>
              <w:spacing w:after="0"/>
              <w:rPr>
                <w:sz w:val="15"/>
                <w:szCs w:val="15"/>
                <w:color w:val="auto"/>
              </w:rPr>
            </w:pP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(3,374)</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(3,089)</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Distributions to minority interests in</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Operating Partnership</w:t>
            </w:r>
          </w:p>
        </w:tc>
        <w:tc>
          <w:tcPr>
            <w:tcW w:w="180" w:type="dxa"/>
            <w:vAlign w:val="bottom"/>
          </w:tcPr>
          <w:p>
            <w:pPr>
              <w:spacing w:after="0"/>
              <w:rPr>
                <w:sz w:val="15"/>
                <w:szCs w:val="15"/>
                <w:color w:val="auto"/>
              </w:rPr>
            </w:pP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(817)</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(1,258)</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Distributions on preferred Operating</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Partnership Units</w:t>
            </w:r>
          </w:p>
        </w:tc>
        <w:tc>
          <w:tcPr>
            <w:tcW w:w="180" w:type="dxa"/>
            <w:vAlign w:val="bottom"/>
          </w:tcPr>
          <w:p>
            <w:pPr>
              <w:spacing w:after="0"/>
              <w:rPr>
                <w:sz w:val="15"/>
                <w:szCs w:val="15"/>
                <w:color w:val="auto"/>
              </w:rPr>
            </w:pP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(50)</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Repurchase of Common Shares</w:t>
            </w:r>
          </w:p>
        </w:tc>
        <w:tc>
          <w:tcPr>
            <w:tcW w:w="180" w:type="dxa"/>
            <w:vAlign w:val="bottom"/>
          </w:tcPr>
          <w:p>
            <w:pPr>
              <w:spacing w:after="0"/>
              <w:rPr>
                <w:sz w:val="15"/>
                <w:szCs w:val="15"/>
                <w:color w:val="auto"/>
              </w:rPr>
            </w:pP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(842)</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(2,446)</w:t>
            </w:r>
          </w:p>
        </w:tc>
      </w:tr>
      <w:tr>
        <w:trPr>
          <w:trHeight w:val="179"/>
        </w:trPr>
        <w:tc>
          <w:tcPr>
            <w:tcW w:w="4840" w:type="dxa"/>
            <w:vAlign w:val="bottom"/>
          </w:tcPr>
          <w:p>
            <w:pPr>
              <w:spacing w:after="0"/>
              <w:rPr>
                <w:sz w:val="15"/>
                <w:szCs w:val="15"/>
                <w:color w:val="auto"/>
              </w:rPr>
            </w:pPr>
          </w:p>
        </w:tc>
        <w:tc>
          <w:tcPr>
            <w:tcW w:w="13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840" w:type="dxa"/>
            <w:vAlign w:val="bottom"/>
          </w:tcPr>
          <w:p>
            <w:pPr>
              <w:spacing w:after="0"/>
              <w:rPr>
                <w:sz w:val="20"/>
                <w:szCs w:val="20"/>
                <w:color w:val="auto"/>
              </w:rPr>
            </w:pPr>
            <w:r>
              <w:rPr>
                <w:rFonts w:ascii="Courier New" w:cs="Courier New" w:eastAsia="Courier New" w:hAnsi="Courier New"/>
                <w:sz w:val="16"/>
                <w:szCs w:val="16"/>
                <w:color w:val="auto"/>
              </w:rPr>
              <w:t>Net cash used in financing activities</w:t>
            </w:r>
          </w:p>
        </w:tc>
        <w:tc>
          <w:tcPr>
            <w:tcW w:w="180" w:type="dxa"/>
            <w:vAlign w:val="bottom"/>
          </w:tcPr>
          <w:p>
            <w:pPr>
              <w:spacing w:after="0"/>
              <w:rPr>
                <w:sz w:val="24"/>
                <w:szCs w:val="24"/>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(10,826)</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(26,303)</w:t>
            </w:r>
          </w:p>
        </w:tc>
      </w:tr>
      <w:tr>
        <w:trPr>
          <w:trHeight w:val="179"/>
        </w:trPr>
        <w:tc>
          <w:tcPr>
            <w:tcW w:w="4840" w:type="dxa"/>
            <w:vAlign w:val="bottom"/>
          </w:tcPr>
          <w:p>
            <w:pPr>
              <w:spacing w:after="0"/>
              <w:rPr>
                <w:sz w:val="15"/>
                <w:szCs w:val="15"/>
                <w:color w:val="auto"/>
              </w:rPr>
            </w:pPr>
          </w:p>
        </w:tc>
        <w:tc>
          <w:tcPr>
            <w:tcW w:w="13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840" w:type="dxa"/>
            <w:vAlign w:val="bottom"/>
          </w:tcPr>
          <w:p>
            <w:pPr>
              <w:spacing w:after="0"/>
              <w:rPr>
                <w:sz w:val="20"/>
                <w:szCs w:val="20"/>
                <w:color w:val="auto"/>
              </w:rPr>
            </w:pPr>
            <w:r>
              <w:rPr>
                <w:rFonts w:ascii="Courier New" w:cs="Courier New" w:eastAsia="Courier New" w:hAnsi="Courier New"/>
                <w:sz w:val="16"/>
                <w:szCs w:val="16"/>
                <w:color w:val="auto"/>
              </w:rPr>
              <w:t>Decrease in cash and cash equivalents</w:t>
            </w:r>
          </w:p>
        </w:tc>
        <w:tc>
          <w:tcPr>
            <w:tcW w:w="180" w:type="dxa"/>
            <w:vAlign w:val="bottom"/>
          </w:tcPr>
          <w:p>
            <w:pPr>
              <w:spacing w:after="0"/>
              <w:rPr>
                <w:sz w:val="24"/>
                <w:szCs w:val="24"/>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(6,462)</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(22,137)</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beginning of period</w:t>
            </w:r>
          </w:p>
        </w:tc>
        <w:tc>
          <w:tcPr>
            <w:tcW w:w="180" w:type="dxa"/>
            <w:vAlign w:val="bottom"/>
          </w:tcPr>
          <w:p>
            <w:pPr>
              <w:spacing w:after="0"/>
              <w:rPr>
                <w:sz w:val="15"/>
                <w:szCs w:val="15"/>
                <w:color w:val="auto"/>
              </w:rPr>
            </w:pP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22,167</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35,340</w:t>
            </w:r>
          </w:p>
        </w:tc>
      </w:tr>
      <w:tr>
        <w:trPr>
          <w:trHeight w:val="179"/>
        </w:trPr>
        <w:tc>
          <w:tcPr>
            <w:tcW w:w="4840" w:type="dxa"/>
            <w:vAlign w:val="bottom"/>
          </w:tcPr>
          <w:p>
            <w:pPr>
              <w:spacing w:after="0"/>
              <w:rPr>
                <w:sz w:val="15"/>
                <w:szCs w:val="15"/>
                <w:color w:val="auto"/>
              </w:rPr>
            </w:pPr>
          </w:p>
        </w:tc>
        <w:tc>
          <w:tcPr>
            <w:tcW w:w="13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84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15,705</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$ 13,203</w:t>
            </w:r>
          </w:p>
        </w:tc>
      </w:tr>
      <w:tr>
        <w:trPr>
          <w:trHeight w:val="179"/>
        </w:trPr>
        <w:tc>
          <w:tcPr>
            <w:tcW w:w="4840" w:type="dxa"/>
            <w:vAlign w:val="bottom"/>
          </w:tcPr>
          <w:p>
            <w:pPr>
              <w:spacing w:after="0"/>
              <w:rPr>
                <w:sz w:val="15"/>
                <w:szCs w:val="15"/>
                <w:color w:val="auto"/>
              </w:rPr>
            </w:pPr>
          </w:p>
        </w:tc>
        <w:tc>
          <w:tcPr>
            <w:tcW w:w="13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840" w:type="dxa"/>
            <w:vAlign w:val="bottom"/>
          </w:tcPr>
          <w:p>
            <w:pPr>
              <w:spacing w:after="0"/>
              <w:rPr>
                <w:sz w:val="20"/>
                <w:szCs w:val="20"/>
                <w:color w:val="auto"/>
              </w:rPr>
            </w:pPr>
            <w:r>
              <w:rPr>
                <w:rFonts w:ascii="Courier New" w:cs="Courier New" w:eastAsia="Courier New" w:hAnsi="Courier New"/>
                <w:sz w:val="16"/>
                <w:szCs w:val="16"/>
                <w:color w:val="auto"/>
              </w:rPr>
              <w:t>Supplemental disclosure of cash flow information:</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9"/>
        </w:trPr>
        <w:tc>
          <w:tcPr>
            <w:tcW w:w="48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Cash paid during the period for interest, net of</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8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amounts capitalized of $52 and $169,</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8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respectively</w:t>
            </w: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5,488</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6,360</w:t>
            </w:r>
          </w:p>
        </w:tc>
      </w:tr>
      <w:tr>
        <w:trPr>
          <w:trHeight w:val="179"/>
        </w:trPr>
        <w:tc>
          <w:tcPr>
            <w:tcW w:w="4840" w:type="dxa"/>
            <w:vAlign w:val="bottom"/>
          </w:tcPr>
          <w:p>
            <w:pPr>
              <w:spacing w:after="0"/>
              <w:rPr>
                <w:sz w:val="15"/>
                <w:szCs w:val="15"/>
                <w:color w:val="auto"/>
              </w:rPr>
            </w:pPr>
          </w:p>
        </w:tc>
        <w:tc>
          <w:tcPr>
            <w:tcW w:w="134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See accompanying notes</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69" w:right="1440" w:bottom="1440" w:gutter="0" w:footer="0" w:header="0"/>
        </w:sectPr>
      </w:pPr>
    </w:p>
    <w:bookmarkStart w:id="6" w:name="page7"/>
    <w:bookmarkEnd w:id="6"/>
    <w:p>
      <w:pPr>
        <w:jc w:val="center"/>
        <w:ind w:right="2779"/>
        <w:spacing w:after="0"/>
        <w:rPr>
          <w:sz w:val="20"/>
          <w:szCs w:val="20"/>
          <w:color w:val="auto"/>
        </w:rPr>
      </w:pPr>
      <w:r>
        <w:rPr>
          <w:rFonts w:ascii="Courier New" w:cs="Courier New" w:eastAsia="Courier New" w:hAnsi="Courier New"/>
          <w:sz w:val="16"/>
          <w:szCs w:val="16"/>
          <w:color w:val="auto"/>
        </w:rPr>
        <w:t>ACADIA REALTY TRUST AND SUBSIDIARIES</w:t>
      </w:r>
    </w:p>
    <w:p>
      <w:pPr>
        <w:jc w:val="center"/>
        <w:ind w:right="2779"/>
        <w:spacing w:after="0" w:line="236" w:lineRule="auto"/>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7" w:lineRule="auto"/>
        <w:rPr>
          <w:sz w:val="20"/>
          <w:szCs w:val="20"/>
          <w:color w:val="auto"/>
        </w:rPr>
      </w:pPr>
      <w:r>
        <w:rPr>
          <w:rFonts w:ascii="Courier New" w:cs="Courier New" w:eastAsia="Courier New" w:hAnsi="Courier New"/>
          <w:sz w:val="16"/>
          <w:szCs w:val="16"/>
          <w:color w:val="auto"/>
        </w:rPr>
        <w:t>(in thousands, except per share amounts)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THE COMPANY</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Acadia Realty Trust (the "Company") is a fully integrated and self-managed real estate investment trust ("REIT") focused primarily on the ownership, acquisition, redevelopment and management of neighborhood and community shopping centers, and multi-family properties.</w:t>
      </w:r>
    </w:p>
    <w:p>
      <w:pPr>
        <w:spacing w:after="0" w:line="185" w:lineRule="exact"/>
        <w:rPr>
          <w:sz w:val="20"/>
          <w:szCs w:val="20"/>
          <w:color w:val="auto"/>
        </w:rPr>
      </w:pPr>
    </w:p>
    <w:p>
      <w:pPr>
        <w:jc w:val="both"/>
        <w:ind w:right="2779"/>
        <w:spacing w:after="0" w:line="279" w:lineRule="auto"/>
        <w:rPr>
          <w:sz w:val="20"/>
          <w:szCs w:val="20"/>
          <w:color w:val="auto"/>
        </w:rPr>
      </w:pPr>
      <w:r>
        <w:rPr>
          <w:rFonts w:ascii="Courier New" w:cs="Courier New" w:eastAsia="Courier New" w:hAnsi="Courier New"/>
          <w:sz w:val="14"/>
          <w:szCs w:val="14"/>
          <w:color w:val="auto"/>
        </w:rPr>
        <w:t>All of the Company's assets are held by, and all of its operations are conducted through, Acadia Realty Limited Partnership (the "Operating Partnership") and its majority-owned partnerships. As of March 31, 2001, the Company controlled 81% of the Operating Partnership as the sole general partner.</w:t>
      </w:r>
    </w:p>
    <w:p>
      <w:pPr>
        <w:spacing w:after="0" w:line="157"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The Company currently operates fifty-seven properties, which it owns or has an ownership interest in, consisting of forty-seven neighborhood and community shopping centers, four redevelopment properties, one enclosed mall and five multi-family properties, all of which are located in the Eastern and Midwestern regions of the United States.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BASIS OF PRESENTATION</w:t>
      </w:r>
    </w:p>
    <w:p>
      <w:pPr>
        <w:spacing w:after="0" w:line="183"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The consolidated financial statements include the consolidated accounts of the Company and its majority owned partnerships, including the Operating Partnership, and have been prepared in accordance with accounting principles generally accepted in the United States for interim financial information and with the instructions to Form 10-Q and Article 10 of Regulation S-X. Accordingly, they do not include all of the information and footnotes required by accounting principles generally accepted in the United States for complete financial statements. Non-controlling investments in partnerships are accounted for under the equity method of accounting as the Company exercises significant influence. The information furnished in the accompanying consolidated financial statements reflects all adjustments which are, in the opinion of management, necessary for a fair presentation of the aforementioned consolidated financial statements for the interim periods. The preparation of the consolidated financial statements in conformity with accounting principles generally accepted in the United States requires management to make estimates and assumptions that affect the amounts reported in the consolidated financial statements and accompanying notes. Actual results could differ from these estimates. Operating results for the three month period ended March 31, 2001 are not necessarily indicative of the results that may be expected for the fiscal year ending December 31, 2001. For further information refer to the consolidated financial statements and accompanying footnotes included in the Company's Annual Report on Form 10-K for the year ended December 31, 2000.</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RECENT ACCOUNTING PRONOUNCEMENTS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June 1998, the Financial Accounting Standards Board (the "FASB") issued Statement No. 133, "Accounting for Derivative Instruments and Hedging Activities" (the "Statement"). In June 1999, the FASB issued Statement No. 137, which deferred the effective date of Statement No. 133 requiring it to be adopted for all fiscal quarters of all fiscal years beginning after June 15, 2000. The Company adopted the Statement effective January 1, 2001. The Statement requires the Company to recognize all derivatives on the balance sheet at fair value. Derivatives that are not hedges must be adjusted to fair value through income. If a derivative is a hedge, depending on the nature of the hedge, changes in the fair value of the derivative will either be offset against the change in fair value of the hedged asset, liability, or firm commitment through earnings, or recognized in other comprehensive income until the hedged item is recognized in earnings. The ineffective portion of a derivative's change in fair value will be immediately recognized in earnings.</w:t>
      </w:r>
    </w:p>
    <w:p>
      <w:pPr>
        <w:spacing w:after="0" w:line="188"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connection with the adoption of the Statement, the Company recorded a transition adjustment of $149 related to the January 1, 2001 valuation of two LIBOR rate caps which hedge $23.6 million of variable-rate mortgage debt. This adjustment is reflected as a cumulative effect of a change in accounting principal in the accompanying financial statements. The Company is also a party to two swap agreements with a bank through its 49% interest in the Crossroads Joint Venture and Crossroads II Joint Venture (see note 5). These swap agreements effectively fix the interest rate on the Company's pro rata share, or $16.9 million, of the joint venture mortgage debt. The Company recorded a $596 unrealized loss in other comprehensive income which reflects its pro rata share of the adjustment to fair value for the two swap agreements as of March 31, 2001.</w:t>
      </w:r>
    </w:p>
    <w:p>
      <w:pPr>
        <w:spacing w:after="0" w:line="18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69" w:right="1440" w:bottom="1440" w:gutter="0" w:footer="0" w:header="0"/>
        </w:sectPr>
      </w:pPr>
    </w:p>
    <w:bookmarkStart w:id="7" w:name="page8"/>
    <w:bookmarkEnd w:id="7"/>
    <w:p>
      <w:pPr>
        <w:jc w:val="center"/>
        <w:ind w:right="2775"/>
        <w:spacing w:after="0"/>
        <w:rPr>
          <w:sz w:val="20"/>
          <w:szCs w:val="20"/>
          <w:color w:val="auto"/>
        </w:rPr>
      </w:pPr>
      <w:r>
        <w:rPr>
          <w:rFonts w:ascii="Courier New" w:cs="Courier New" w:eastAsia="Courier New" w:hAnsi="Courier New"/>
          <w:sz w:val="16"/>
          <w:szCs w:val="16"/>
          <w:color w:val="auto"/>
        </w:rPr>
        <w:t>ACADIA REALTY TRUST AND SUBSIDIARIES</w:t>
      </w:r>
    </w:p>
    <w:p>
      <w:pPr>
        <w:jc w:val="center"/>
        <w:ind w:right="2775"/>
        <w:spacing w:after="0" w:line="236" w:lineRule="auto"/>
        <w:rPr>
          <w:sz w:val="20"/>
          <w:szCs w:val="20"/>
          <w:color w:val="auto"/>
        </w:rPr>
      </w:pPr>
      <w:r>
        <w:rPr>
          <w:rFonts w:ascii="Courier New" w:cs="Courier New" w:eastAsia="Courier New" w:hAnsi="Courier New"/>
          <w:sz w:val="16"/>
          <w:szCs w:val="16"/>
          <w:color w:val="auto"/>
        </w:rPr>
        <w:t>NOTES TO CONSOLIDATED FINANCIAL STATEMENTS</w:t>
      </w:r>
    </w:p>
    <w:p>
      <w:pPr>
        <w:jc w:val="center"/>
        <w:ind w:right="2775"/>
        <w:spacing w:after="0" w:line="237" w:lineRule="auto"/>
        <w:rPr>
          <w:sz w:val="20"/>
          <w:szCs w:val="20"/>
          <w:color w:val="auto"/>
        </w:rPr>
      </w:pPr>
      <w:r>
        <w:rPr>
          <w:rFonts w:ascii="Courier New" w:cs="Courier New" w:eastAsia="Courier New" w:hAnsi="Courier New"/>
          <w:sz w:val="16"/>
          <w:szCs w:val="16"/>
          <w:color w:val="auto"/>
        </w:rPr>
        <w:t>(in thousands, except per share amounts)</w:t>
      </w:r>
    </w:p>
    <w:p>
      <w:pPr>
        <w:spacing w:after="0" w:line="35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4. SHAREHOLDERS' EQUITY AND MINORITY INTERESTS</w:t>
      </w:r>
    </w:p>
    <w:p>
      <w:pPr>
        <w:spacing w:after="0" w:line="183" w:lineRule="exact"/>
        <w:rPr>
          <w:sz w:val="20"/>
          <w:szCs w:val="20"/>
          <w:color w:val="auto"/>
        </w:rPr>
      </w:pPr>
    </w:p>
    <w:p>
      <w:pPr>
        <w:ind w:left="5" w:right="3439"/>
        <w:spacing w:after="0" w:line="234" w:lineRule="auto"/>
        <w:rPr>
          <w:sz w:val="20"/>
          <w:szCs w:val="20"/>
          <w:color w:val="auto"/>
        </w:rPr>
      </w:pPr>
      <w:r>
        <w:rPr>
          <w:rFonts w:ascii="Courier New" w:cs="Courier New" w:eastAsia="Courier New" w:hAnsi="Courier New"/>
          <w:sz w:val="16"/>
          <w:szCs w:val="16"/>
          <w:color w:val="auto"/>
        </w:rPr>
        <w:t>The following table summarizes the change in the shareholders' equity and minority interests since December 31, 2000:</w:t>
      </w:r>
    </w:p>
    <w:p>
      <w:pPr>
        <w:spacing w:after="0" w:line="356"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3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20" w:type="dxa"/>
            <w:vAlign w:val="bottom"/>
          </w:tcPr>
          <w:p>
            <w:pPr>
              <w:ind w:left="380"/>
              <w:spacing w:after="0"/>
              <w:rPr>
                <w:sz w:val="20"/>
                <w:szCs w:val="20"/>
                <w:color w:val="auto"/>
              </w:rPr>
            </w:pPr>
            <w:r>
              <w:rPr>
                <w:rFonts w:ascii="Courier New" w:cs="Courier New" w:eastAsia="Courier New" w:hAnsi="Courier New"/>
                <w:sz w:val="16"/>
                <w:szCs w:val="16"/>
                <w:color w:val="auto"/>
              </w:rPr>
              <w:t>Minority</w:t>
            </w:r>
          </w:p>
        </w:tc>
        <w:tc>
          <w:tcPr>
            <w:tcW w:w="320" w:type="dxa"/>
            <w:vAlign w:val="bottom"/>
          </w:tcPr>
          <w:p>
            <w:pPr>
              <w:spacing w:after="0"/>
              <w:rPr>
                <w:sz w:val="15"/>
                <w:szCs w:val="15"/>
                <w:color w:val="auto"/>
              </w:rPr>
            </w:pP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6"/>
              </w:rPr>
              <w:t>Minority</w:t>
            </w:r>
          </w:p>
        </w:tc>
      </w:tr>
      <w:tr>
        <w:trPr>
          <w:trHeight w:val="179"/>
        </w:trPr>
        <w:tc>
          <w:tcPr>
            <w:tcW w:w="43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interests in</w:t>
            </w:r>
          </w:p>
        </w:tc>
        <w:tc>
          <w:tcPr>
            <w:tcW w:w="14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interests in</w:t>
            </w:r>
          </w:p>
        </w:tc>
      </w:tr>
      <w:tr>
        <w:trPr>
          <w:trHeight w:val="179"/>
        </w:trPr>
        <w:tc>
          <w:tcPr>
            <w:tcW w:w="4360" w:type="dxa"/>
            <w:vAlign w:val="bottom"/>
          </w:tcPr>
          <w:p>
            <w:pPr>
              <w:spacing w:after="0"/>
              <w:rPr>
                <w:sz w:val="15"/>
                <w:szCs w:val="15"/>
                <w:color w:val="auto"/>
              </w:rPr>
            </w:pPr>
          </w:p>
        </w:tc>
        <w:tc>
          <w:tcPr>
            <w:tcW w:w="19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Shareholders'</w:t>
            </w:r>
          </w:p>
        </w:tc>
        <w:tc>
          <w:tcPr>
            <w:tcW w:w="172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Operating</w:t>
            </w:r>
          </w:p>
        </w:tc>
        <w:tc>
          <w:tcPr>
            <w:tcW w:w="14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majority-owned</w:t>
            </w:r>
          </w:p>
        </w:tc>
      </w:tr>
      <w:tr>
        <w:trPr>
          <w:trHeight w:val="179"/>
        </w:trPr>
        <w:tc>
          <w:tcPr>
            <w:tcW w:w="4360" w:type="dxa"/>
            <w:vAlign w:val="bottom"/>
          </w:tcPr>
          <w:p>
            <w:pPr>
              <w:spacing w:after="0"/>
              <w:rPr>
                <w:sz w:val="15"/>
                <w:szCs w:val="15"/>
                <w:color w:val="auto"/>
              </w:rPr>
            </w:pPr>
          </w:p>
        </w:tc>
        <w:tc>
          <w:tcPr>
            <w:tcW w:w="19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equity</w:t>
            </w:r>
          </w:p>
        </w:tc>
        <w:tc>
          <w:tcPr>
            <w:tcW w:w="17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Partnership(1)</w:t>
            </w:r>
          </w:p>
        </w:tc>
        <w:tc>
          <w:tcPr>
            <w:tcW w:w="14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partnerships</w:t>
            </w:r>
          </w:p>
        </w:tc>
      </w:tr>
      <w:tr>
        <w:trPr>
          <w:trHeight w:val="179"/>
        </w:trPr>
        <w:tc>
          <w:tcPr>
            <w:tcW w:w="4360" w:type="dxa"/>
            <w:vAlign w:val="bottom"/>
          </w:tcPr>
          <w:p>
            <w:pPr>
              <w:spacing w:after="0"/>
              <w:rPr>
                <w:sz w:val="15"/>
                <w:szCs w:val="15"/>
                <w:color w:val="auto"/>
              </w:rPr>
            </w:pPr>
          </w:p>
        </w:tc>
        <w:tc>
          <w:tcPr>
            <w:tcW w:w="19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360" w:type="dxa"/>
            <w:vAlign w:val="bottom"/>
          </w:tcPr>
          <w:p>
            <w:pPr>
              <w:spacing w:after="0"/>
              <w:rPr>
                <w:sz w:val="20"/>
                <w:szCs w:val="20"/>
                <w:color w:val="auto"/>
              </w:rPr>
            </w:pPr>
            <w:r>
              <w:rPr>
                <w:rFonts w:ascii="Courier New" w:cs="Courier New" w:eastAsia="Courier New" w:hAnsi="Courier New"/>
                <w:sz w:val="16"/>
                <w:szCs w:val="16"/>
                <w:color w:val="auto"/>
              </w:rPr>
              <w:t>Balance at December 31, 2000</w:t>
            </w:r>
          </w:p>
        </w:tc>
        <w:tc>
          <w:tcPr>
            <w:tcW w:w="19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$179,317</w:t>
            </w:r>
          </w:p>
        </w:tc>
        <w:tc>
          <w:tcPr>
            <w:tcW w:w="17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$48,959</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2,197</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Repurchase of Common Shares</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(842)</w:t>
            </w:r>
          </w:p>
        </w:tc>
        <w:tc>
          <w:tcPr>
            <w:tcW w:w="172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Dividends and distributions declared</w:t>
            </w:r>
          </w:p>
        </w:tc>
        <w:tc>
          <w:tcPr>
            <w:tcW w:w="1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of $0.12 per Common Share and</w:t>
            </w:r>
          </w:p>
        </w:tc>
        <w:tc>
          <w:tcPr>
            <w:tcW w:w="1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Operating Partnership Unit</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(3,361)</w:t>
            </w:r>
          </w:p>
        </w:tc>
        <w:tc>
          <w:tcPr>
            <w:tcW w:w="17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(817)</w:t>
            </w:r>
          </w:p>
        </w:tc>
        <w:tc>
          <w:tcPr>
            <w:tcW w:w="320" w:type="dxa"/>
            <w:vAlign w:val="bottom"/>
          </w:tcPr>
          <w:p>
            <w:pPr>
              <w:spacing w:after="0"/>
              <w:rPr>
                <w:sz w:val="15"/>
                <w:szCs w:val="15"/>
                <w:color w:val="auto"/>
              </w:rPr>
            </w:pP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for the period January 1</w:t>
            </w:r>
          </w:p>
        </w:tc>
        <w:tc>
          <w:tcPr>
            <w:tcW w:w="1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3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through March 31, 2001</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1,583</w:t>
            </w:r>
          </w:p>
        </w:tc>
        <w:tc>
          <w:tcPr>
            <w:tcW w:w="172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379</w:t>
            </w:r>
          </w:p>
        </w:tc>
        <w:tc>
          <w:tcPr>
            <w:tcW w:w="320" w:type="dxa"/>
            <w:vAlign w:val="bottom"/>
          </w:tcPr>
          <w:p>
            <w:pPr>
              <w:spacing w:after="0"/>
              <w:rPr>
                <w:sz w:val="15"/>
                <w:szCs w:val="15"/>
                <w:color w:val="auto"/>
              </w:rPr>
            </w:pP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436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comprehensive income - Unrealized</w:t>
            </w:r>
          </w:p>
        </w:tc>
        <w:tc>
          <w:tcPr>
            <w:tcW w:w="1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loss on valuation of swap agreements from</w:t>
            </w:r>
          </w:p>
        </w:tc>
        <w:tc>
          <w:tcPr>
            <w:tcW w:w="19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3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unconsolidated partnerships</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(596)</w:t>
            </w:r>
          </w:p>
        </w:tc>
        <w:tc>
          <w:tcPr>
            <w:tcW w:w="172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360" w:type="dxa"/>
            <w:vAlign w:val="bottom"/>
          </w:tcPr>
          <w:p>
            <w:pPr>
              <w:spacing w:after="0"/>
              <w:rPr>
                <w:sz w:val="15"/>
                <w:szCs w:val="15"/>
                <w:color w:val="auto"/>
              </w:rPr>
            </w:pP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Balance at March 31, 2001</w:t>
            </w:r>
          </w:p>
        </w:tc>
        <w:tc>
          <w:tcPr>
            <w:tcW w:w="19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$176,101</w:t>
            </w:r>
          </w:p>
        </w:tc>
        <w:tc>
          <w:tcPr>
            <w:tcW w:w="17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$48,521</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2,208</w:t>
            </w:r>
          </w:p>
        </w:tc>
      </w:tr>
      <w:tr>
        <w:trPr>
          <w:trHeight w:val="179"/>
        </w:trPr>
        <w:tc>
          <w:tcPr>
            <w:tcW w:w="4360" w:type="dxa"/>
            <w:vAlign w:val="bottom"/>
          </w:tcPr>
          <w:p>
            <w:pPr>
              <w:spacing w:after="0"/>
              <w:rPr>
                <w:sz w:val="15"/>
                <w:szCs w:val="15"/>
                <w:color w:val="auto"/>
              </w:rPr>
            </w:pP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jc w:val="both"/>
        <w:ind w:left="365" w:right="3059" w:hanging="365"/>
        <w:spacing w:after="0" w:line="295" w:lineRule="auto"/>
        <w:tabs>
          <w:tab w:leader="none" w:pos="36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attributable to minority interest in Operating Partnership and distributions do not include a distribution on Preferred OP Units of $50.</w:t>
      </w:r>
    </w:p>
    <w:p>
      <w:pPr>
        <w:spacing w:after="0" w:line="147"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Minority interests in Operating Partnership represent the limited partners' interest of 6,804,144 and 10,484,143 units in the Operating Partnership ("Common OP Units") at March 31, 2001 and 2000, respectively, and 2,212 units of preferred limited partnership interests ("Preferred OP Units"), with a nominal value of $1,000 per unit, which are entitled to a preferred quarterly distribution of $22.50 per unit (9% annually). Minority interests in majority-owned partnerships represent interests held by third parties in four partnerships in which the Company has a majority ownership position.</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5. INVESTMENT IN PARTNERSHIPS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The Company owns a 49% interest in the Crossroads Joint Venture and Crossroads</w:t>
      </w:r>
    </w:p>
    <w:p>
      <w:pPr>
        <w:spacing w:after="0" w:line="4" w:lineRule="exact"/>
        <w:rPr>
          <w:sz w:val="20"/>
          <w:szCs w:val="20"/>
          <w:color w:val="auto"/>
        </w:rPr>
      </w:pPr>
    </w:p>
    <w:p>
      <w:pPr>
        <w:ind w:left="5" w:right="3059" w:hanging="5"/>
        <w:spacing w:after="0" w:line="283" w:lineRule="auto"/>
        <w:tabs>
          <w:tab w:leader="none" w:pos="28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Joint Venture (collectively "Crossroads") and accounts for this investment using the equity method. Summary financial information of Crossroads and the Company's investment in and share of income from Crossroads follows:</w:t>
      </w:r>
    </w:p>
    <w:p>
      <w:pPr>
        <w:spacing w:after="0" w:line="148"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620" w:type="dxa"/>
            <w:vAlign w:val="bottom"/>
          </w:tcPr>
          <w:p>
            <w:pPr>
              <w:spacing w:after="0"/>
              <w:rPr>
                <w:sz w:val="15"/>
                <w:szCs w:val="15"/>
                <w:color w:val="auto"/>
              </w:rPr>
            </w:pPr>
          </w:p>
        </w:tc>
        <w:tc>
          <w:tcPr>
            <w:tcW w:w="2380" w:type="dxa"/>
            <w:vAlign w:val="bottom"/>
            <w:gridSpan w:val="2"/>
          </w:tcPr>
          <w:p>
            <w:pPr>
              <w:ind w:left="1300"/>
              <w:spacing w:after="0"/>
              <w:rPr>
                <w:sz w:val="20"/>
                <w:szCs w:val="20"/>
                <w:color w:val="auto"/>
              </w:rPr>
            </w:pPr>
            <w:r>
              <w:rPr>
                <w:rFonts w:ascii="Courier New" w:cs="Courier New" w:eastAsia="Courier New" w:hAnsi="Courier New"/>
                <w:sz w:val="16"/>
                <w:szCs w:val="16"/>
                <w:color w:val="auto"/>
              </w:rPr>
              <w:t>March 31,</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3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2001</w:t>
            </w:r>
          </w:p>
        </w:tc>
        <w:tc>
          <w:tcPr>
            <w:tcW w:w="500" w:type="dxa"/>
            <w:vAlign w:val="bottom"/>
          </w:tcPr>
          <w:p>
            <w:pPr>
              <w:spacing w:after="0"/>
              <w:rPr>
                <w:sz w:val="15"/>
                <w:szCs w:val="15"/>
                <w:color w:val="auto"/>
              </w:rPr>
            </w:pP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3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5"/>
                <w:szCs w:val="15"/>
                <w:color w:val="auto"/>
              </w:rPr>
            </w:pP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Sheet</w:t>
            </w:r>
          </w:p>
        </w:tc>
        <w:tc>
          <w:tcPr>
            <w:tcW w:w="1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Assets:</w:t>
            </w:r>
          </w:p>
        </w:tc>
        <w:tc>
          <w:tcPr>
            <w:tcW w:w="1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Rental property, net</w:t>
            </w:r>
          </w:p>
        </w:tc>
        <w:tc>
          <w:tcPr>
            <w:tcW w:w="1400" w:type="dxa"/>
            <w:vAlign w:val="bottom"/>
          </w:tcPr>
          <w:p>
            <w:pPr>
              <w:ind w:left="1300"/>
              <w:spacing w:after="0" w:line="179" w:lineRule="exact"/>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8,018</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8,446</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1400" w:type="dxa"/>
            <w:vAlign w:val="bottom"/>
          </w:tcPr>
          <w:p>
            <w:pPr>
              <w:spacing w:after="0"/>
              <w:rPr>
                <w:sz w:val="15"/>
                <w:szCs w:val="15"/>
                <w:color w:val="auto"/>
              </w:rPr>
            </w:pP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3,984</w:t>
            </w:r>
          </w:p>
        </w:tc>
        <w:tc>
          <w:tcPr>
            <w:tcW w:w="50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4,655</w:t>
            </w:r>
          </w:p>
        </w:tc>
      </w:tr>
      <w:tr>
        <w:trPr>
          <w:trHeight w:val="179"/>
        </w:trPr>
        <w:tc>
          <w:tcPr>
            <w:tcW w:w="3620" w:type="dxa"/>
            <w:vAlign w:val="bottom"/>
          </w:tcPr>
          <w:p>
            <w:pPr>
              <w:spacing w:after="0"/>
              <w:rPr>
                <w:sz w:val="15"/>
                <w:szCs w:val="15"/>
                <w:color w:val="auto"/>
              </w:rPr>
            </w:pPr>
          </w:p>
        </w:tc>
        <w:tc>
          <w:tcPr>
            <w:tcW w:w="238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62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238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$ 12,002</w:t>
            </w:r>
          </w:p>
        </w:tc>
        <w:tc>
          <w:tcPr>
            <w:tcW w:w="13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$ 13,101</w:t>
            </w:r>
          </w:p>
        </w:tc>
      </w:tr>
      <w:tr>
        <w:trPr>
          <w:trHeight w:val="179"/>
        </w:trPr>
        <w:tc>
          <w:tcPr>
            <w:tcW w:w="3620" w:type="dxa"/>
            <w:vAlign w:val="bottom"/>
          </w:tcPr>
          <w:p>
            <w:pPr>
              <w:spacing w:after="0"/>
              <w:rPr>
                <w:sz w:val="15"/>
                <w:szCs w:val="15"/>
                <w:color w:val="auto"/>
              </w:rPr>
            </w:pPr>
          </w:p>
        </w:tc>
        <w:tc>
          <w:tcPr>
            <w:tcW w:w="238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620" w:type="dxa"/>
            <w:vAlign w:val="bottom"/>
          </w:tcPr>
          <w:p>
            <w:pPr>
              <w:spacing w:after="0"/>
              <w:rPr>
                <w:sz w:val="20"/>
                <w:szCs w:val="20"/>
                <w:color w:val="auto"/>
              </w:rPr>
            </w:pPr>
            <w:r>
              <w:rPr>
                <w:rFonts w:ascii="Courier New" w:cs="Courier New" w:eastAsia="Courier New" w:hAnsi="Courier New"/>
                <w:sz w:val="16"/>
                <w:szCs w:val="16"/>
                <w:color w:val="auto"/>
              </w:rPr>
              <w:t>Liabilities and partners' equity</w:t>
            </w: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Mortgage note payable</w:t>
            </w:r>
          </w:p>
        </w:tc>
        <w:tc>
          <w:tcPr>
            <w:tcW w:w="238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$ 34,519</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$ 34,642</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liabilities</w:t>
            </w:r>
          </w:p>
        </w:tc>
        <w:tc>
          <w:tcPr>
            <w:tcW w:w="1400" w:type="dxa"/>
            <w:vAlign w:val="bottom"/>
          </w:tcPr>
          <w:p>
            <w:pPr>
              <w:spacing w:after="0"/>
              <w:rPr>
                <w:sz w:val="15"/>
                <w:szCs w:val="15"/>
                <w:color w:val="auto"/>
              </w:rPr>
            </w:pP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748</w:t>
            </w:r>
          </w:p>
        </w:tc>
        <w:tc>
          <w:tcPr>
            <w:tcW w:w="50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736</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Partners' equity</w:t>
            </w:r>
          </w:p>
        </w:tc>
        <w:tc>
          <w:tcPr>
            <w:tcW w:w="140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(23,265)</w:t>
            </w:r>
          </w:p>
        </w:tc>
        <w:tc>
          <w:tcPr>
            <w:tcW w:w="50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(22,277)</w:t>
            </w:r>
          </w:p>
        </w:tc>
      </w:tr>
      <w:tr>
        <w:trPr>
          <w:trHeight w:val="179"/>
        </w:trPr>
        <w:tc>
          <w:tcPr>
            <w:tcW w:w="3620" w:type="dxa"/>
            <w:vAlign w:val="bottom"/>
          </w:tcPr>
          <w:p>
            <w:pPr>
              <w:spacing w:after="0"/>
              <w:rPr>
                <w:sz w:val="15"/>
                <w:szCs w:val="15"/>
                <w:color w:val="auto"/>
              </w:rPr>
            </w:pPr>
          </w:p>
        </w:tc>
        <w:tc>
          <w:tcPr>
            <w:tcW w:w="238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620" w:type="dxa"/>
            <w:vAlign w:val="bottom"/>
          </w:tcPr>
          <w:p>
            <w:pPr>
              <w:spacing w:after="0"/>
              <w:rPr>
                <w:sz w:val="20"/>
                <w:szCs w:val="20"/>
                <w:color w:val="auto"/>
              </w:rPr>
            </w:pPr>
            <w:r>
              <w:rPr>
                <w:rFonts w:ascii="Courier New" w:cs="Courier New" w:eastAsia="Courier New" w:hAnsi="Courier New"/>
                <w:sz w:val="16"/>
                <w:szCs w:val="16"/>
                <w:color w:val="auto"/>
                <w:w w:val="98"/>
              </w:rPr>
              <w:t>Total liabilities and partners' equity</w:t>
            </w:r>
          </w:p>
        </w:tc>
        <w:tc>
          <w:tcPr>
            <w:tcW w:w="238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$ 12,002</w:t>
            </w:r>
          </w:p>
        </w:tc>
        <w:tc>
          <w:tcPr>
            <w:tcW w:w="13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$ 13,101</w:t>
            </w:r>
          </w:p>
        </w:tc>
      </w:tr>
      <w:tr>
        <w:trPr>
          <w:trHeight w:val="179"/>
        </w:trPr>
        <w:tc>
          <w:tcPr>
            <w:tcW w:w="3620" w:type="dxa"/>
            <w:vAlign w:val="bottom"/>
          </w:tcPr>
          <w:p>
            <w:pPr>
              <w:spacing w:after="0"/>
              <w:rPr>
                <w:sz w:val="15"/>
                <w:szCs w:val="15"/>
                <w:color w:val="auto"/>
              </w:rPr>
            </w:pPr>
          </w:p>
        </w:tc>
        <w:tc>
          <w:tcPr>
            <w:tcW w:w="238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620" w:type="dxa"/>
            <w:vAlign w:val="bottom"/>
          </w:tcPr>
          <w:p>
            <w:pPr>
              <w:spacing w:after="0"/>
              <w:rPr>
                <w:sz w:val="20"/>
                <w:szCs w:val="20"/>
                <w:color w:val="auto"/>
              </w:rPr>
            </w:pPr>
            <w:r>
              <w:rPr>
                <w:rFonts w:ascii="Courier New" w:cs="Courier New" w:eastAsia="Courier New" w:hAnsi="Courier New"/>
                <w:sz w:val="16"/>
                <w:szCs w:val="16"/>
                <w:color w:val="auto"/>
              </w:rPr>
              <w:t>Company's investment in partnerships</w:t>
            </w:r>
          </w:p>
        </w:tc>
        <w:tc>
          <w:tcPr>
            <w:tcW w:w="1400" w:type="dxa"/>
            <w:vAlign w:val="bottom"/>
          </w:tcPr>
          <w:p>
            <w:pPr>
              <w:ind w:left="130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5,802</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6,784</w:t>
            </w:r>
          </w:p>
        </w:tc>
      </w:tr>
      <w:tr>
        <w:trPr>
          <w:trHeight w:val="179"/>
        </w:trPr>
        <w:tc>
          <w:tcPr>
            <w:tcW w:w="3620" w:type="dxa"/>
            <w:vAlign w:val="bottom"/>
          </w:tcPr>
          <w:p>
            <w:pPr>
              <w:spacing w:after="0"/>
              <w:rPr>
                <w:sz w:val="15"/>
                <w:szCs w:val="15"/>
                <w:color w:val="auto"/>
              </w:rPr>
            </w:pPr>
          </w:p>
        </w:tc>
        <w:tc>
          <w:tcPr>
            <w:tcW w:w="238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620" w:type="dxa"/>
            <w:vAlign w:val="bottom"/>
          </w:tcPr>
          <w:p>
            <w:pPr>
              <w:spacing w:after="0"/>
              <w:rPr>
                <w:sz w:val="24"/>
                <w:szCs w:val="24"/>
                <w:color w:val="auto"/>
              </w:rPr>
            </w:pPr>
          </w:p>
        </w:tc>
        <w:tc>
          <w:tcPr>
            <w:tcW w:w="140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6</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24"/>
          </w:cols>
          <w:pgMar w:left="235" w:top="469" w:right="1440" w:bottom="1440" w:gutter="0" w:footer="0" w:header="0"/>
        </w:sectPr>
      </w:pPr>
    </w:p>
    <w:bookmarkStart w:id="8" w:name="page9"/>
    <w:bookmarkEnd w:id="8"/>
    <w:p>
      <w:pPr>
        <w:jc w:val="center"/>
        <w:ind w:right="2775"/>
        <w:spacing w:after="0"/>
        <w:rPr>
          <w:sz w:val="20"/>
          <w:szCs w:val="20"/>
          <w:color w:val="auto"/>
        </w:rPr>
      </w:pPr>
      <w:r>
        <w:rPr>
          <w:rFonts w:ascii="Courier New" w:cs="Courier New" w:eastAsia="Courier New" w:hAnsi="Courier New"/>
          <w:sz w:val="16"/>
          <w:szCs w:val="16"/>
          <w:color w:val="auto"/>
        </w:rPr>
        <w:t>ACADIA REALTY TRUST AND SUBSIDIARIES</w:t>
      </w:r>
    </w:p>
    <w:p>
      <w:pPr>
        <w:jc w:val="center"/>
        <w:ind w:right="2775"/>
        <w:spacing w:after="0" w:line="236" w:lineRule="auto"/>
        <w:rPr>
          <w:sz w:val="20"/>
          <w:szCs w:val="20"/>
          <w:color w:val="auto"/>
        </w:rPr>
      </w:pPr>
      <w:r>
        <w:rPr>
          <w:rFonts w:ascii="Courier New" w:cs="Courier New" w:eastAsia="Courier New" w:hAnsi="Courier New"/>
          <w:sz w:val="16"/>
          <w:szCs w:val="16"/>
          <w:color w:val="auto"/>
        </w:rPr>
        <w:t>NOTES TO CONSOLIDATED FINANCIAL STATEMENTS</w:t>
      </w:r>
    </w:p>
    <w:p>
      <w:pPr>
        <w:jc w:val="center"/>
        <w:ind w:right="2775"/>
        <w:spacing w:after="0" w:line="237" w:lineRule="auto"/>
        <w:rPr>
          <w:sz w:val="20"/>
          <w:szCs w:val="20"/>
          <w:color w:val="auto"/>
        </w:rPr>
      </w:pPr>
      <w:r>
        <w:rPr>
          <w:rFonts w:ascii="Courier New" w:cs="Courier New" w:eastAsia="Courier New" w:hAnsi="Courier New"/>
          <w:sz w:val="16"/>
          <w:szCs w:val="16"/>
          <w:color w:val="auto"/>
        </w:rPr>
        <w:t>(in thousands, except per share amounts)</w:t>
      </w:r>
    </w:p>
    <w:p>
      <w:pPr>
        <w:spacing w:after="0" w:line="356" w:lineRule="exact"/>
        <w:rPr>
          <w:sz w:val="20"/>
          <w:szCs w:val="20"/>
          <w:color w:val="auto"/>
        </w:rPr>
      </w:pPr>
    </w:p>
    <w:p>
      <w:pPr>
        <w:ind w:left="365" w:hanging="365"/>
        <w:spacing w:after="0"/>
        <w:tabs>
          <w:tab w:leader="none" w:pos="36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IN PARTNERSHIPS, continued</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000" w:type="dxa"/>
            <w:vAlign w:val="bottom"/>
          </w:tcPr>
          <w:p>
            <w:pPr>
              <w:spacing w:after="0"/>
              <w:rPr>
                <w:sz w:val="15"/>
                <w:szCs w:val="15"/>
                <w:color w:val="auto"/>
              </w:rPr>
            </w:pPr>
          </w:p>
        </w:tc>
        <w:tc>
          <w:tcPr>
            <w:tcW w:w="2080" w:type="dxa"/>
            <w:vAlign w:val="bottom"/>
            <w:gridSpan w:val="2"/>
          </w:tcPr>
          <w:p>
            <w:pPr>
              <w:ind w:left="920"/>
              <w:spacing w:after="0"/>
              <w:rPr>
                <w:sz w:val="20"/>
                <w:szCs w:val="20"/>
                <w:color w:val="auto"/>
              </w:rPr>
            </w:pPr>
            <w:r>
              <w:rPr>
                <w:rFonts w:ascii="Courier New" w:cs="Courier New" w:eastAsia="Courier New" w:hAnsi="Courier New"/>
                <w:sz w:val="16"/>
                <w:szCs w:val="16"/>
                <w:color w:val="auto"/>
              </w:rPr>
              <w:t>March 31,</w:t>
            </w:r>
          </w:p>
        </w:tc>
        <w:tc>
          <w:tcPr>
            <w:tcW w:w="118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4"/>
              </w:rPr>
              <w:t>March 31,</w:t>
            </w:r>
          </w:p>
        </w:tc>
      </w:tr>
      <w:tr>
        <w:trPr>
          <w:trHeight w:val="179"/>
        </w:trPr>
        <w:tc>
          <w:tcPr>
            <w:tcW w:w="4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2001</w:t>
            </w:r>
          </w:p>
        </w:tc>
        <w:tc>
          <w:tcPr>
            <w:tcW w:w="480" w:type="dxa"/>
            <w:vAlign w:val="bottom"/>
          </w:tcPr>
          <w:p>
            <w:pPr>
              <w:spacing w:after="0"/>
              <w:rPr>
                <w:sz w:val="15"/>
                <w:szCs w:val="15"/>
                <w:color w:val="auto"/>
              </w:rPr>
            </w:pPr>
          </w:p>
        </w:tc>
        <w:tc>
          <w:tcPr>
            <w:tcW w:w="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4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7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000" w:type="dxa"/>
            <w:vAlign w:val="bottom"/>
          </w:tcPr>
          <w:p>
            <w:pPr>
              <w:spacing w:after="0"/>
              <w:rPr>
                <w:sz w:val="20"/>
                <w:szCs w:val="20"/>
                <w:color w:val="auto"/>
              </w:rPr>
            </w:pPr>
            <w:r>
              <w:rPr>
                <w:rFonts w:ascii="Courier New" w:cs="Courier New" w:eastAsia="Courier New" w:hAnsi="Courier New"/>
                <w:sz w:val="16"/>
                <w:szCs w:val="16"/>
                <w:color w:val="auto"/>
              </w:rPr>
              <w:t>Statement of Operations</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revenue</w:t>
            </w:r>
          </w:p>
        </w:tc>
        <w:tc>
          <w:tcPr>
            <w:tcW w:w="106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1,778</w:t>
            </w:r>
          </w:p>
        </w:tc>
        <w:tc>
          <w:tcPr>
            <w:tcW w:w="48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1,865</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and other expenses</w:t>
            </w:r>
          </w:p>
        </w:tc>
        <w:tc>
          <w:tcPr>
            <w:tcW w:w="106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464</w:t>
            </w:r>
          </w:p>
        </w:tc>
        <w:tc>
          <w:tcPr>
            <w:tcW w:w="48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458</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06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669</w:t>
            </w:r>
          </w:p>
        </w:tc>
        <w:tc>
          <w:tcPr>
            <w:tcW w:w="48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667</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06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134</w:t>
            </w:r>
          </w:p>
        </w:tc>
        <w:tc>
          <w:tcPr>
            <w:tcW w:w="48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133</w:t>
            </w:r>
          </w:p>
        </w:tc>
      </w:tr>
      <w:tr>
        <w:trPr>
          <w:trHeight w:val="179"/>
        </w:trPr>
        <w:tc>
          <w:tcPr>
            <w:tcW w:w="4000" w:type="dxa"/>
            <w:vAlign w:val="bottom"/>
          </w:tcPr>
          <w:p>
            <w:pPr>
              <w:spacing w:after="0"/>
              <w:rPr>
                <w:sz w:val="15"/>
                <w:szCs w:val="15"/>
                <w:color w:val="auto"/>
              </w:rPr>
            </w:pPr>
          </w:p>
        </w:tc>
        <w:tc>
          <w:tcPr>
            <w:tcW w:w="20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0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06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511</w:t>
            </w:r>
          </w:p>
        </w:tc>
        <w:tc>
          <w:tcPr>
            <w:tcW w:w="4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607</w:t>
            </w:r>
          </w:p>
        </w:tc>
      </w:tr>
      <w:tr>
        <w:trPr>
          <w:trHeight w:val="179"/>
        </w:trPr>
        <w:tc>
          <w:tcPr>
            <w:tcW w:w="4000" w:type="dxa"/>
            <w:vAlign w:val="bottom"/>
          </w:tcPr>
          <w:p>
            <w:pPr>
              <w:spacing w:after="0"/>
              <w:rPr>
                <w:sz w:val="15"/>
                <w:szCs w:val="15"/>
                <w:color w:val="auto"/>
              </w:rPr>
            </w:pPr>
          </w:p>
        </w:tc>
        <w:tc>
          <w:tcPr>
            <w:tcW w:w="20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000" w:type="dxa"/>
            <w:vAlign w:val="bottom"/>
          </w:tcPr>
          <w:p>
            <w:pPr>
              <w:spacing w:after="0"/>
              <w:rPr>
                <w:sz w:val="20"/>
                <w:szCs w:val="20"/>
                <w:color w:val="auto"/>
              </w:rPr>
            </w:pPr>
            <w:r>
              <w:rPr>
                <w:rFonts w:ascii="Courier New" w:cs="Courier New" w:eastAsia="Courier New" w:hAnsi="Courier New"/>
                <w:sz w:val="16"/>
                <w:szCs w:val="16"/>
                <w:color w:val="auto"/>
              </w:rPr>
              <w:t>Company's share of net income</w:t>
            </w:r>
          </w:p>
        </w:tc>
        <w:tc>
          <w:tcPr>
            <w:tcW w:w="106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250</w:t>
            </w:r>
          </w:p>
        </w:tc>
        <w:tc>
          <w:tcPr>
            <w:tcW w:w="4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298</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excess investment</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(See below)</w:t>
            </w:r>
          </w:p>
        </w:tc>
        <w:tc>
          <w:tcPr>
            <w:tcW w:w="1060" w:type="dxa"/>
            <w:vAlign w:val="bottom"/>
          </w:tcPr>
          <w:p>
            <w:pPr>
              <w:spacing w:after="0"/>
              <w:rPr>
                <w:sz w:val="15"/>
                <w:szCs w:val="15"/>
                <w:color w:val="auto"/>
              </w:rPr>
            </w:pPr>
          </w:p>
        </w:tc>
        <w:tc>
          <w:tcPr>
            <w:tcW w:w="10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98</w:t>
            </w:r>
          </w:p>
        </w:tc>
        <w:tc>
          <w:tcPr>
            <w:tcW w:w="480" w:type="dxa"/>
            <w:vAlign w:val="bottom"/>
          </w:tcPr>
          <w:p>
            <w:pPr>
              <w:spacing w:after="0"/>
              <w:rPr>
                <w:sz w:val="15"/>
                <w:szCs w:val="15"/>
                <w:color w:val="auto"/>
              </w:rPr>
            </w:pPr>
          </w:p>
        </w:tc>
        <w:tc>
          <w:tcPr>
            <w:tcW w:w="7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98</w:t>
            </w:r>
          </w:p>
        </w:tc>
      </w:tr>
      <w:tr>
        <w:trPr>
          <w:trHeight w:val="179"/>
        </w:trPr>
        <w:tc>
          <w:tcPr>
            <w:tcW w:w="4000" w:type="dxa"/>
            <w:vAlign w:val="bottom"/>
          </w:tcPr>
          <w:p>
            <w:pPr>
              <w:spacing w:after="0"/>
              <w:rPr>
                <w:sz w:val="15"/>
                <w:szCs w:val="15"/>
                <w:color w:val="auto"/>
              </w:rPr>
            </w:pPr>
          </w:p>
        </w:tc>
        <w:tc>
          <w:tcPr>
            <w:tcW w:w="20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000" w:type="dxa"/>
            <w:vAlign w:val="bottom"/>
          </w:tcPr>
          <w:p>
            <w:pPr>
              <w:spacing w:after="0"/>
              <w:rPr>
                <w:sz w:val="20"/>
                <w:szCs w:val="20"/>
                <w:color w:val="auto"/>
              </w:rPr>
            </w:pPr>
            <w:r>
              <w:rPr>
                <w:rFonts w:ascii="Courier New" w:cs="Courier New" w:eastAsia="Courier New" w:hAnsi="Courier New"/>
                <w:sz w:val="16"/>
                <w:szCs w:val="16"/>
                <w:color w:val="auto"/>
              </w:rPr>
              <w:t>Income from partnerships</w:t>
            </w:r>
          </w:p>
        </w:tc>
        <w:tc>
          <w:tcPr>
            <w:tcW w:w="106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152</w:t>
            </w:r>
          </w:p>
        </w:tc>
        <w:tc>
          <w:tcPr>
            <w:tcW w:w="4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w:t>
            </w:r>
          </w:p>
        </w:tc>
      </w:tr>
      <w:tr>
        <w:trPr>
          <w:trHeight w:val="179"/>
        </w:trPr>
        <w:tc>
          <w:tcPr>
            <w:tcW w:w="4000" w:type="dxa"/>
            <w:vAlign w:val="bottom"/>
          </w:tcPr>
          <w:p>
            <w:pPr>
              <w:spacing w:after="0"/>
              <w:rPr>
                <w:sz w:val="15"/>
                <w:szCs w:val="15"/>
                <w:color w:val="auto"/>
              </w:rPr>
            </w:pPr>
          </w:p>
        </w:tc>
        <w:tc>
          <w:tcPr>
            <w:tcW w:w="208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The unamortized excess of the Company's investment over its share of the net equity in Crossroads at the date of acquisition was $19,580. The portion of this excess attributable to buildings and improvements is being amortized over the life of the related property.</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6. MORTGAGE LOANS</w:t>
      </w:r>
    </w:p>
    <w:p>
      <w:pPr>
        <w:spacing w:after="0" w:line="183"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On January 8, 2001, the Company partially repaid $10,087 of fixed-rate mortgage debt, which was secured by two of the Company's properties, with a life insurance company. On March 30, 2001, the remaining outstanding debt of $7,912 with this lender was fully repaid.</w:t>
      </w:r>
    </w:p>
    <w:p>
      <w:pPr>
        <w:spacing w:after="0" w:line="185"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On March 29, 2001, the Company borrowed an additional $23,000 under an existing $59,000 secured financing line with a bank. As of March 31, 2001, $59,000 was outstanding under this line.</w:t>
      </w:r>
    </w:p>
    <w:p>
      <w:pPr>
        <w:spacing w:after="0" w:line="183" w:lineRule="exact"/>
        <w:rPr>
          <w:sz w:val="20"/>
          <w:szCs w:val="20"/>
          <w:color w:val="auto"/>
        </w:rPr>
      </w:pPr>
    </w:p>
    <w:p>
      <w:pPr>
        <w:ind w:left="5" w:right="3059"/>
        <w:spacing w:after="0" w:line="234" w:lineRule="auto"/>
        <w:rPr>
          <w:sz w:val="20"/>
          <w:szCs w:val="20"/>
          <w:color w:val="auto"/>
        </w:rPr>
      </w:pPr>
      <w:r>
        <w:rPr>
          <w:rFonts w:ascii="Courier New" w:cs="Courier New" w:eastAsia="Courier New" w:hAnsi="Courier New"/>
          <w:sz w:val="16"/>
          <w:szCs w:val="16"/>
          <w:color w:val="auto"/>
        </w:rPr>
        <w:t>On March 30, 2001, the Company fully repaid $9,851 of outstanding debt with a bank which was collateralized by one of the Company's properties.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7. RELATED PARTY TRANSACTIONS</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The Company currently manages two properties in which certain current shareholders of the Company or their affiliates have ownership interests. Management fees earned by the Company under these contracts are at rates of 3.0% and 3.25% of collections, respectively. During 2000, the Company also managed a third property owned by a related party earning fees at a rate of 3.5% of collections. This contract was terminated in November of 2000. Fees earned under these contracts aggregated $95 and $237 during the three month periods ended March 31, 2001 and 2000, respectively.</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8. DIVIDENDS AND DISTRIBUTIONS PAYABLE</w:t>
      </w:r>
    </w:p>
    <w:p>
      <w:pPr>
        <w:spacing w:after="0" w:line="183" w:lineRule="exact"/>
        <w:rPr>
          <w:sz w:val="20"/>
          <w:szCs w:val="20"/>
          <w:color w:val="auto"/>
        </w:rPr>
      </w:pPr>
    </w:p>
    <w:p>
      <w:pPr>
        <w:ind w:left="5" w:right="2779"/>
        <w:spacing w:after="0" w:line="276" w:lineRule="auto"/>
        <w:rPr>
          <w:sz w:val="20"/>
          <w:szCs w:val="20"/>
          <w:color w:val="auto"/>
        </w:rPr>
      </w:pPr>
      <w:r>
        <w:rPr>
          <w:rFonts w:ascii="Courier New" w:cs="Courier New" w:eastAsia="Courier New" w:hAnsi="Courier New"/>
          <w:sz w:val="14"/>
          <w:szCs w:val="14"/>
          <w:color w:val="auto"/>
        </w:rPr>
        <w:t>On March 8, 2001, the Board of Trustees of the Company approved and declared a cash quarterly dividend for the quarter ended March 31, 2001 of $0.12 per Common Share and Common OP Unit. The dividend was paid on April 13, 2001 to the shareholders of record as of March 30, 2001. The Board of Trustees also approved a distribution of $22.50 per Preferred OP Unit which was paid on April 13, 2001.</w:t>
      </w:r>
    </w:p>
    <w:p>
      <w:pPr>
        <w:spacing w:after="0" w:line="155"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4"/>
          </w:cols>
          <w:pgMar w:left="235" w:top="469" w:right="1440" w:bottom="1440" w:gutter="0" w:footer="0" w:header="0"/>
        </w:sectPr>
      </w:pPr>
    </w:p>
    <w:bookmarkStart w:id="9" w:name="page10"/>
    <w:bookmarkEnd w:id="9"/>
    <w:p>
      <w:pPr>
        <w:jc w:val="center"/>
        <w:ind w:right="1975"/>
        <w:spacing w:after="0"/>
        <w:rPr>
          <w:sz w:val="20"/>
          <w:szCs w:val="20"/>
          <w:color w:val="auto"/>
        </w:rPr>
      </w:pPr>
      <w:r>
        <w:rPr>
          <w:rFonts w:ascii="Courier New" w:cs="Courier New" w:eastAsia="Courier New" w:hAnsi="Courier New"/>
          <w:sz w:val="16"/>
          <w:szCs w:val="16"/>
          <w:color w:val="auto"/>
        </w:rPr>
        <w:t>ACADIA REALTY TRUST AND SUBSIDIARIES</w:t>
      </w:r>
    </w:p>
    <w:p>
      <w:pPr>
        <w:jc w:val="center"/>
        <w:ind w:right="1975"/>
        <w:spacing w:after="0" w:line="236" w:lineRule="auto"/>
        <w:rPr>
          <w:sz w:val="20"/>
          <w:szCs w:val="20"/>
          <w:color w:val="auto"/>
        </w:rPr>
      </w:pPr>
      <w:r>
        <w:rPr>
          <w:rFonts w:ascii="Courier New" w:cs="Courier New" w:eastAsia="Courier New" w:hAnsi="Courier New"/>
          <w:sz w:val="16"/>
          <w:szCs w:val="16"/>
          <w:color w:val="auto"/>
        </w:rPr>
        <w:t>NOTES TO CONSOLIDATED FINANCIAL STATEMENTS</w:t>
      </w:r>
    </w:p>
    <w:p>
      <w:pPr>
        <w:jc w:val="center"/>
        <w:ind w:right="1975"/>
        <w:spacing w:after="0" w:line="237" w:lineRule="auto"/>
        <w:rPr>
          <w:sz w:val="20"/>
          <w:szCs w:val="20"/>
          <w:color w:val="auto"/>
        </w:rPr>
      </w:pPr>
      <w:r>
        <w:rPr>
          <w:rFonts w:ascii="Courier New" w:cs="Courier New" w:eastAsia="Courier New" w:hAnsi="Courier New"/>
          <w:sz w:val="16"/>
          <w:szCs w:val="16"/>
          <w:color w:val="auto"/>
        </w:rPr>
        <w:t>(in thousands, except per share amounts)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PER SHARE DATA</w:t>
      </w:r>
    </w:p>
    <w:p>
      <w:pPr>
        <w:spacing w:after="0" w:line="183" w:lineRule="exact"/>
        <w:rPr>
          <w:sz w:val="20"/>
          <w:szCs w:val="20"/>
          <w:color w:val="auto"/>
        </w:rPr>
      </w:pPr>
    </w:p>
    <w:p>
      <w:pPr>
        <w:ind w:right="1975"/>
        <w:spacing w:after="0" w:line="236" w:lineRule="auto"/>
        <w:rPr>
          <w:sz w:val="20"/>
          <w:szCs w:val="20"/>
          <w:color w:val="auto"/>
        </w:rPr>
      </w:pPr>
      <w:r>
        <w:rPr>
          <w:rFonts w:ascii="Courier New" w:cs="Courier New" w:eastAsia="Courier New" w:hAnsi="Courier New"/>
          <w:sz w:val="16"/>
          <w:szCs w:val="16"/>
          <w:color w:val="auto"/>
        </w:rPr>
        <w:t>For the three month periods ended March 31, 2001 and 2000, basic earnings per share was determined by dividing the net income applicable to common shareholders for each period by the weighted average number of common shares of beneficial interest ("Common Shares") outstanding during each period consistent with the Financial Accounting Standards Board Statement No. 128. The weighted average number of shares outstanding for the three month periods ended March 31, 2001 and 2000 were 28,091,479 and 25,476,098, respectively.</w:t>
      </w:r>
    </w:p>
    <w:p>
      <w:pPr>
        <w:spacing w:after="0" w:line="184" w:lineRule="exact"/>
        <w:rPr>
          <w:sz w:val="20"/>
          <w:szCs w:val="20"/>
          <w:color w:val="auto"/>
        </w:rPr>
      </w:pPr>
    </w:p>
    <w:p>
      <w:pPr>
        <w:ind w:right="1975"/>
        <w:spacing w:after="0" w:line="236" w:lineRule="auto"/>
        <w:rPr>
          <w:sz w:val="20"/>
          <w:szCs w:val="20"/>
          <w:color w:val="auto"/>
        </w:rPr>
      </w:pPr>
      <w:r>
        <w:rPr>
          <w:rFonts w:ascii="Courier New" w:cs="Courier New" w:eastAsia="Courier New" w:hAnsi="Courier New"/>
          <w:sz w:val="16"/>
          <w:szCs w:val="16"/>
          <w:color w:val="auto"/>
        </w:rPr>
        <w:t>Diluted earnings per share reflects the potential dilution that could occur if securities or other contracts to issue Common Shares were exercised or converted into Common Shares or resulted in the issuance of Common Shares that then shared in the earnings of the Company. For the three month periods ended March 31, 2001 and 2000 no additional shares were reflected as the impact would be anti-dilutive in such years.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SEGMENT REPORTING</w:t>
      </w:r>
    </w:p>
    <w:p>
      <w:pPr>
        <w:spacing w:after="0" w:line="183" w:lineRule="exact"/>
        <w:rPr>
          <w:sz w:val="20"/>
          <w:szCs w:val="20"/>
          <w:color w:val="auto"/>
        </w:rPr>
      </w:pPr>
    </w:p>
    <w:p>
      <w:pPr>
        <w:ind w:right="2155"/>
        <w:spacing w:after="0" w:line="236" w:lineRule="auto"/>
        <w:rPr>
          <w:sz w:val="20"/>
          <w:szCs w:val="20"/>
          <w:color w:val="auto"/>
        </w:rPr>
      </w:pPr>
      <w:r>
        <w:rPr>
          <w:rFonts w:ascii="Courier New" w:cs="Courier New" w:eastAsia="Courier New" w:hAnsi="Courier New"/>
          <w:sz w:val="16"/>
          <w:szCs w:val="16"/>
          <w:color w:val="auto"/>
        </w:rPr>
        <w:t>The Company has two reportable segments: retail properties and multi-family properties. The Company evaluates property performance primarily based on net operating income before depreciation, amortization and certain non-recurring items. The reportable segments are managed separately due to the differing nature of the leases and property operations associated with the retail versus residential tenants.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March 31, 2001</w:t>
            </w:r>
          </w:p>
        </w:tc>
      </w:tr>
      <w:tr>
        <w:trPr>
          <w:trHeight w:val="179"/>
        </w:trPr>
        <w:tc>
          <w:tcPr>
            <w:tcW w:w="5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spacing w:after="0"/>
              <w:rPr>
                <w:sz w:val="15"/>
                <w:szCs w:val="15"/>
                <w:color w:val="auto"/>
              </w:rPr>
            </w:pPr>
          </w:p>
        </w:tc>
        <w:tc>
          <w:tcPr>
            <w:tcW w:w="17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Retail</w:t>
            </w:r>
          </w:p>
        </w:tc>
        <w:tc>
          <w:tcPr>
            <w:tcW w:w="16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Multi-Family</w:t>
            </w:r>
          </w:p>
        </w:tc>
        <w:tc>
          <w:tcPr>
            <w:tcW w:w="8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All</w:t>
            </w:r>
          </w:p>
        </w:tc>
      </w:tr>
      <w:tr>
        <w:trPr>
          <w:trHeight w:val="179"/>
        </w:trPr>
        <w:tc>
          <w:tcPr>
            <w:tcW w:w="5120" w:type="dxa"/>
            <w:vAlign w:val="bottom"/>
          </w:tcPr>
          <w:p>
            <w:pPr>
              <w:spacing w:after="0"/>
              <w:rPr>
                <w:sz w:val="15"/>
                <w:szCs w:val="15"/>
                <w:color w:val="auto"/>
              </w:rPr>
            </w:pP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Properties</w:t>
            </w:r>
          </w:p>
        </w:tc>
        <w:tc>
          <w:tcPr>
            <w:tcW w:w="16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Properties</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Other</w:t>
            </w:r>
          </w:p>
        </w:tc>
      </w:tr>
      <w:tr>
        <w:trPr>
          <w:trHeight w:val="179"/>
        </w:trPr>
        <w:tc>
          <w:tcPr>
            <w:tcW w:w="5120" w:type="dxa"/>
            <w:vAlign w:val="bottom"/>
          </w:tcPr>
          <w:p>
            <w:pPr>
              <w:spacing w:after="0"/>
              <w:rPr>
                <w:sz w:val="15"/>
                <w:szCs w:val="15"/>
                <w:color w:val="auto"/>
              </w:rPr>
            </w:pP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1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7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$ 18,391</w:t>
            </w:r>
          </w:p>
        </w:tc>
        <w:tc>
          <w:tcPr>
            <w:tcW w:w="162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$ 3,926</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$ 272</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Property operating expenses and</w:t>
            </w: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real estate taxes</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7,437</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1,561</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property income before depreciation,</w:t>
            </w: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amortization and certain nonrecurring items</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10,954</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2,365</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272</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4,321</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547</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96</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4,139</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1,139</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Real estate at cost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432,914</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83,578</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assets</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426,281</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81,488</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5,802</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leasable area (multi-family - 2,273 units)</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8,644</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2,039</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Expenditures for real estate and improvements</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2,173</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280</w:t>
            </w:r>
          </w:p>
        </w:tc>
        <w:tc>
          <w:tcPr>
            <w:tcW w:w="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Reconciliation to income before</w:t>
      </w:r>
    </w:p>
    <w:p>
      <w:pPr>
        <w:ind w:left="180"/>
        <w:spacing w:after="0" w:line="236" w:lineRule="auto"/>
        <w:rPr>
          <w:sz w:val="20"/>
          <w:szCs w:val="20"/>
          <w:color w:val="auto"/>
        </w:rPr>
      </w:pPr>
      <w:r>
        <w:rPr>
          <w:rFonts w:ascii="Courier New" w:cs="Courier New" w:eastAsia="Courier New" w:hAnsi="Courier New"/>
          <w:sz w:val="16"/>
          <w:szCs w:val="16"/>
          <w:color w:val="auto"/>
        </w:rPr>
        <w:t>minority interest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property income before depreciation,</w:t>
      </w:r>
    </w:p>
    <w:p>
      <w:pPr>
        <w:ind w:left="180"/>
        <w:spacing w:after="0" w:line="236" w:lineRule="auto"/>
        <w:rPr>
          <w:sz w:val="20"/>
          <w:szCs w:val="20"/>
          <w:color w:val="auto"/>
        </w:rPr>
      </w:pPr>
      <w:r>
        <w:rPr>
          <w:rFonts w:ascii="Courier New" w:cs="Courier New" w:eastAsia="Courier New" w:hAnsi="Courier New"/>
          <w:sz w:val="16"/>
          <w:szCs w:val="16"/>
          <w:color w:val="auto"/>
        </w:rPr>
        <w:t>amortization and certain nonrecurring items</w:t>
      </w:r>
    </w:p>
    <w:p>
      <w:pPr>
        <w:spacing w:after="0" w:line="237" w:lineRule="auto"/>
        <w:rPr>
          <w:sz w:val="20"/>
          <w:szCs w:val="20"/>
          <w:color w:val="auto"/>
        </w:rPr>
      </w:pPr>
      <w:r>
        <w:rPr>
          <w:rFonts w:ascii="Courier New" w:cs="Courier New" w:eastAsia="Courier New" w:hAnsi="Courier New"/>
          <w:sz w:val="16"/>
          <w:szCs w:val="16"/>
          <w:color w:val="auto"/>
        </w:rPr>
        <w:t>Depreciation and amortization</w:t>
      </w:r>
    </w:p>
    <w:p>
      <w:pPr>
        <w:spacing w:after="0" w:line="237" w:lineRule="auto"/>
        <w:rPr>
          <w:sz w:val="20"/>
          <w:szCs w:val="20"/>
          <w:color w:val="auto"/>
        </w:rPr>
      </w:pPr>
      <w:r>
        <w:rPr>
          <w:rFonts w:ascii="Courier New" w:cs="Courier New" w:eastAsia="Courier New" w:hAnsi="Courier New"/>
          <w:sz w:val="16"/>
          <w:szCs w:val="16"/>
          <w:color w:val="auto"/>
        </w:rPr>
        <w:t>General and administrative</w:t>
      </w:r>
    </w:p>
    <w:p>
      <w:pPr>
        <w:spacing w:after="0" w:line="237" w:lineRule="auto"/>
        <w:rPr>
          <w:sz w:val="20"/>
          <w:szCs w:val="20"/>
          <w:color w:val="auto"/>
        </w:rPr>
      </w:pPr>
      <w:r>
        <w:rPr>
          <w:rFonts w:ascii="Courier New" w:cs="Courier New" w:eastAsia="Courier New" w:hAnsi="Courier New"/>
          <w:sz w:val="16"/>
          <w:szCs w:val="16"/>
          <w:color w:val="auto"/>
        </w:rPr>
        <w:t>Equity in earnings of unconsolidated</w:t>
      </w:r>
    </w:p>
    <w:p>
      <w:pPr>
        <w:ind w:left="180"/>
        <w:spacing w:after="0" w:line="237" w:lineRule="auto"/>
        <w:rPr>
          <w:sz w:val="20"/>
          <w:szCs w:val="20"/>
          <w:color w:val="auto"/>
        </w:rPr>
      </w:pPr>
      <w:r>
        <w:rPr>
          <w:rFonts w:ascii="Courier New" w:cs="Courier New" w:eastAsia="Courier New" w:hAnsi="Courier New"/>
          <w:sz w:val="16"/>
          <w:szCs w:val="16"/>
          <w:color w:val="auto"/>
        </w:rPr>
        <w:t>partnerships</w:t>
      </w:r>
    </w:p>
    <w:p>
      <w:pPr>
        <w:spacing w:after="0" w:line="237" w:lineRule="auto"/>
        <w:rPr>
          <w:sz w:val="20"/>
          <w:szCs w:val="20"/>
          <w:color w:val="auto"/>
        </w:rPr>
      </w:pPr>
      <w:r>
        <w:rPr>
          <w:rFonts w:ascii="Courier New" w:cs="Courier New" w:eastAsia="Courier New" w:hAnsi="Courier New"/>
          <w:sz w:val="16"/>
          <w:szCs w:val="16"/>
          <w:color w:val="auto"/>
        </w:rPr>
        <w:t>Interest expense</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before extraordinary item,</w:t>
      </w:r>
    </w:p>
    <w:p>
      <w:pPr>
        <w:ind w:left="80"/>
        <w:spacing w:after="0" w:line="236" w:lineRule="auto"/>
        <w:rPr>
          <w:sz w:val="20"/>
          <w:szCs w:val="20"/>
          <w:color w:val="auto"/>
        </w:rPr>
      </w:pPr>
      <w:r>
        <w:rPr>
          <w:rFonts w:ascii="Courier New" w:cs="Courier New" w:eastAsia="Courier New" w:hAnsi="Courier New"/>
          <w:sz w:val="16"/>
          <w:szCs w:val="16"/>
          <w:color w:val="auto"/>
        </w:rPr>
        <w:t>minority interest and cumulative effect</w:t>
      </w:r>
    </w:p>
    <w:p>
      <w:pPr>
        <w:ind w:left="80"/>
        <w:spacing w:after="0" w:line="237" w:lineRule="auto"/>
        <w:rPr>
          <w:sz w:val="20"/>
          <w:szCs w:val="20"/>
          <w:color w:val="auto"/>
        </w:rPr>
      </w:pPr>
      <w:r>
        <w:rPr>
          <w:rFonts w:ascii="Courier New" w:cs="Courier New" w:eastAsia="Courier New" w:hAnsi="Courier New"/>
          <w:sz w:val="16"/>
          <w:szCs w:val="16"/>
          <w:color w:val="auto"/>
        </w:rPr>
        <w:t>of a change in accounting principal</w:t>
      </w:r>
    </w:p>
    <w:p>
      <w:pPr>
        <w:spacing w:after="0" w:line="3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5"/>
        <w:spacing w:after="0"/>
        <w:rPr>
          <w:sz w:val="20"/>
          <w:szCs w:val="20"/>
          <w:color w:val="auto"/>
        </w:rPr>
      </w:pPr>
      <w:r>
        <w:rPr>
          <w:rFonts w:ascii="Courier New" w:cs="Courier New" w:eastAsia="Courier New" w:hAnsi="Courier New"/>
          <w:sz w:val="16"/>
          <w:szCs w:val="16"/>
          <w:color w:val="auto"/>
        </w:rPr>
        <w:t>Total</w:t>
      </w:r>
    </w:p>
    <w:p>
      <w:pPr>
        <w:ind w:left="5"/>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$ 22,589</w:t>
      </w:r>
    </w:p>
    <w:p>
      <w:pPr>
        <w:spacing w:after="0" w:line="177" w:lineRule="exact"/>
        <w:rPr>
          <w:sz w:val="20"/>
          <w:szCs w:val="20"/>
          <w:color w:val="auto"/>
        </w:rPr>
      </w:pPr>
    </w:p>
    <w:p>
      <w:pPr>
        <w:ind w:left="285"/>
        <w:spacing w:after="0"/>
        <w:rPr>
          <w:sz w:val="20"/>
          <w:szCs w:val="20"/>
          <w:color w:val="auto"/>
        </w:rPr>
      </w:pPr>
      <w:r>
        <w:rPr>
          <w:rFonts w:ascii="Courier New" w:cs="Courier New" w:eastAsia="Courier New" w:hAnsi="Courier New"/>
          <w:sz w:val="16"/>
          <w:szCs w:val="16"/>
          <w:color w:val="auto"/>
        </w:rPr>
        <w:t>8,998</w:t>
      </w:r>
    </w:p>
    <w:p>
      <w:pPr>
        <w:spacing w:after="0" w:line="177"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6"/>
          <w:szCs w:val="16"/>
          <w:color w:val="auto"/>
        </w:rPr>
        <w:t>13,591</w:t>
      </w:r>
    </w:p>
    <w:p>
      <w:pPr>
        <w:jc w:val="right"/>
        <w:ind w:right="100"/>
        <w:spacing w:after="0" w:line="236" w:lineRule="auto"/>
        <w:rPr>
          <w:sz w:val="20"/>
          <w:szCs w:val="20"/>
          <w:color w:val="auto"/>
        </w:rPr>
      </w:pPr>
      <w:r>
        <w:rPr>
          <w:rFonts w:ascii="Courier New" w:cs="Courier New" w:eastAsia="Courier New" w:hAnsi="Courier New"/>
          <w:sz w:val="16"/>
          <w:szCs w:val="16"/>
          <w:color w:val="auto"/>
        </w:rPr>
        <w:t>4,964</w:t>
      </w:r>
    </w:p>
    <w:p>
      <w:pPr>
        <w:jc w:val="right"/>
        <w:ind w:right="100"/>
        <w:spacing w:after="0" w:line="237" w:lineRule="auto"/>
        <w:rPr>
          <w:sz w:val="20"/>
          <w:szCs w:val="20"/>
          <w:color w:val="auto"/>
        </w:rPr>
      </w:pPr>
      <w:r>
        <w:rPr>
          <w:rFonts w:ascii="Courier New" w:cs="Courier New" w:eastAsia="Courier New" w:hAnsi="Courier New"/>
          <w:sz w:val="16"/>
          <w:szCs w:val="16"/>
          <w:color w:val="auto"/>
        </w:rPr>
        <w:t>5,278</w:t>
      </w:r>
    </w:p>
    <w:p>
      <w:pPr>
        <w:jc w:val="right"/>
        <w:ind w:right="100"/>
        <w:spacing w:after="0" w:line="237" w:lineRule="auto"/>
        <w:rPr>
          <w:sz w:val="20"/>
          <w:szCs w:val="20"/>
          <w:color w:val="auto"/>
        </w:rPr>
      </w:pPr>
      <w:r>
        <w:rPr>
          <w:rFonts w:ascii="Courier New" w:cs="Courier New" w:eastAsia="Courier New" w:hAnsi="Courier New"/>
          <w:sz w:val="16"/>
          <w:szCs w:val="16"/>
          <w:color w:val="auto"/>
        </w:rPr>
        <w:t>516,492</w:t>
      </w:r>
    </w:p>
    <w:p>
      <w:pPr>
        <w:jc w:val="right"/>
        <w:ind w:right="100"/>
        <w:spacing w:after="0" w:line="237" w:lineRule="auto"/>
        <w:rPr>
          <w:sz w:val="20"/>
          <w:szCs w:val="20"/>
          <w:color w:val="auto"/>
        </w:rPr>
      </w:pPr>
      <w:r>
        <w:rPr>
          <w:rFonts w:ascii="Courier New" w:cs="Courier New" w:eastAsia="Courier New" w:hAnsi="Courier New"/>
          <w:sz w:val="16"/>
          <w:szCs w:val="16"/>
          <w:color w:val="auto"/>
        </w:rPr>
        <w:t>513,571</w:t>
      </w:r>
    </w:p>
    <w:p>
      <w:pPr>
        <w:jc w:val="right"/>
        <w:ind w:right="100"/>
        <w:spacing w:after="0" w:line="237" w:lineRule="auto"/>
        <w:rPr>
          <w:sz w:val="20"/>
          <w:szCs w:val="20"/>
          <w:color w:val="auto"/>
        </w:rPr>
      </w:pPr>
      <w:r>
        <w:rPr>
          <w:rFonts w:ascii="Courier New" w:cs="Courier New" w:eastAsia="Courier New" w:hAnsi="Courier New"/>
          <w:sz w:val="16"/>
          <w:szCs w:val="16"/>
          <w:color w:val="auto"/>
        </w:rPr>
        <w:t>10,683</w:t>
      </w:r>
    </w:p>
    <w:p>
      <w:pPr>
        <w:jc w:val="right"/>
        <w:ind w:right="100"/>
        <w:spacing w:after="0" w:line="237" w:lineRule="auto"/>
        <w:rPr>
          <w:sz w:val="20"/>
          <w:szCs w:val="20"/>
          <w:color w:val="auto"/>
        </w:rPr>
      </w:pPr>
      <w:r>
        <w:rPr>
          <w:rFonts w:ascii="Courier New" w:cs="Courier New" w:eastAsia="Courier New" w:hAnsi="Courier New"/>
          <w:sz w:val="16"/>
          <w:szCs w:val="16"/>
          <w:color w:val="auto"/>
        </w:rPr>
        <w:t>2,453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5" w:hanging="185"/>
        <w:spacing w:after="0"/>
        <w:tabs>
          <w:tab w:leader="none" w:pos="18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13,591</w:t>
      </w:r>
    </w:p>
    <w:p>
      <w:pPr>
        <w:spacing w:after="0" w:line="3" w:lineRule="exact"/>
        <w:rPr>
          <w:rFonts w:ascii="Courier New" w:cs="Courier New" w:eastAsia="Courier New" w:hAnsi="Courier New"/>
          <w:sz w:val="16"/>
          <w:szCs w:val="16"/>
          <w:color w:val="auto"/>
        </w:rPr>
      </w:pPr>
    </w:p>
    <w:p>
      <w:pPr>
        <w:ind w:left="18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(4,964)</w:t>
      </w:r>
    </w:p>
    <w:p>
      <w:pPr>
        <w:spacing w:after="0" w:line="20" w:lineRule="exact"/>
        <w:rPr>
          <w:rFonts w:ascii="Courier New" w:cs="Courier New" w:eastAsia="Courier New" w:hAnsi="Courier New"/>
          <w:sz w:val="16"/>
          <w:szCs w:val="16"/>
          <w:color w:val="auto"/>
        </w:rPr>
      </w:pPr>
    </w:p>
    <w:p>
      <w:pPr>
        <w:ind w:left="18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(1,189)</w:t>
      </w:r>
    </w:p>
    <w:p>
      <w:pPr>
        <w:spacing w:after="0" w:line="193"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152</w:t>
      </w:r>
    </w:p>
    <w:p>
      <w:pPr>
        <w:jc w:val="right"/>
        <w:spacing w:after="0" w:line="236" w:lineRule="auto"/>
        <w:rPr>
          <w:sz w:val="20"/>
          <w:szCs w:val="20"/>
          <w:color w:val="auto"/>
        </w:rPr>
      </w:pPr>
      <w:r>
        <w:rPr>
          <w:rFonts w:ascii="Courier New" w:cs="Courier New" w:eastAsia="Courier New" w:hAnsi="Courier New"/>
          <w:sz w:val="16"/>
          <w:szCs w:val="16"/>
          <w:color w:val="auto"/>
        </w:rPr>
        <w:t>(5,278)</w:t>
      </w:r>
    </w:p>
    <w:p>
      <w:pPr>
        <w:ind w:left="5"/>
        <w:spacing w:after="0" w:line="237" w:lineRule="auto"/>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5" w:lineRule="exact"/>
        <w:rPr>
          <w:sz w:val="20"/>
          <w:szCs w:val="20"/>
          <w:color w:val="auto"/>
        </w:rPr>
      </w:pPr>
    </w:p>
    <w:p>
      <w:pPr>
        <w:ind w:left="285" w:hanging="285"/>
        <w:spacing w:after="0"/>
        <w:tabs>
          <w:tab w:leader="none" w:pos="2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2,312</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2">
            <w:col w:w="9415" w:space="720"/>
            <w:col w:w="845"/>
          </w:cols>
          <w:pgMar w:left="240" w:top="469" w:right="679" w:bottom="1440" w:gutter="0" w:footer="0" w:header="0"/>
        </w:sectPr>
      </w:pPr>
    </w:p>
    <w:bookmarkStart w:id="10" w:name="page11"/>
    <w:bookmarkEnd w:id="10"/>
    <w:p>
      <w:pPr>
        <w:jc w:val="center"/>
        <w:ind w:right="3540"/>
        <w:spacing w:after="0"/>
        <w:rPr>
          <w:sz w:val="20"/>
          <w:szCs w:val="20"/>
          <w:color w:val="auto"/>
        </w:rPr>
      </w:pPr>
      <w:r>
        <w:rPr>
          <w:rFonts w:ascii="Courier New" w:cs="Courier New" w:eastAsia="Courier New" w:hAnsi="Courier New"/>
          <w:sz w:val="16"/>
          <w:szCs w:val="16"/>
          <w:color w:val="auto"/>
        </w:rPr>
        <w:t>ACADIA REALTY TRUST AND SUBSIDIARIES</w:t>
      </w:r>
    </w:p>
    <w:p>
      <w:pPr>
        <w:jc w:val="center"/>
        <w:ind w:right="3540"/>
        <w:spacing w:after="0" w:line="236" w:lineRule="auto"/>
        <w:rPr>
          <w:sz w:val="20"/>
          <w:szCs w:val="20"/>
          <w:color w:val="auto"/>
        </w:rPr>
      </w:pPr>
      <w:r>
        <w:rPr>
          <w:rFonts w:ascii="Courier New" w:cs="Courier New" w:eastAsia="Courier New" w:hAnsi="Courier New"/>
          <w:sz w:val="16"/>
          <w:szCs w:val="16"/>
          <w:color w:val="auto"/>
        </w:rPr>
        <w:t>NOTES TO CONSOLIDATED FINANCIAL STATEMENTS</w:t>
      </w:r>
    </w:p>
    <w:p>
      <w:pPr>
        <w:jc w:val="center"/>
        <w:ind w:right="3540"/>
        <w:spacing w:after="0" w:line="237" w:lineRule="auto"/>
        <w:rPr>
          <w:sz w:val="20"/>
          <w:szCs w:val="20"/>
          <w:color w:val="auto"/>
        </w:rPr>
      </w:pPr>
      <w:r>
        <w:rPr>
          <w:rFonts w:ascii="Courier New" w:cs="Courier New" w:eastAsia="Courier New" w:hAnsi="Courier New"/>
          <w:sz w:val="16"/>
          <w:szCs w:val="16"/>
          <w:color w:val="auto"/>
        </w:rPr>
        <w:t>(in thousands, except per share amounts)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20" w:type="dxa"/>
            <w:vAlign w:val="bottom"/>
          </w:tcPr>
          <w:p>
            <w:pPr>
              <w:spacing w:after="0"/>
              <w:rPr>
                <w:sz w:val="20"/>
                <w:szCs w:val="20"/>
                <w:color w:val="auto"/>
              </w:rPr>
            </w:pPr>
            <w:r>
              <w:rPr>
                <w:rFonts w:ascii="Courier New" w:cs="Courier New" w:eastAsia="Courier New" w:hAnsi="Courier New"/>
                <w:sz w:val="16"/>
                <w:szCs w:val="16"/>
                <w:color w:val="auto"/>
              </w:rPr>
              <w:t>10. SEGMENT REPORTING (continued)</w:t>
            </w: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537"/>
        </w:trPr>
        <w:tc>
          <w:tcPr>
            <w:tcW w:w="5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4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March 31, 2000</w:t>
            </w:r>
          </w:p>
        </w:tc>
        <w:tc>
          <w:tcPr>
            <w:tcW w:w="1260" w:type="dxa"/>
            <w:vAlign w:val="bottom"/>
          </w:tcPr>
          <w:p>
            <w:pPr>
              <w:spacing w:after="0"/>
              <w:rPr>
                <w:sz w:val="24"/>
                <w:szCs w:val="24"/>
                <w:color w:val="auto"/>
              </w:rPr>
            </w:pPr>
          </w:p>
        </w:tc>
      </w:tr>
      <w:tr>
        <w:trPr>
          <w:trHeight w:val="179"/>
        </w:trPr>
        <w:tc>
          <w:tcPr>
            <w:tcW w:w="5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4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5"/>
                <w:szCs w:val="15"/>
                <w:color w:val="auto"/>
              </w:rPr>
            </w:pPr>
          </w:p>
        </w:tc>
      </w:tr>
      <w:tr>
        <w:trPr>
          <w:trHeight w:val="179"/>
        </w:trPr>
        <w:tc>
          <w:tcPr>
            <w:tcW w:w="5120" w:type="dxa"/>
            <w:vAlign w:val="bottom"/>
          </w:tcPr>
          <w:p>
            <w:pPr>
              <w:spacing w:after="0"/>
              <w:rPr>
                <w:sz w:val="15"/>
                <w:szCs w:val="15"/>
                <w:color w:val="auto"/>
              </w:rPr>
            </w:pPr>
          </w:p>
        </w:tc>
        <w:tc>
          <w:tcPr>
            <w:tcW w:w="17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Retail</w:t>
            </w:r>
          </w:p>
        </w:tc>
        <w:tc>
          <w:tcPr>
            <w:tcW w:w="16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Multi-Family</w:t>
            </w:r>
          </w:p>
        </w:tc>
        <w:tc>
          <w:tcPr>
            <w:tcW w:w="122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All</w:t>
            </w:r>
          </w:p>
        </w:tc>
        <w:tc>
          <w:tcPr>
            <w:tcW w:w="1260" w:type="dxa"/>
            <w:vAlign w:val="bottom"/>
          </w:tcPr>
          <w:p>
            <w:pPr>
              <w:spacing w:after="0"/>
              <w:rPr>
                <w:sz w:val="15"/>
                <w:szCs w:val="15"/>
                <w:color w:val="auto"/>
              </w:rPr>
            </w:pPr>
          </w:p>
        </w:tc>
      </w:tr>
      <w:tr>
        <w:trPr>
          <w:trHeight w:val="179"/>
        </w:trPr>
        <w:tc>
          <w:tcPr>
            <w:tcW w:w="5120" w:type="dxa"/>
            <w:vAlign w:val="bottom"/>
          </w:tcPr>
          <w:p>
            <w:pPr>
              <w:spacing w:after="0"/>
              <w:rPr>
                <w:sz w:val="15"/>
                <w:szCs w:val="15"/>
                <w:color w:val="auto"/>
              </w:rPr>
            </w:pP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Properties</w:t>
            </w:r>
          </w:p>
        </w:tc>
        <w:tc>
          <w:tcPr>
            <w:tcW w:w="16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Properties</w:t>
            </w:r>
          </w:p>
        </w:tc>
        <w:tc>
          <w:tcPr>
            <w:tcW w:w="12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Other</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5120" w:type="dxa"/>
            <w:vAlign w:val="bottom"/>
          </w:tcPr>
          <w:p>
            <w:pPr>
              <w:spacing w:after="0"/>
              <w:rPr>
                <w:sz w:val="15"/>
                <w:szCs w:val="15"/>
                <w:color w:val="auto"/>
              </w:rPr>
            </w:pP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1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7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$ 19,482</w:t>
            </w:r>
          </w:p>
        </w:tc>
        <w:tc>
          <w:tcPr>
            <w:tcW w:w="162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$ 3,791</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$ 590</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$ 23,863</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Property operating expenses and</w:t>
            </w: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real estate taxes</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7,274</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1,425</w:t>
            </w:r>
          </w:p>
        </w:tc>
        <w:tc>
          <w:tcPr>
            <w:tcW w:w="12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8,699</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property income before depreciation,</w:t>
            </w: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amortization and certain nonrecurring items</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12,208</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2,366</w:t>
            </w:r>
          </w:p>
        </w:tc>
        <w:tc>
          <w:tcPr>
            <w:tcW w:w="12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590</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15,164</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4,395</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498</w:t>
            </w:r>
          </w:p>
        </w:tc>
        <w:tc>
          <w:tcPr>
            <w:tcW w:w="12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122</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5,015</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5,239</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1,066</w:t>
            </w:r>
          </w:p>
        </w:tc>
        <w:tc>
          <w:tcPr>
            <w:tcW w:w="12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50</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6,355</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Real estate at cost</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489,387</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82,462</w:t>
            </w:r>
          </w:p>
        </w:tc>
        <w:tc>
          <w:tcPr>
            <w:tcW w:w="12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571,849</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assets</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454,171</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86,000</w:t>
            </w:r>
          </w:p>
        </w:tc>
        <w:tc>
          <w:tcPr>
            <w:tcW w:w="12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7,160</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547,331</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leasable area (multi-family - 2,273 units)</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8,817</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2,039</w:t>
            </w:r>
          </w:p>
        </w:tc>
        <w:tc>
          <w:tcPr>
            <w:tcW w:w="12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10,856</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Expenditures for real estate and improvements</w:t>
            </w:r>
          </w:p>
        </w:tc>
        <w:tc>
          <w:tcPr>
            <w:tcW w:w="1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2,124</w:t>
            </w:r>
          </w:p>
        </w:tc>
        <w:tc>
          <w:tcPr>
            <w:tcW w:w="16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316</w:t>
            </w:r>
          </w:p>
        </w:tc>
        <w:tc>
          <w:tcPr>
            <w:tcW w:w="122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2,440</w:t>
            </w:r>
          </w:p>
        </w:tc>
      </w:tr>
      <w:tr>
        <w:trPr>
          <w:trHeight w:val="537"/>
        </w:trPr>
        <w:tc>
          <w:tcPr>
            <w:tcW w:w="5120" w:type="dxa"/>
            <w:vAlign w:val="bottom"/>
          </w:tcPr>
          <w:p>
            <w:pPr>
              <w:spacing w:after="0"/>
              <w:rPr>
                <w:sz w:val="20"/>
                <w:szCs w:val="20"/>
                <w:color w:val="auto"/>
              </w:rPr>
            </w:pPr>
            <w:r>
              <w:rPr>
                <w:rFonts w:ascii="Courier New" w:cs="Courier New" w:eastAsia="Courier New" w:hAnsi="Courier New"/>
                <w:sz w:val="16"/>
                <w:szCs w:val="16"/>
                <w:color w:val="auto"/>
              </w:rPr>
              <w:t>Reconciliation to income before</w:t>
            </w: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minority interest</w:t>
            </w: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58"/>
        </w:trPr>
        <w:tc>
          <w:tcPr>
            <w:tcW w:w="5120" w:type="dxa"/>
            <w:vAlign w:val="bottom"/>
          </w:tcPr>
          <w:p>
            <w:pPr>
              <w:spacing w:after="0"/>
              <w:rPr>
                <w:sz w:val="20"/>
                <w:szCs w:val="20"/>
                <w:color w:val="auto"/>
              </w:rPr>
            </w:pPr>
            <w:r>
              <w:rPr>
                <w:rFonts w:ascii="Courier New" w:cs="Courier New" w:eastAsia="Courier New" w:hAnsi="Courier New"/>
                <w:sz w:val="16"/>
                <w:szCs w:val="16"/>
                <w:color w:val="auto"/>
              </w:rPr>
              <w:t>Net property income before depreciation,</w:t>
            </w: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amortization and certain nonrecurring items</w:t>
            </w: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$ 15,164</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(5,015)</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General and administrative</w:t>
            </w: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(1,293)</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Equity in earnings of unconsolidated</w:t>
            </w: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partnerships</w:t>
            </w: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200</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(6,355)</w:t>
            </w:r>
          </w:p>
        </w:tc>
      </w:tr>
      <w:tr>
        <w:trPr>
          <w:trHeight w:val="179"/>
        </w:trPr>
        <w:tc>
          <w:tcPr>
            <w:tcW w:w="5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120" w:type="dxa"/>
            <w:vAlign w:val="bottom"/>
          </w:tcPr>
          <w:p>
            <w:pPr>
              <w:spacing w:after="0"/>
              <w:rPr>
                <w:sz w:val="20"/>
                <w:szCs w:val="20"/>
                <w:color w:val="auto"/>
              </w:rPr>
            </w:pPr>
            <w:r>
              <w:rPr>
                <w:rFonts w:ascii="Courier New" w:cs="Courier New" w:eastAsia="Courier New" w:hAnsi="Courier New"/>
                <w:sz w:val="16"/>
                <w:szCs w:val="16"/>
                <w:color w:val="auto"/>
              </w:rPr>
              <w:t>Income before minority interest</w:t>
            </w: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2,701</w:t>
            </w:r>
          </w:p>
        </w:tc>
      </w:tr>
      <w:tr>
        <w:trPr>
          <w:trHeight w:val="179"/>
        </w:trPr>
        <w:tc>
          <w:tcPr>
            <w:tcW w:w="5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SUBSEQUENT EVENTS</w:t>
      </w:r>
    </w:p>
    <w:p>
      <w:pPr>
        <w:spacing w:after="0" w:line="183" w:lineRule="exact"/>
        <w:rPr>
          <w:sz w:val="20"/>
          <w:szCs w:val="20"/>
          <w:color w:val="auto"/>
        </w:rPr>
      </w:pPr>
    </w:p>
    <w:p>
      <w:pPr>
        <w:ind w:right="3540"/>
        <w:spacing w:after="0" w:line="235" w:lineRule="auto"/>
        <w:rPr>
          <w:sz w:val="20"/>
          <w:szCs w:val="20"/>
          <w:color w:val="auto"/>
        </w:rPr>
      </w:pPr>
      <w:r>
        <w:rPr>
          <w:rFonts w:ascii="Courier New" w:cs="Courier New" w:eastAsia="Courier New" w:hAnsi="Courier New"/>
          <w:sz w:val="16"/>
          <w:szCs w:val="16"/>
          <w:color w:val="auto"/>
        </w:rPr>
        <w:t>On April 10, 2001 the Company repaid $3,500 of outstanding debt under a revolving credit facility with a bank. Following this repayment, the Company had no outstanding balance under this facility, which provides for total borrowings of up to $7,400.</w:t>
      </w:r>
    </w:p>
    <w:p>
      <w:pPr>
        <w:spacing w:after="0" w:line="17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980"/>
          </w:cols>
          <w:pgMar w:left="240" w:top="469" w:right="679" w:bottom="1440" w:gutter="0" w:footer="0" w:header="0"/>
        </w:sectPr>
      </w:pPr>
    </w:p>
    <w:bookmarkStart w:id="11" w:name="page12"/>
    <w:bookmarkEnd w:id="11"/>
    <w:p>
      <w:pPr>
        <w:ind w:left="740" w:right="2879" w:hanging="743"/>
        <w:spacing w:after="0" w:line="234"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The following discussion is based on the consolidated financial statements of Acadia Realty Trust (the "Company") as of March 31, 2001 and 2000 and for the three months then ended. This information should be read in conjunction with the accompanying consolidated financial statements and notes thereto.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Certain statements contained in this report constitute "forward-looking statements" within the meaning of the Private Securities Litigation Reform Act of 1995. Such forward-looking statements involve known and unknown risks, uncertainties and other factors which may cause the actual results, performance or achievements of the Company to be materially different from any future results performance or achievements expressed or implied by such forward-looking statements. Such factors include, among others, the following: general economic and business conditions, which will, among other things, affect demand for rental space, the availability and creditworthiness of prospective tenants, lease rents and the availability of financing; adverse changes in the Company's real estate markets, including, among other things, competition with other companies; risks of real estate development and acquisition; governmental actions and initiatives; and environmental/safety requirements.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Comparison of the three month period ended March 31, 2001 ("2001") to the three month period ended March 31, 2000 ("2000")</w:t>
      </w:r>
    </w:p>
    <w:p>
      <w:pPr>
        <w:spacing w:after="0" w:line="183"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Total revenues decreased $1.3 million, or 5%, to $22.6 million for 2001 compared to $23.9 million for 2000.</w:t>
      </w:r>
    </w:p>
    <w:p>
      <w:pPr>
        <w:spacing w:after="0" w:line="183" w:lineRule="exact"/>
        <w:rPr>
          <w:sz w:val="20"/>
          <w:szCs w:val="20"/>
          <w:color w:val="auto"/>
        </w:rPr>
      </w:pPr>
    </w:p>
    <w:p>
      <w:pPr>
        <w:ind w:right="2779"/>
        <w:spacing w:after="0" w:line="275" w:lineRule="auto"/>
        <w:rPr>
          <w:sz w:val="20"/>
          <w:szCs w:val="20"/>
          <w:color w:val="auto"/>
        </w:rPr>
      </w:pPr>
      <w:r>
        <w:rPr>
          <w:rFonts w:ascii="Courier New" w:cs="Courier New" w:eastAsia="Courier New" w:hAnsi="Courier New"/>
          <w:sz w:val="14"/>
          <w:szCs w:val="14"/>
          <w:color w:val="auto"/>
        </w:rPr>
        <w:t>Minimum rents decreased $1.0 million, or 5%, to $17.4 million for 2001 compared to $18.4 million for 2000. Of this decrease, $1.5 million was due to the loss of rents following the sale of the Northwood Centre in December 2000. An additional $200,000 decrease in rents resulted from the planned termination of various tenant leases at the Abington Towne Center in June 2000 as part of the redevelopment and partial sale of the center. Partially offsetting these decreases was an increase in rents due to general increases in occupancy throughout the balance of the portfolio during fiscal 2000 and 2001.</w:t>
      </w:r>
    </w:p>
    <w:p>
      <w:pPr>
        <w:spacing w:after="0" w:line="338" w:lineRule="exact"/>
        <w:rPr>
          <w:sz w:val="20"/>
          <w:szCs w:val="20"/>
          <w:color w:val="auto"/>
        </w:rPr>
      </w:pPr>
    </w:p>
    <w:p>
      <w:pPr>
        <w:ind w:right="2779"/>
        <w:spacing w:after="0" w:line="276" w:lineRule="auto"/>
        <w:rPr>
          <w:sz w:val="20"/>
          <w:szCs w:val="20"/>
          <w:color w:val="auto"/>
        </w:rPr>
      </w:pPr>
      <w:r>
        <w:rPr>
          <w:rFonts w:ascii="Courier New" w:cs="Courier New" w:eastAsia="Courier New" w:hAnsi="Courier New"/>
          <w:sz w:val="14"/>
          <w:szCs w:val="14"/>
          <w:color w:val="auto"/>
        </w:rPr>
        <w:t>In total, expense reimbursements increased $65,000, or 2%, from $3.8 million for 2000 to $3.9 million for 2001. Common area maintenance ("CAM") expense reimbursements of $1.8 million were essentially unchanged from 2000. An increase in real estate tax reimbursements of $100,000 was primarily the result of general increases in real estate tax expense throughout the portfolio.</w:t>
      </w:r>
    </w:p>
    <w:p>
      <w:pPr>
        <w:spacing w:after="0" w:line="161"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Other income decreased $325,000, or 39%, to $502,000 in 2001 compared to $827,000 for 2000. This was primarily due to a decrease of $154,000 in third-party property management fees earned in 2001 following the cancellation of one management contract in November 2000 and a $175,000 decrease in interest income due to lower interest earning assets in 2001.</w:t>
      </w:r>
    </w:p>
    <w:p>
      <w:pPr>
        <w:spacing w:after="0" w:line="186"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Total operating expenses increased $144,000, or 1%, to $15.2 million for 2001, from $15.0 million for 2000.</w:t>
      </w:r>
    </w:p>
    <w:p>
      <w:pPr>
        <w:spacing w:after="0" w:line="183" w:lineRule="exact"/>
        <w:rPr>
          <w:sz w:val="20"/>
          <w:szCs w:val="20"/>
          <w:color w:val="auto"/>
        </w:rPr>
      </w:pPr>
    </w:p>
    <w:p>
      <w:pPr>
        <w:ind w:right="2879"/>
        <w:spacing w:after="0" w:line="275" w:lineRule="auto"/>
        <w:rPr>
          <w:sz w:val="20"/>
          <w:szCs w:val="20"/>
          <w:color w:val="auto"/>
        </w:rPr>
      </w:pPr>
      <w:r>
        <w:rPr>
          <w:rFonts w:ascii="Courier New" w:cs="Courier New" w:eastAsia="Courier New" w:hAnsi="Courier New"/>
          <w:sz w:val="14"/>
          <w:szCs w:val="14"/>
          <w:color w:val="auto"/>
        </w:rPr>
        <w:t>Property operating expenses increased $212,000, or 4%, to $6.2 million for 2001 compared to $6.0 million for 2000. This increase was a combination of higher payroll costs, an increase in CAM expenses (primarily snow removal costs) throughout the portfolio and an increase in bad debt expense in 2001. These increases were partially offset by a $499,000 decrease in property operating expenses following the sale of the Northwood Centre in December 2000.</w:t>
      </w:r>
    </w:p>
    <w:p>
      <w:pPr>
        <w:spacing w:after="0" w:line="162"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Real estate taxes increased $87,000, or 3%, from $2.7 million for 2000 to $2.8 million for 2001. This increase was due to higher real estate taxes experienced generally throughout the portfolio. Offsetting this increase was a decrease in taxes following the sale of the Northwood Centre.</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75" w:right="1440" w:bottom="1440" w:gutter="0" w:footer="0" w:header="0"/>
        </w:sectPr>
      </w:pPr>
    </w:p>
    <w:bookmarkStart w:id="12" w:name="page13"/>
    <w:bookmarkEnd w:id="12"/>
    <w:p>
      <w:pPr>
        <w:ind w:left="5"/>
        <w:spacing w:after="0"/>
        <w:rPr>
          <w:sz w:val="20"/>
          <w:szCs w:val="20"/>
          <w:color w:val="auto"/>
        </w:rPr>
      </w:pPr>
      <w:r>
        <w:rPr>
          <w:rFonts w:ascii="Courier New" w:cs="Courier New" w:eastAsia="Courier New" w:hAnsi="Courier New"/>
          <w:sz w:val="16"/>
          <w:szCs w:val="16"/>
          <w:color w:val="auto"/>
        </w:rPr>
        <w:t>RESULTS OF OPERATIONS, continued</w:t>
      </w:r>
    </w:p>
    <w:p>
      <w:pPr>
        <w:spacing w:after="0" w:line="183"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Depreciation and amortization decreased $51,000 for 2001, of which $50,000 resulted from a decrease in depreciation expense. This decrease was a result of the sale of the Northwood Centre partially offset against increased depreciation expense related to capitalized tenant installation costs during fiscal 2000 and 2001.</w:t>
      </w:r>
    </w:p>
    <w:p>
      <w:pPr>
        <w:spacing w:after="0" w:line="186"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General and administrative expense decreased $104,000, or 8%, from $1.3 million for 2000 to $1.2 million for 2001, which was primarily attributable to a $125,000 decrease in third-party professional fees in 2001.</w:t>
      </w:r>
    </w:p>
    <w:p>
      <w:pPr>
        <w:spacing w:after="0" w:line="183" w:lineRule="exact"/>
        <w:rPr>
          <w:sz w:val="20"/>
          <w:szCs w:val="20"/>
          <w:color w:val="auto"/>
        </w:rPr>
      </w:pPr>
    </w:p>
    <w:p>
      <w:pPr>
        <w:ind w:left="5" w:right="2959"/>
        <w:spacing w:after="0" w:line="236" w:lineRule="auto"/>
        <w:rPr>
          <w:sz w:val="20"/>
          <w:szCs w:val="20"/>
          <w:color w:val="auto"/>
        </w:rPr>
      </w:pPr>
      <w:r>
        <w:rPr>
          <w:rFonts w:ascii="Courier New" w:cs="Courier New" w:eastAsia="Courier New" w:hAnsi="Courier New"/>
          <w:sz w:val="16"/>
          <w:szCs w:val="16"/>
          <w:color w:val="auto"/>
        </w:rPr>
        <w:t>Interest expense of $5.3 million for 2001 decreased $1.1 million, or 17%, from $6.4 million for 2000. Of this decrease, $405,000 was the result of a lower average interest rate on the portfolio mortgage debt and $839,000 was due to lower average outstanding borrowings following certain loan payoffs during fiscal 2000 and 2001, including the debt related to the Northwood Centre which was sold in December 2000. These decreases were partially offset by $117,000 less capitalized interest in 2001.</w:t>
      </w:r>
    </w:p>
    <w:p>
      <w:pPr>
        <w:spacing w:after="0" w:line="184" w:lineRule="exact"/>
        <w:rPr>
          <w:sz w:val="20"/>
          <w:szCs w:val="20"/>
          <w:color w:val="auto"/>
        </w:rPr>
      </w:pPr>
    </w:p>
    <w:p>
      <w:pPr>
        <w:jc w:val="both"/>
        <w:ind w:left="5" w:right="2879"/>
        <w:spacing w:after="0" w:line="295" w:lineRule="auto"/>
        <w:rPr>
          <w:sz w:val="20"/>
          <w:szCs w:val="20"/>
          <w:color w:val="auto"/>
        </w:rPr>
      </w:pPr>
      <w:r>
        <w:rPr>
          <w:rFonts w:ascii="Courier New" w:cs="Courier New" w:eastAsia="Courier New" w:hAnsi="Courier New"/>
          <w:sz w:val="14"/>
          <w:szCs w:val="14"/>
          <w:color w:val="auto"/>
        </w:rPr>
        <w:t>The $140,000 extraordinary loss in 2001 was a result of the write-off of deferred financing fees as a result of the early repayment of the related debt.</w:t>
      </w:r>
    </w:p>
    <w:p>
      <w:pPr>
        <w:spacing w:after="0" w:line="14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Funds from Operations</w:t>
      </w:r>
    </w:p>
    <w:p>
      <w:pPr>
        <w:spacing w:after="0" w:line="183" w:lineRule="exact"/>
        <w:rPr>
          <w:sz w:val="20"/>
          <w:szCs w:val="20"/>
          <w:color w:val="auto"/>
        </w:rPr>
      </w:pPr>
    </w:p>
    <w:p>
      <w:pPr>
        <w:jc w:val="both"/>
        <w:ind w:left="5" w:right="2879"/>
        <w:spacing w:after="0" w:line="270" w:lineRule="auto"/>
        <w:rPr>
          <w:sz w:val="20"/>
          <w:szCs w:val="20"/>
          <w:color w:val="auto"/>
        </w:rPr>
      </w:pPr>
      <w:r>
        <w:rPr>
          <w:rFonts w:ascii="Courier New" w:cs="Courier New" w:eastAsia="Courier New" w:hAnsi="Courier New"/>
          <w:sz w:val="14"/>
          <w:szCs w:val="14"/>
          <w:color w:val="auto"/>
        </w:rPr>
        <w:t>The Company, along with most industry analysts, considers funds from operations ("FFO") as defined by the National Association of Real Estate Investment Trusts ("NAREIT") as an appropriate supplemental measure of operating performance.</w:t>
      </w:r>
    </w:p>
    <w:p>
      <w:pPr>
        <w:spacing w:after="0" w:line="1" w:lineRule="exact"/>
        <w:rPr>
          <w:sz w:val="20"/>
          <w:szCs w:val="20"/>
          <w:color w:val="auto"/>
        </w:rPr>
      </w:pPr>
    </w:p>
    <w:p>
      <w:pPr>
        <w:ind w:left="5" w:right="2879"/>
        <w:spacing w:after="0" w:line="235" w:lineRule="auto"/>
        <w:rPr>
          <w:sz w:val="20"/>
          <w:szCs w:val="20"/>
          <w:color w:val="auto"/>
        </w:rPr>
      </w:pPr>
      <w:r>
        <w:rPr>
          <w:rFonts w:ascii="Courier New" w:cs="Courier New" w:eastAsia="Courier New" w:hAnsi="Courier New"/>
          <w:sz w:val="16"/>
          <w:szCs w:val="16"/>
          <w:color w:val="auto"/>
        </w:rPr>
        <w:t>However, FFO does not represent cash generated from operations as defined by accounting principles generally accepted in the United States and is not indicative of cash available to fund cash needs. It should not be considered as an alternative to net income for the purpose of evaluating the Company's performance or to cash flows as a measure of liquidity.</w:t>
      </w:r>
    </w:p>
    <w:p>
      <w:pPr>
        <w:spacing w:after="0" w:line="186"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Generally, NAREIT defines FFO as net income (computed in accordance with accounting principles generally accepted in the United States) before gains (losses) on sales of property, plus depreciation on real estate and amortization of capitalized leasing costs, and after adjustments for unconsolidated partnerships and joint ventures on the same basis. The reconciliation of net income to FFO for the three month periods ended March 31, 2001 and 2000 is as follows:</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740" w:type="dxa"/>
            <w:vAlign w:val="bottom"/>
          </w:tcPr>
          <w:p>
            <w:pPr>
              <w:spacing w:after="0"/>
              <w:rPr>
                <w:sz w:val="15"/>
                <w:szCs w:val="15"/>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For the quarter ended</w:t>
            </w:r>
          </w:p>
        </w:tc>
      </w:tr>
      <w:tr>
        <w:trPr>
          <w:trHeight w:val="179"/>
        </w:trPr>
        <w:tc>
          <w:tcPr>
            <w:tcW w:w="4740" w:type="dxa"/>
            <w:vAlign w:val="bottom"/>
          </w:tcPr>
          <w:p>
            <w:pPr>
              <w:spacing w:after="0"/>
              <w:rPr>
                <w:sz w:val="15"/>
                <w:szCs w:val="15"/>
                <w:color w:val="auto"/>
              </w:rPr>
            </w:pPr>
          </w:p>
        </w:tc>
        <w:tc>
          <w:tcPr>
            <w:tcW w:w="232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March 31,</w:t>
            </w:r>
          </w:p>
        </w:tc>
      </w:tr>
      <w:tr>
        <w:trPr>
          <w:trHeight w:val="179"/>
        </w:trPr>
        <w:tc>
          <w:tcPr>
            <w:tcW w:w="4740" w:type="dxa"/>
            <w:vAlign w:val="bottom"/>
          </w:tcPr>
          <w:p>
            <w:pPr>
              <w:spacing w:after="0"/>
              <w:rPr>
                <w:sz w:val="15"/>
                <w:szCs w:val="15"/>
                <w:color w:val="auto"/>
              </w:rPr>
            </w:pP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2001</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4740" w:type="dxa"/>
            <w:vAlign w:val="bottom"/>
          </w:tcPr>
          <w:p>
            <w:pPr>
              <w:spacing w:after="0"/>
              <w:rPr>
                <w:sz w:val="15"/>
                <w:szCs w:val="15"/>
                <w:color w:val="auto"/>
              </w:rPr>
            </w:pPr>
          </w:p>
        </w:tc>
        <w:tc>
          <w:tcPr>
            <w:tcW w:w="14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$1,583</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$1,874</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of real estate and amortization of</w:t>
            </w: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leasing costs:</w:t>
            </w: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4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Wholly-owned and consolidated</w:t>
            </w: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4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partnerships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4,689</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4,737</w:t>
            </w:r>
          </w:p>
        </w:tc>
      </w:tr>
      <w:tr>
        <w:trPr>
          <w:trHeight w:val="179"/>
        </w:trPr>
        <w:tc>
          <w:tcPr>
            <w:tcW w:w="4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Unconsolidated  partnerships</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157</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156</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attributable to minority interest in</w:t>
            </w: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4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Operating Partnership (a)</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379</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780</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item</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140</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Cumulative effect of a change in</w:t>
            </w: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9"/>
        </w:trPr>
        <w:tc>
          <w:tcPr>
            <w:tcW w:w="47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accounting principal</w:t>
            </w: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149</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40" w:type="dxa"/>
            <w:vAlign w:val="bottom"/>
          </w:tcPr>
          <w:p>
            <w:pPr>
              <w:spacing w:after="0"/>
              <w:rPr>
                <w:sz w:val="20"/>
                <w:szCs w:val="20"/>
                <w:color w:val="auto"/>
              </w:rPr>
            </w:pPr>
            <w:r>
              <w:rPr>
                <w:rFonts w:ascii="Courier New" w:cs="Courier New" w:eastAsia="Courier New" w:hAnsi="Courier New"/>
                <w:sz w:val="16"/>
                <w:szCs w:val="16"/>
                <w:color w:val="auto"/>
              </w:rPr>
              <w:t>Funds from operations</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$7,097</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$7,547</w:t>
            </w:r>
          </w:p>
        </w:tc>
      </w:tr>
      <w:tr>
        <w:trPr>
          <w:trHeight w:val="179"/>
        </w:trPr>
        <w:tc>
          <w:tcPr>
            <w:tcW w:w="474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40" w:type="dxa"/>
            <w:vAlign w:val="bottom"/>
          </w:tcPr>
          <w:p>
            <w:pPr>
              <w:spacing w:after="0"/>
              <w:rPr>
                <w:sz w:val="20"/>
                <w:szCs w:val="20"/>
                <w:color w:val="auto"/>
              </w:rPr>
            </w:pPr>
            <w:r>
              <w:rPr>
                <w:rFonts w:ascii="Courier New" w:cs="Courier New" w:eastAsia="Courier New" w:hAnsi="Courier New"/>
                <w:sz w:val="16"/>
                <w:szCs w:val="16"/>
                <w:color w:val="auto"/>
              </w:rPr>
              <w:t>Funds from operations per share (b)</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$ 0.20</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$ 0.21</w:t>
            </w:r>
          </w:p>
        </w:tc>
      </w:tr>
      <w:tr>
        <w:trPr>
          <w:trHeight w:val="179"/>
        </w:trPr>
        <w:tc>
          <w:tcPr>
            <w:tcW w:w="4740" w:type="dxa"/>
            <w:vAlign w:val="bottom"/>
          </w:tcPr>
          <w:p>
            <w:pPr>
              <w:spacing w:after="0"/>
              <w:rPr>
                <w:sz w:val="15"/>
                <w:szCs w:val="15"/>
                <w:color w:val="auto"/>
              </w:rPr>
            </w:pPr>
          </w:p>
        </w:tc>
        <w:tc>
          <w:tcPr>
            <w:tcW w:w="14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left="5" w:right="3239" w:hanging="5"/>
        <w:spacing w:after="0" w:line="234" w:lineRule="auto"/>
        <w:tabs>
          <w:tab w:leader="none" w:pos="37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distributions paid to Preferred OP Unitholders for the quarter ended March 31, 2001 and 2000.</w:t>
      </w:r>
    </w:p>
    <w:p>
      <w:pPr>
        <w:spacing w:after="0" w:line="183" w:lineRule="exact"/>
        <w:rPr>
          <w:rFonts w:ascii="Courier New" w:cs="Courier New" w:eastAsia="Courier New" w:hAnsi="Courier New"/>
          <w:sz w:val="16"/>
          <w:szCs w:val="16"/>
          <w:color w:val="auto"/>
        </w:rPr>
      </w:pPr>
    </w:p>
    <w:p>
      <w:pPr>
        <w:ind w:left="5" w:right="3239" w:hanging="5"/>
        <w:spacing w:after="0" w:line="235" w:lineRule="auto"/>
        <w:tabs>
          <w:tab w:leader="none" w:pos="37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full conversion of a weighted average 6,804,144 and 10,484,143 Common OP Units into Common Shares for the quarter ended March 31, 2001 and 2000.</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4"/>
          </w:cols>
          <w:pgMar w:left="235" w:top="469"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Uses of Liquidity</w:t>
      </w:r>
    </w:p>
    <w:p>
      <w:pPr>
        <w:spacing w:after="0" w:line="183"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The Company's principal uses of its liquidity are expected to be for distributions to its shareholders and OP unitholders, debt service and loan repayments, and property investment which includes acquisition, redevelopment, expansion and retenanting activities. In order to qualify as a REIT for Federal income tax purposes, the Company must currently distribute at least 90% of its taxable income to its shareholders. On March 8, 2001, the Board of Trustees of the Company approved and declared a cash quarterly dividend for the quarter ended March 31, 2001 of $0.12 per Common Share and Common OP Unit. The dividend was paid on April 13, 2001 to the shareholders of record as of March 30, 2001. The Board of Trustees also approved a distribution of $22.50 per Preferred OP Unit which was paid on April 13, 2001.</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Redevelopment and Expansion</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The Company's redevelopment program focuses on selecting well-located neighborhood and community shopping centers and creating significant value through retenanting and property redevelopment. The Company currently has four properties under redevelopment as follows:</w:t>
      </w:r>
    </w:p>
    <w:p>
      <w:pPr>
        <w:spacing w:after="0" w:line="185"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Abington Towne Center - The Company has completed the first phase of redevelopment of this previously enclosed multi-level mall located in the Philadelphia suburb of Abington, Pennsylvania. In 2000, the Company sold approximately 160,000 square feet representing the top two floors and the rear portion of the ground level and the related parking area to the Target Corp. which is currently building out the space and is expected to open prior to the end of 2001. The Company has "de-malled" the balance of the center consisting of approximately 46,000 square feet of the main building and 14,000 square feet of store space in outparcel buildings which it will continue to own and operate. Costs incurred on this project (net of reimbursements from Target) through March 31, 2001 totaled $2.7 million with approximately $1.0 million of costs remaining to complete the redevelopment of this property.</w:t>
      </w:r>
    </w:p>
    <w:p>
      <w:pPr>
        <w:spacing w:after="0" w:line="341"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Elmwood Park Shopping Center - This center, located in Elmwood Park, New Jersey, is approximately ten miles west of New York City. The redevelopment consists of reanchoring, renovating and expanding the existing 125,000 square foot shopping center by 30,000 square feet. The new anchor, a 48,000 square foot free-standing A&amp;P supermarket, will replace an undersized (28,000 square feet) in-line Grand Union supermarket when completed. The project also includes the expansion of an existing Walgreens drug store. As of March 31, 2001, costs incurred on this project totaled $643,000. The Company expects remaining redevelopment costs of approximately $8.6 million to complete this project in 2002. In conjunction with the A&amp;P supermarket rent commencement, the Operating Partnership is also obligated to issue OP Units equal to $2.75 million.</w:t>
      </w:r>
    </w:p>
    <w:p>
      <w:pPr>
        <w:spacing w:after="0" w:line="162"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Methuen Shopping Center - This center, located in Methuen, Massachusetts (part of the Boston metropolitan statistical area) was formally anchored by a Caldor department store. The Company acquired this lease out of bankruptcy and has executed a lease with Wal*Mart for an 89,000 square foot department store which is projected to open in the fourth quarter of 2001. Projected costs to complete this project are approximately $400,000.</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Gateway Shopping Center - The redevelopment of the Gateway Shopping Center, a partially enclosed mall located in South Burlington, Vermont, includes the recapture of a 32,000 square foot former Grand Union store, demolition of 90% of the property and the construction of a new anchor tenant. Following the bankruptcy of Grand Union, the lease was assigned to Shaw's supermarket. The Company is currently in discussions with Shaw's to continue with the redevelopment of this center.</w:t>
      </w:r>
    </w:p>
    <w:p>
      <w:pPr>
        <w:spacing w:after="0" w:line="18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Additionally, the Company currently estimates that for the remaining portfolio, capital outlays of approximately $2.5 million will be required during 2001 for tenant improvements, related renovations and other property improvements related to executed leases.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Repurchase Plan</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The Company's repurchase of its Common Shares is an additional use of liquidity. In January 2001, the Board of Trustees approved a continuation and expansion of the Company's existing stock repurchase program. Management is authorized, at its discretion, to repurchase up to an additional $10.0 million of the Company's outstanding Common Shares. Through May 8, 2001, the Company had repurchased 1,793,642 (net of 86,063 shares reissued) at a total cost of $10.6 million under the expanded share repurchase program which allows for the repurchase of up to $20.0 million of the Company's outstanding Common Shares. The program may be discontinued or extended at any time and there is no assurance that the Company will purchase the full amount authorized.</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69" w:right="1440" w:bottom="1132"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LIQUIDITY AND CAPITAL RESOURCES,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Sources of Liquidity</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Sources of capital for funding property acquisition, redevelopment, expansion and retenanting, as well as repurchase of Common Shares are expected to be obtained primarily from cash on hand, additional debt financings and sales of existing properties. As of March 31, 2001, the Company has a total of $8.4 million of additional capacity with two lenders. The Company also has 15 properties that are currently unencumbered and therefore available as potential collateral for future borrowings. The Company anticipates that cash flow from operating activities will continue to provide adequate capital for all debt service payments, recurring capital expenditures and REIT distribution requirements.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Financing and Debt</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As of March 31, 2001 interest on the Company's mortgage indebtedness ranged from 6.5% to 9.6% with maturities that ranged from March 2002 to November 2021. Of the total outstanding debt, $124.8 million, or 46%, was carried at fixed interest rates with a weighted average of 8.4%, and $146.6 million, or 54%, was carried at variable rates with a weighted average of 7.7%. Of the total outstanding debt, $78.7 million will become due by 2003, with scheduled maturities of $55.9 million at an interest rate of 7.3% in 2002 and $22.8 million at an interest rate of 7.2% in 2003. No outstanding debt matures in 2001. The Company expects to refinance maturing debt or select other alternatives based on market conditions at that time, although there can be no assurance as to the consummation or terms of such refinancings.</w:t>
      </w:r>
    </w:p>
    <w:p>
      <w:pPr>
        <w:spacing w:after="0" w:line="186"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The following summarizes certain significant financing transactions completed since December 31, 2000:</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On January 8, 2001, the Company partially repaid $10.1 million of fixed-rate mortgage debt, which was secured by two of the Company's properties, with a life insurance company. On March 30, 2001, the remaining outstanding debt of $7.9 million with this lender was fully repaid.</w:t>
      </w:r>
    </w:p>
    <w:p>
      <w:pPr>
        <w:spacing w:after="0" w:line="185"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On March 29, 2001, the Company borrowed an additional $23.0 million under an existing $59.0 million secured financing line with a bank. As of March 31, 2001, $59.0 million was outstanding under the Line.</w:t>
      </w:r>
    </w:p>
    <w:p>
      <w:pPr>
        <w:spacing w:after="0" w:line="183" w:lineRule="exact"/>
        <w:rPr>
          <w:sz w:val="20"/>
          <w:szCs w:val="20"/>
          <w:color w:val="auto"/>
        </w:rPr>
      </w:pPr>
    </w:p>
    <w:p>
      <w:pPr>
        <w:ind w:right="3159"/>
        <w:spacing w:after="0" w:line="295" w:lineRule="auto"/>
        <w:rPr>
          <w:sz w:val="20"/>
          <w:szCs w:val="20"/>
          <w:color w:val="auto"/>
        </w:rPr>
      </w:pPr>
      <w:r>
        <w:rPr>
          <w:rFonts w:ascii="Courier New" w:cs="Courier New" w:eastAsia="Courier New" w:hAnsi="Courier New"/>
          <w:sz w:val="14"/>
          <w:szCs w:val="14"/>
          <w:color w:val="auto"/>
        </w:rPr>
        <w:t>On March 30, 2001, the Company fully repaid $9.9 million of outstanding debt with a bank which was collateralized by one of the Company's properties.</w:t>
      </w:r>
    </w:p>
    <w:p>
      <w:pPr>
        <w:spacing w:after="0" w:line="147"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On April 10, 2001 the Company repaid $3.5 million of outstanding debt under a revolving credit facility with a bank. Following this repayment, the Company had no outstanding balance under this facility, which provides for total borrowings of up to $7.4 million.</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6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LIQUIDITY AND CAPITAL RESOURCES, continued</w:t>
      </w:r>
    </w:p>
    <w:p>
      <w:pPr>
        <w:spacing w:after="0" w:line="236" w:lineRule="auto"/>
        <w:rPr>
          <w:sz w:val="20"/>
          <w:szCs w:val="20"/>
          <w:color w:val="auto"/>
        </w:rPr>
      </w:pPr>
      <w:r>
        <w:rPr>
          <w:rFonts w:ascii="Courier New" w:cs="Courier New" w:eastAsia="Courier New" w:hAnsi="Courier New"/>
          <w:sz w:val="16"/>
          <w:szCs w:val="16"/>
          <w:color w:val="auto"/>
        </w:rPr>
        <w:t>Financing and Debt, continued</w:t>
      </w:r>
    </w:p>
    <w:p>
      <w:pPr>
        <w:spacing w:after="0" w:line="362" w:lineRule="exact"/>
        <w:rPr>
          <w:sz w:val="20"/>
          <w:szCs w:val="20"/>
          <w:color w:val="auto"/>
        </w:rPr>
      </w:pPr>
    </w:p>
    <w:p>
      <w:pPr>
        <w:ind w:right="3620"/>
        <w:spacing w:after="0" w:line="234" w:lineRule="auto"/>
        <w:rPr>
          <w:sz w:val="20"/>
          <w:szCs w:val="20"/>
          <w:color w:val="auto"/>
        </w:rPr>
      </w:pPr>
      <w:r>
        <w:rPr>
          <w:rFonts w:ascii="Courier New" w:cs="Courier New" w:eastAsia="Courier New" w:hAnsi="Courier New"/>
          <w:sz w:val="16"/>
          <w:szCs w:val="16"/>
          <w:color w:val="auto"/>
        </w:rPr>
        <w:t>The following table summarizes the Company's mortgage indebtedness as of March 31, 2001:</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18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March 31,</w:t>
            </w:r>
          </w:p>
        </w:tc>
        <w:tc>
          <w:tcPr>
            <w:tcW w:w="20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December 31,</w:t>
            </w:r>
          </w:p>
        </w:tc>
        <w:tc>
          <w:tcPr>
            <w:tcW w:w="700" w:type="dxa"/>
            <w:vAlign w:val="bottom"/>
          </w:tcPr>
          <w:p>
            <w:pPr>
              <w:spacing w:after="0"/>
              <w:rPr>
                <w:sz w:val="15"/>
                <w:szCs w:val="15"/>
                <w:color w:val="auto"/>
              </w:rPr>
            </w:pPr>
          </w:p>
        </w:tc>
        <w:tc>
          <w:tcPr>
            <w:tcW w:w="1480" w:type="dxa"/>
            <w:vAlign w:val="bottom"/>
          </w:tcPr>
          <w:p>
            <w:pPr>
              <w:spacing w:after="0"/>
              <w:rPr>
                <w:sz w:val="20"/>
                <w:szCs w:val="20"/>
                <w:color w:val="auto"/>
              </w:rPr>
            </w:pPr>
            <w:r>
              <w:rPr>
                <w:rFonts w:ascii="Courier New" w:cs="Courier New" w:eastAsia="Courier New" w:hAnsi="Courier New"/>
                <w:sz w:val="16"/>
                <w:szCs w:val="16"/>
                <w:color w:val="auto"/>
              </w:rPr>
              <w:t>Interest</w:t>
            </w:r>
          </w:p>
        </w:tc>
      </w:tr>
      <w:tr>
        <w:trPr>
          <w:trHeight w:val="179"/>
        </w:trPr>
        <w:tc>
          <w:tcPr>
            <w:tcW w:w="4780" w:type="dxa"/>
            <w:vAlign w:val="bottom"/>
          </w:tcPr>
          <w:p>
            <w:pPr>
              <w:spacing w:after="0"/>
              <w:rPr>
                <w:sz w:val="15"/>
                <w:szCs w:val="15"/>
                <w:color w:val="auto"/>
              </w:rPr>
            </w:pPr>
          </w:p>
        </w:tc>
        <w:tc>
          <w:tcPr>
            <w:tcW w:w="186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2001</w:t>
            </w:r>
          </w:p>
        </w:tc>
        <w:tc>
          <w:tcPr>
            <w:tcW w:w="206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2000</w:t>
            </w:r>
          </w:p>
        </w:tc>
        <w:tc>
          <w:tcPr>
            <w:tcW w:w="700" w:type="dxa"/>
            <w:vAlign w:val="bottom"/>
          </w:tcPr>
          <w:p>
            <w:pPr>
              <w:spacing w:after="0"/>
              <w:rPr>
                <w:sz w:val="15"/>
                <w:szCs w:val="15"/>
                <w:color w:val="auto"/>
              </w:rPr>
            </w:pPr>
          </w:p>
        </w:tc>
        <w:tc>
          <w:tcPr>
            <w:tcW w:w="14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Rate</w:t>
            </w:r>
          </w:p>
        </w:tc>
      </w:tr>
      <w:tr>
        <w:trPr>
          <w:trHeight w:val="179"/>
        </w:trPr>
        <w:tc>
          <w:tcPr>
            <w:tcW w:w="4780" w:type="dxa"/>
            <w:vAlign w:val="bottom"/>
          </w:tcPr>
          <w:p>
            <w:pPr>
              <w:spacing w:after="0"/>
              <w:rPr>
                <w:sz w:val="15"/>
                <w:szCs w:val="15"/>
                <w:color w:val="auto"/>
              </w:rPr>
            </w:pP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8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Mortgage notes payable - variable-rate</w:t>
            </w:r>
          </w:p>
        </w:tc>
        <w:tc>
          <w:tcPr>
            <w:tcW w:w="1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Fleet Bank, N.A.</w:t>
            </w:r>
          </w:p>
        </w:tc>
        <w:tc>
          <w:tcPr>
            <w:tcW w:w="18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4,096</w:t>
            </w:r>
          </w:p>
        </w:tc>
        <w:tc>
          <w:tcPr>
            <w:tcW w:w="20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4,110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6.81%</w:t>
            </w:r>
          </w:p>
        </w:tc>
        <w:tc>
          <w:tcPr>
            <w:tcW w:w="1480" w:type="dxa"/>
            <w:vAlign w:val="bottom"/>
          </w:tcPr>
          <w:p>
            <w:pPr>
              <w:ind w:left="80"/>
              <w:spacing w:after="0"/>
              <w:rPr>
                <w:sz w:val="20"/>
                <w:szCs w:val="20"/>
                <w:color w:val="auto"/>
              </w:rPr>
            </w:pPr>
            <w:r>
              <w:rPr>
                <w:rFonts w:ascii="Courier New" w:cs="Courier New" w:eastAsia="Courier New" w:hAnsi="Courier New"/>
                <w:sz w:val="16"/>
                <w:szCs w:val="16"/>
                <w:color w:val="auto"/>
                <w:w w:val="95"/>
              </w:rPr>
              <w:t>(LIBOR + 1.75%)</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Fleet Bank, N.A.</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9,189</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9,216</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6.84%</w:t>
            </w:r>
          </w:p>
        </w:tc>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(LIBOR + 1.78%)</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Sun America Life Insurance Company</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13,725</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13,774</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7.58%</w:t>
            </w:r>
          </w:p>
        </w:tc>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(LIBOR + 2.05%)</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Sun America Life Insurance Company</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9,824</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9,856</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8.45%</w:t>
            </w:r>
          </w:p>
        </w:tc>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(LIBOR + 2.05%)</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KBC Bank</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14,165</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14,238</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6.53%</w:t>
            </w:r>
          </w:p>
        </w:tc>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(LIBOR + 1.25%)</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Fleet Bank, N.A.</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3,500</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3,500</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6.74%</w:t>
            </w:r>
          </w:p>
        </w:tc>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(LIBOR + 1.50%)</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Fleet Bank, N.A.</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8,938</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8,965</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7.03%</w:t>
            </w:r>
          </w:p>
        </w:tc>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(LIBOR + 1.75%)</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Metropolitan Life Insurance Company</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10,800</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10,800</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7.42%</w:t>
            </w:r>
          </w:p>
        </w:tc>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(LIBOR + 2.00%)</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First Union National Bank</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13,605</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13,636</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6.51%</w:t>
            </w:r>
          </w:p>
        </w:tc>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(LIBOR + 1.45%)</w:t>
            </w: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Dime Savings Bank of NY</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58,737</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35,814</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7.06%</w:t>
            </w:r>
          </w:p>
        </w:tc>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(LIBOR + 1.75%)</w:t>
            </w:r>
          </w:p>
        </w:tc>
      </w:tr>
      <w:tr>
        <w:trPr>
          <w:trHeight w:val="179"/>
        </w:trPr>
        <w:tc>
          <w:tcPr>
            <w:tcW w:w="4780" w:type="dxa"/>
            <w:vAlign w:val="bottom"/>
          </w:tcPr>
          <w:p>
            <w:pPr>
              <w:spacing w:after="0"/>
              <w:rPr>
                <w:sz w:val="15"/>
                <w:szCs w:val="15"/>
                <w:color w:val="auto"/>
              </w:rPr>
            </w:pP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780" w:type="dxa"/>
            <w:vAlign w:val="bottom"/>
          </w:tcPr>
          <w:p>
            <w:pPr>
              <w:ind w:left="2320"/>
              <w:spacing w:after="0" w:line="179" w:lineRule="exact"/>
              <w:rPr>
                <w:sz w:val="20"/>
                <w:szCs w:val="20"/>
                <w:color w:val="auto"/>
              </w:rPr>
            </w:pPr>
            <w:r>
              <w:rPr>
                <w:rFonts w:ascii="Courier New" w:cs="Courier New" w:eastAsia="Courier New" w:hAnsi="Courier New"/>
                <w:sz w:val="16"/>
                <w:szCs w:val="16"/>
                <w:color w:val="auto"/>
              </w:rPr>
              <w:t>Total variable-rate debt</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146,579</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123,909</w:t>
            </w: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780" w:type="dxa"/>
            <w:vAlign w:val="bottom"/>
          </w:tcPr>
          <w:p>
            <w:pPr>
              <w:spacing w:after="0"/>
              <w:rPr>
                <w:sz w:val="15"/>
                <w:szCs w:val="15"/>
                <w:color w:val="auto"/>
              </w:rPr>
            </w:pP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8"/>
        </w:trPr>
        <w:tc>
          <w:tcPr>
            <w:tcW w:w="478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Mortgage notes payable - fixed rate</w:t>
            </w:r>
          </w:p>
        </w:tc>
        <w:tc>
          <w:tcPr>
            <w:tcW w:w="1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8"/>
        </w:trPr>
        <w:tc>
          <w:tcPr>
            <w:tcW w:w="4780" w:type="dxa"/>
            <w:vAlign w:val="bottom"/>
          </w:tcPr>
          <w:p>
            <w:pPr>
              <w:spacing w:after="0"/>
              <w:rPr>
                <w:sz w:val="20"/>
                <w:szCs w:val="20"/>
                <w:color w:val="auto"/>
              </w:rPr>
            </w:pPr>
            <w:r>
              <w:rPr>
                <w:rFonts w:ascii="Courier New" w:cs="Courier New" w:eastAsia="Courier New" w:hAnsi="Courier New"/>
                <w:sz w:val="16"/>
                <w:szCs w:val="16"/>
                <w:color w:val="auto"/>
              </w:rPr>
              <w:t>Huntoon Hastings Capital Corp.</w:t>
            </w:r>
          </w:p>
        </w:tc>
        <w:tc>
          <w:tcPr>
            <w:tcW w:w="186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6,222</w:t>
            </w:r>
          </w:p>
        </w:tc>
        <w:tc>
          <w:tcPr>
            <w:tcW w:w="20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6,222</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7.50%</w:t>
            </w:r>
          </w:p>
        </w:tc>
        <w:tc>
          <w:tcPr>
            <w:tcW w:w="1480" w:type="dxa"/>
            <w:vAlign w:val="bottom"/>
          </w:tcPr>
          <w:p>
            <w:pPr>
              <w:spacing w:after="0"/>
              <w:rPr>
                <w:sz w:val="24"/>
                <w:szCs w:val="24"/>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Anchor National Life Insurance Company</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3,751</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3,775</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7.93%</w:t>
            </w:r>
          </w:p>
        </w:tc>
        <w:tc>
          <w:tcPr>
            <w:tcW w:w="1480" w:type="dxa"/>
            <w:vAlign w:val="bottom"/>
          </w:tcPr>
          <w:p>
            <w:pPr>
              <w:spacing w:after="0"/>
              <w:rPr>
                <w:sz w:val="15"/>
                <w:szCs w:val="15"/>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Lehman Brothers Holdings, Inc.</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17,744</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17,792</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8.32%</w:t>
            </w:r>
          </w:p>
        </w:tc>
        <w:tc>
          <w:tcPr>
            <w:tcW w:w="1480" w:type="dxa"/>
            <w:vAlign w:val="bottom"/>
          </w:tcPr>
          <w:p>
            <w:pPr>
              <w:spacing w:after="0"/>
              <w:rPr>
                <w:sz w:val="15"/>
                <w:szCs w:val="15"/>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Mellon Mortgage Company</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7,409</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7,442</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9.60%</w:t>
            </w:r>
          </w:p>
        </w:tc>
        <w:tc>
          <w:tcPr>
            <w:tcW w:w="1480" w:type="dxa"/>
            <w:vAlign w:val="bottom"/>
          </w:tcPr>
          <w:p>
            <w:pPr>
              <w:spacing w:after="0"/>
              <w:rPr>
                <w:sz w:val="15"/>
                <w:szCs w:val="15"/>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Northern Life Insurance Company</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2,828</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2,895</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7.70%</w:t>
            </w:r>
          </w:p>
        </w:tc>
        <w:tc>
          <w:tcPr>
            <w:tcW w:w="1480" w:type="dxa"/>
            <w:vAlign w:val="bottom"/>
          </w:tcPr>
          <w:p>
            <w:pPr>
              <w:spacing w:after="0"/>
              <w:rPr>
                <w:sz w:val="15"/>
                <w:szCs w:val="15"/>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Reliastar Life Insurance Company</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1,950</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1,996</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7.70%</w:t>
            </w:r>
          </w:p>
        </w:tc>
        <w:tc>
          <w:tcPr>
            <w:tcW w:w="1480" w:type="dxa"/>
            <w:vAlign w:val="bottom"/>
          </w:tcPr>
          <w:p>
            <w:pPr>
              <w:spacing w:after="0"/>
              <w:rPr>
                <w:sz w:val="15"/>
                <w:szCs w:val="15"/>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Metropolitan Life Insurance Company</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25,069</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25,148</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8.13%</w:t>
            </w:r>
          </w:p>
        </w:tc>
        <w:tc>
          <w:tcPr>
            <w:tcW w:w="1480" w:type="dxa"/>
            <w:vAlign w:val="bottom"/>
          </w:tcPr>
          <w:p>
            <w:pPr>
              <w:spacing w:after="0"/>
              <w:rPr>
                <w:sz w:val="15"/>
                <w:szCs w:val="15"/>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Bank of America, N.A.</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11,081</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11,100</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7.55%</w:t>
            </w:r>
          </w:p>
        </w:tc>
        <w:tc>
          <w:tcPr>
            <w:tcW w:w="1480" w:type="dxa"/>
            <w:vAlign w:val="bottom"/>
          </w:tcPr>
          <w:p>
            <w:pPr>
              <w:spacing w:after="0"/>
              <w:rPr>
                <w:sz w:val="15"/>
                <w:szCs w:val="15"/>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Bank of America, N.A.</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5,541</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5,550</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7.55%</w:t>
            </w:r>
          </w:p>
        </w:tc>
        <w:tc>
          <w:tcPr>
            <w:tcW w:w="1480" w:type="dxa"/>
            <w:vAlign w:val="bottom"/>
          </w:tcPr>
          <w:p>
            <w:pPr>
              <w:spacing w:after="0"/>
              <w:rPr>
                <w:sz w:val="15"/>
                <w:szCs w:val="15"/>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Morgan Stanley Mortgage Capital</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43,213</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43,397</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8.84%</w:t>
            </w:r>
          </w:p>
        </w:tc>
        <w:tc>
          <w:tcPr>
            <w:tcW w:w="1480" w:type="dxa"/>
            <w:vAlign w:val="bottom"/>
          </w:tcPr>
          <w:p>
            <w:pPr>
              <w:spacing w:after="0"/>
              <w:rPr>
                <w:sz w:val="15"/>
                <w:szCs w:val="15"/>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Sun America Life Insurance Company</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17,999</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7.75%</w:t>
            </w:r>
          </w:p>
        </w:tc>
        <w:tc>
          <w:tcPr>
            <w:tcW w:w="1480" w:type="dxa"/>
            <w:vAlign w:val="bottom"/>
          </w:tcPr>
          <w:p>
            <w:pPr>
              <w:spacing w:after="0"/>
              <w:rPr>
                <w:sz w:val="15"/>
                <w:szCs w:val="15"/>
                <w:color w:val="auto"/>
              </w:rPr>
            </w:pPr>
          </w:p>
        </w:tc>
      </w:tr>
      <w:tr>
        <w:trPr>
          <w:trHeight w:val="179"/>
        </w:trPr>
        <w:tc>
          <w:tcPr>
            <w:tcW w:w="4780" w:type="dxa"/>
            <w:vAlign w:val="bottom"/>
          </w:tcPr>
          <w:p>
            <w:pPr>
              <w:spacing w:after="0" w:line="179" w:lineRule="exact"/>
              <w:rPr>
                <w:sz w:val="20"/>
                <w:szCs w:val="20"/>
                <w:color w:val="auto"/>
              </w:rPr>
            </w:pPr>
            <w:r>
              <w:rPr>
                <w:rFonts w:ascii="Courier New" w:cs="Courier New" w:eastAsia="Courier New" w:hAnsi="Courier New"/>
                <w:sz w:val="16"/>
                <w:szCs w:val="16"/>
                <w:color w:val="auto"/>
              </w:rPr>
              <w:t>North Fork Bank</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9,887</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7.75%</w:t>
            </w:r>
          </w:p>
        </w:tc>
        <w:tc>
          <w:tcPr>
            <w:tcW w:w="1480" w:type="dxa"/>
            <w:vAlign w:val="bottom"/>
          </w:tcPr>
          <w:p>
            <w:pPr>
              <w:spacing w:after="0"/>
              <w:rPr>
                <w:sz w:val="15"/>
                <w:szCs w:val="15"/>
                <w:color w:val="auto"/>
              </w:rPr>
            </w:pPr>
          </w:p>
        </w:tc>
      </w:tr>
      <w:tr>
        <w:trPr>
          <w:trHeight w:val="179"/>
        </w:trPr>
        <w:tc>
          <w:tcPr>
            <w:tcW w:w="4780" w:type="dxa"/>
            <w:vAlign w:val="bottom"/>
          </w:tcPr>
          <w:p>
            <w:pPr>
              <w:spacing w:after="0"/>
              <w:rPr>
                <w:sz w:val="15"/>
                <w:szCs w:val="15"/>
                <w:color w:val="auto"/>
              </w:rPr>
            </w:pP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780" w:type="dxa"/>
            <w:vAlign w:val="bottom"/>
          </w:tcPr>
          <w:p>
            <w:pPr>
              <w:ind w:left="2320"/>
              <w:spacing w:after="0" w:line="179" w:lineRule="exact"/>
              <w:rPr>
                <w:sz w:val="20"/>
                <w:szCs w:val="20"/>
                <w:color w:val="auto"/>
              </w:rPr>
            </w:pPr>
            <w:r>
              <w:rPr>
                <w:rFonts w:ascii="Courier New" w:cs="Courier New" w:eastAsia="Courier New" w:hAnsi="Courier New"/>
                <w:sz w:val="16"/>
                <w:szCs w:val="16"/>
                <w:color w:val="auto"/>
              </w:rPr>
              <w:t>Total fixed-rate debt</w:t>
            </w: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124,808</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153,203</w:t>
            </w: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780" w:type="dxa"/>
            <w:vAlign w:val="bottom"/>
          </w:tcPr>
          <w:p>
            <w:pPr>
              <w:spacing w:after="0"/>
              <w:rPr>
                <w:sz w:val="15"/>
                <w:szCs w:val="15"/>
                <w:color w:val="auto"/>
              </w:rPr>
            </w:pP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780" w:type="dxa"/>
            <w:vAlign w:val="bottom"/>
          </w:tcPr>
          <w:p>
            <w:pPr>
              <w:spacing w:after="0"/>
              <w:rPr>
                <w:sz w:val="15"/>
                <w:szCs w:val="15"/>
                <w:color w:val="auto"/>
              </w:rPr>
            </w:pP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$271,387</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$277,112</w:t>
            </w: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780" w:type="dxa"/>
            <w:vAlign w:val="bottom"/>
          </w:tcPr>
          <w:p>
            <w:pPr>
              <w:spacing w:after="0"/>
              <w:rPr>
                <w:sz w:val="15"/>
                <w:szCs w:val="15"/>
                <w:color w:val="auto"/>
              </w:rPr>
            </w:pPr>
          </w:p>
        </w:tc>
        <w:tc>
          <w:tcPr>
            <w:tcW w:w="186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8"/>
        </w:trPr>
        <w:tc>
          <w:tcPr>
            <w:tcW w:w="4780" w:type="dxa"/>
            <w:vAlign w:val="bottom"/>
          </w:tcPr>
          <w:p>
            <w:pPr>
              <w:ind w:left="3620"/>
              <w:spacing w:after="0"/>
              <w:rPr>
                <w:sz w:val="20"/>
                <w:szCs w:val="20"/>
                <w:color w:val="auto"/>
              </w:rPr>
            </w:pPr>
            <w:r>
              <w:rPr>
                <w:rFonts w:ascii="Courier New" w:cs="Courier New" w:eastAsia="Courier New" w:hAnsi="Courier New"/>
                <w:sz w:val="16"/>
                <w:szCs w:val="16"/>
                <w:color w:val="auto"/>
              </w:rPr>
              <w:t>14</w:t>
            </w:r>
          </w:p>
        </w:tc>
        <w:tc>
          <w:tcPr>
            <w:tcW w:w="1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0880"/>
          </w:cols>
          <w:pgMar w:left="240" w:top="469" w:right="779" w:bottom="1440" w:gutter="0" w:footer="0" w:header="0"/>
        </w:sectPr>
      </w:pPr>
    </w:p>
    <w:bookmarkStart w:id="16" w:name="page17"/>
    <w:bookmarkEnd w:id="16"/>
    <w:p>
      <w:pPr>
        <w:ind w:left="5"/>
        <w:spacing w:after="0"/>
        <w:rPr>
          <w:sz w:val="20"/>
          <w:szCs w:val="20"/>
          <w:color w:val="auto"/>
        </w:rPr>
      </w:pPr>
      <w:r>
        <w:rPr>
          <w:rFonts w:ascii="Courier New" w:cs="Courier New" w:eastAsia="Courier New" w:hAnsi="Courier New"/>
          <w:sz w:val="16"/>
          <w:szCs w:val="16"/>
          <w:color w:val="auto"/>
        </w:rPr>
        <w:t>LIQUIDITY AND CAPITAL RESOURCES, continued</w:t>
      </w:r>
    </w:p>
    <w:p>
      <w:pPr>
        <w:ind w:left="5"/>
        <w:spacing w:after="0" w:line="236" w:lineRule="auto"/>
        <w:rPr>
          <w:sz w:val="20"/>
          <w:szCs w:val="20"/>
          <w:color w:val="auto"/>
        </w:rPr>
      </w:pPr>
      <w:r>
        <w:rPr>
          <w:rFonts w:ascii="Courier New" w:cs="Courier New" w:eastAsia="Courier New" w:hAnsi="Courier New"/>
          <w:sz w:val="16"/>
          <w:szCs w:val="16"/>
          <w:color w:val="auto"/>
        </w:rPr>
        <w:t>Financing and Debt, continued</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680" w:type="dxa"/>
            <w:vAlign w:val="bottom"/>
          </w:tcPr>
          <w:p>
            <w:pPr>
              <w:jc w:val="right"/>
              <w:ind w:right="2"/>
              <w:spacing w:after="0"/>
              <w:rPr>
                <w:sz w:val="20"/>
                <w:szCs w:val="20"/>
                <w:color w:val="auto"/>
              </w:rPr>
            </w:pPr>
            <w:r>
              <w:rPr>
                <w:rFonts w:ascii="Courier New" w:cs="Courier New" w:eastAsia="Courier New" w:hAnsi="Courier New"/>
                <w:sz w:val="16"/>
                <w:szCs w:val="16"/>
                <w:color w:val="auto"/>
              </w:rPr>
              <w:t>Maturity</w:t>
            </w:r>
          </w:p>
        </w:tc>
      </w:tr>
      <w:tr>
        <w:trPr>
          <w:trHeight w:val="179"/>
        </w:trPr>
        <w:tc>
          <w:tcPr>
            <w:tcW w:w="3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60" w:type="dxa"/>
            <w:vAlign w:val="bottom"/>
          </w:tcPr>
          <w:p>
            <w:pPr>
              <w:spacing w:after="0"/>
              <w:rPr>
                <w:sz w:val="24"/>
                <w:szCs w:val="24"/>
                <w:color w:val="auto"/>
              </w:rPr>
            </w:pPr>
          </w:p>
        </w:tc>
        <w:tc>
          <w:tcPr>
            <w:tcW w:w="6980" w:type="dxa"/>
            <w:vAlign w:val="bottom"/>
            <w:gridSpan w:val="2"/>
          </w:tcPr>
          <w:p>
            <w:pPr>
              <w:jc w:val="right"/>
              <w:ind w:right="1862"/>
              <w:spacing w:after="0"/>
              <w:rPr>
                <w:sz w:val="20"/>
                <w:szCs w:val="20"/>
                <w:color w:val="auto"/>
              </w:rPr>
            </w:pPr>
            <w:r>
              <w:rPr>
                <w:rFonts w:ascii="Courier New" w:cs="Courier New" w:eastAsia="Courier New" w:hAnsi="Courier New"/>
                <w:sz w:val="16"/>
                <w:szCs w:val="16"/>
                <w:color w:val="auto"/>
              </w:rPr>
              <w:t>Mortgage notes payable - variable-rate</w:t>
            </w:r>
          </w:p>
        </w:tc>
      </w:tr>
      <w:tr>
        <w:trPr>
          <w:trHeight w:val="358"/>
        </w:trPr>
        <w:tc>
          <w:tcPr>
            <w:tcW w:w="3660" w:type="dxa"/>
            <w:vAlign w:val="bottom"/>
            <w:gridSpan w:val="2"/>
          </w:tcPr>
          <w:p>
            <w:pPr>
              <w:spacing w:after="0"/>
              <w:rPr>
                <w:sz w:val="20"/>
                <w:szCs w:val="20"/>
                <w:color w:val="auto"/>
              </w:rPr>
            </w:pPr>
            <w:r>
              <w:rPr>
                <w:rFonts w:ascii="Courier New" w:cs="Courier New" w:eastAsia="Courier New" w:hAnsi="Courier New"/>
                <w:sz w:val="16"/>
                <w:szCs w:val="16"/>
                <w:color w:val="auto"/>
              </w:rPr>
              <w:t>Fleet Bank, N.A.</w:t>
            </w:r>
          </w:p>
        </w:tc>
        <w:tc>
          <w:tcPr>
            <w:tcW w:w="3680" w:type="dxa"/>
            <w:vAlign w:val="bottom"/>
          </w:tcPr>
          <w:p>
            <w:pPr>
              <w:jc w:val="right"/>
              <w:ind w:right="2"/>
              <w:spacing w:after="0"/>
              <w:rPr>
                <w:sz w:val="20"/>
                <w:szCs w:val="20"/>
                <w:color w:val="auto"/>
              </w:rPr>
            </w:pPr>
            <w:r>
              <w:rPr>
                <w:rFonts w:ascii="Courier New" w:cs="Courier New" w:eastAsia="Courier New" w:hAnsi="Courier New"/>
                <w:sz w:val="16"/>
                <w:szCs w:val="16"/>
                <w:color w:val="auto"/>
              </w:rPr>
              <w:t>03/15/02</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Fleet Bank, N.A.</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05/31/02</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Sun America Life Insurance Company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08/01/02</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Sun America Life Insurance Company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10/01/02</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KBC Bank</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12/31/02</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Fleet Bank, N.A.</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03/01/03</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Fleet Bank, N.A.</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08/01/03</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Metropolitan Life Insurance Company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11/01/03</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First Union National Bank</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01/01/05</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Dime Savings Bank of 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04/01/05</w:t>
            </w:r>
          </w:p>
        </w:tc>
      </w:tr>
      <w:tr>
        <w:trPr>
          <w:trHeight w:val="358"/>
        </w:trPr>
        <w:tc>
          <w:tcPr>
            <w:tcW w:w="360" w:type="dxa"/>
            <w:vAlign w:val="bottom"/>
          </w:tcPr>
          <w:p>
            <w:pPr>
              <w:spacing w:after="0"/>
              <w:rPr>
                <w:sz w:val="24"/>
                <w:szCs w:val="24"/>
                <w:color w:val="auto"/>
              </w:rPr>
            </w:pPr>
          </w:p>
        </w:tc>
        <w:tc>
          <w:tcPr>
            <w:tcW w:w="6980" w:type="dxa"/>
            <w:vAlign w:val="bottom"/>
            <w:gridSpan w:val="2"/>
          </w:tcPr>
          <w:p>
            <w:pPr>
              <w:jc w:val="right"/>
              <w:ind w:right="2062"/>
              <w:spacing w:after="0"/>
              <w:rPr>
                <w:sz w:val="20"/>
                <w:szCs w:val="20"/>
                <w:color w:val="auto"/>
              </w:rPr>
            </w:pPr>
            <w:r>
              <w:rPr>
                <w:rFonts w:ascii="Courier New" w:cs="Courier New" w:eastAsia="Courier New" w:hAnsi="Courier New"/>
                <w:sz w:val="16"/>
                <w:szCs w:val="16"/>
                <w:color w:val="auto"/>
              </w:rPr>
              <w:t>Mortgage notes payable - fixed rate</w:t>
            </w:r>
          </w:p>
        </w:tc>
      </w:tr>
      <w:tr>
        <w:trPr>
          <w:trHeight w:val="358"/>
        </w:trPr>
        <w:tc>
          <w:tcPr>
            <w:tcW w:w="3660" w:type="dxa"/>
            <w:vAlign w:val="bottom"/>
            <w:gridSpan w:val="2"/>
          </w:tcPr>
          <w:p>
            <w:pPr>
              <w:spacing w:after="0"/>
              <w:rPr>
                <w:sz w:val="20"/>
                <w:szCs w:val="20"/>
                <w:color w:val="auto"/>
              </w:rPr>
            </w:pPr>
            <w:r>
              <w:rPr>
                <w:rFonts w:ascii="Courier New" w:cs="Courier New" w:eastAsia="Courier New" w:hAnsi="Courier New"/>
                <w:sz w:val="16"/>
                <w:szCs w:val="16"/>
                <w:color w:val="auto"/>
              </w:rPr>
              <w:t>Huntoon Hastings Capital Corp.</w:t>
            </w:r>
          </w:p>
        </w:tc>
        <w:tc>
          <w:tcPr>
            <w:tcW w:w="3680" w:type="dxa"/>
            <w:vAlign w:val="bottom"/>
          </w:tcPr>
          <w:p>
            <w:pPr>
              <w:jc w:val="right"/>
              <w:ind w:right="2"/>
              <w:spacing w:after="0"/>
              <w:rPr>
                <w:sz w:val="20"/>
                <w:szCs w:val="20"/>
                <w:color w:val="auto"/>
              </w:rPr>
            </w:pPr>
            <w:r>
              <w:rPr>
                <w:rFonts w:ascii="Courier New" w:cs="Courier New" w:eastAsia="Courier New" w:hAnsi="Courier New"/>
                <w:sz w:val="16"/>
                <w:szCs w:val="16"/>
                <w:color w:val="auto"/>
              </w:rPr>
              <w:t>09/01/02</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Anchor National Life Insurance Company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01/01/04</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Lehman Brothers Holdings, Inc.</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03/01/04</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Mellon Mortgage Company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05/23/05</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Northern Life Insurance Company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12/01/08</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Reliastar Life Insurance Company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12/01/08</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Metropolitan Life Insurance Company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11/01/10</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Bank of America, N.A.</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01/01/11</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Bank of America, N.A.</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01/01/11</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Morgan Stanley Mortgage Capital</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11/01/21</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Sun America Life Insurance Company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North Fork Bank</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660" w:type="dxa"/>
            <w:vAlign w:val="bottom"/>
            <w:gridSpan w:val="2"/>
          </w:tcPr>
          <w:p>
            <w:pPr>
              <w:spacing w:after="0"/>
              <w:rPr>
                <w:sz w:val="20"/>
                <w:szCs w:val="20"/>
                <w:color w:val="auto"/>
              </w:rPr>
            </w:pPr>
            <w:r>
              <w:rPr>
                <w:rFonts w:ascii="Courier New" w:cs="Courier New" w:eastAsia="Courier New" w:hAnsi="Courier New"/>
                <w:sz w:val="16"/>
                <w:szCs w:val="16"/>
                <w:color w:val="auto"/>
              </w:rPr>
              <w:t>Notes:</w:t>
            </w:r>
          </w:p>
        </w:tc>
        <w:tc>
          <w:tcPr>
            <w:tcW w:w="3680" w:type="dxa"/>
            <w:vAlign w:val="bottom"/>
          </w:tcPr>
          <w:p>
            <w:pPr>
              <w:spacing w:after="0"/>
              <w:rPr>
                <w:sz w:val="24"/>
                <w:szCs w:val="24"/>
                <w:color w:val="auto"/>
              </w:rPr>
            </w:pPr>
          </w:p>
        </w:tc>
      </w:tr>
      <w:tr>
        <w:trPr>
          <w:trHeight w:val="179"/>
        </w:trPr>
        <w:tc>
          <w:tcPr>
            <w:tcW w:w="360" w:type="dxa"/>
            <w:vAlign w:val="bottom"/>
          </w:tcPr>
          <w:p>
            <w:pPr>
              <w:spacing w:after="0" w:line="179" w:lineRule="exact"/>
              <w:rPr>
                <w:sz w:val="20"/>
                <w:szCs w:val="20"/>
                <w:color w:val="auto"/>
              </w:rPr>
            </w:pPr>
            <w:r>
              <w:rPr>
                <w:rFonts w:ascii="Courier New" w:cs="Courier New" w:eastAsia="Courier New" w:hAnsi="Courier New"/>
                <w:sz w:val="16"/>
                <w:szCs w:val="16"/>
                <w:color w:val="auto"/>
              </w:rPr>
              <w:t>(1)</w:t>
            </w:r>
          </w:p>
        </w:tc>
        <w:tc>
          <w:tcPr>
            <w:tcW w:w="33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Town Line Plaza</w:t>
            </w:r>
          </w:p>
        </w:tc>
        <w:tc>
          <w:tcPr>
            <w:tcW w:w="36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(11) Ledgewood Mall</w:t>
            </w:r>
          </w:p>
        </w:tc>
      </w:tr>
      <w:tr>
        <w:trPr>
          <w:trHeight w:val="179"/>
        </w:trPr>
        <w:tc>
          <w:tcPr>
            <w:tcW w:w="3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68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New Louden Center</w:t>
            </w:r>
          </w:p>
        </w:tc>
      </w:tr>
      <w:tr>
        <w:trPr>
          <w:trHeight w:val="179"/>
        </w:trPr>
        <w:tc>
          <w:tcPr>
            <w:tcW w:w="360" w:type="dxa"/>
            <w:vAlign w:val="bottom"/>
          </w:tcPr>
          <w:p>
            <w:pPr>
              <w:spacing w:after="0" w:line="179" w:lineRule="exact"/>
              <w:rPr>
                <w:sz w:val="20"/>
                <w:szCs w:val="20"/>
                <w:color w:val="auto"/>
              </w:rPr>
            </w:pPr>
            <w:r>
              <w:rPr>
                <w:rFonts w:ascii="Courier New" w:cs="Courier New" w:eastAsia="Courier New" w:hAnsi="Courier New"/>
                <w:sz w:val="16"/>
                <w:szCs w:val="16"/>
                <w:color w:val="auto"/>
              </w:rPr>
              <w:t>(2)</w:t>
            </w:r>
          </w:p>
        </w:tc>
        <w:tc>
          <w:tcPr>
            <w:tcW w:w="33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Monthly principal and interest</w:t>
            </w:r>
          </w:p>
        </w:tc>
        <w:tc>
          <w:tcPr>
            <w:tcW w:w="368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Route 6 Plaza</w:t>
            </w:r>
          </w:p>
        </w:tc>
      </w:tr>
      <w:tr>
        <w:trPr>
          <w:trHeight w:val="179"/>
        </w:trPr>
        <w:tc>
          <w:tcPr>
            <w:tcW w:w="3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68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Bradford Towne Centre</w:t>
            </w:r>
          </w:p>
        </w:tc>
      </w:tr>
      <w:tr>
        <w:trPr>
          <w:trHeight w:val="179"/>
        </w:trPr>
        <w:tc>
          <w:tcPr>
            <w:tcW w:w="360" w:type="dxa"/>
            <w:vAlign w:val="bottom"/>
          </w:tcPr>
          <w:p>
            <w:pPr>
              <w:spacing w:after="0" w:line="179" w:lineRule="exact"/>
              <w:rPr>
                <w:sz w:val="20"/>
                <w:szCs w:val="20"/>
                <w:color w:val="auto"/>
              </w:rPr>
            </w:pPr>
            <w:r>
              <w:rPr>
                <w:rFonts w:ascii="Courier New" w:cs="Courier New" w:eastAsia="Courier New" w:hAnsi="Courier New"/>
                <w:sz w:val="16"/>
                <w:szCs w:val="16"/>
                <w:color w:val="auto"/>
              </w:rPr>
              <w:t>(3)</w:t>
            </w:r>
          </w:p>
        </w:tc>
        <w:tc>
          <w:tcPr>
            <w:tcW w:w="33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Smithtown Shopping Center</w:t>
            </w:r>
          </w:p>
        </w:tc>
        <w:tc>
          <w:tcPr>
            <w:tcW w:w="368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Berlin Shopping Center</w:t>
            </w: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3300" w:type="dxa"/>
            <w:vAlign w:val="bottom"/>
          </w:tcPr>
          <w:p>
            <w:pPr>
              <w:ind w:left="100"/>
              <w:spacing w:after="0"/>
              <w:rPr>
                <w:sz w:val="20"/>
                <w:szCs w:val="20"/>
                <w:color w:val="auto"/>
              </w:rPr>
            </w:pPr>
            <w:r>
              <w:rPr>
                <w:rFonts w:ascii="Courier New" w:cs="Courier New" w:eastAsia="Courier New" w:hAnsi="Courier New"/>
                <w:sz w:val="16"/>
                <w:szCs w:val="16"/>
                <w:color w:val="auto"/>
              </w:rPr>
              <w:t>Merrillville Plaza</w:t>
            </w:r>
          </w:p>
        </w:tc>
        <w:tc>
          <w:tcPr>
            <w:tcW w:w="3680" w:type="dxa"/>
            <w:vAlign w:val="bottom"/>
          </w:tcPr>
          <w:p>
            <w:pPr>
              <w:ind w:left="140"/>
              <w:spacing w:after="0"/>
              <w:rPr>
                <w:sz w:val="20"/>
                <w:szCs w:val="20"/>
                <w:color w:val="auto"/>
              </w:rPr>
            </w:pPr>
            <w:r>
              <w:rPr>
                <w:rFonts w:ascii="Courier New" w:cs="Courier New" w:eastAsia="Courier New" w:hAnsi="Courier New"/>
                <w:sz w:val="16"/>
                <w:szCs w:val="16"/>
                <w:color w:val="auto"/>
              </w:rPr>
              <w:t>(12) Gateway Shopping Center</w:t>
            </w: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3300" w:type="dxa"/>
            <w:vAlign w:val="bottom"/>
          </w:tcPr>
          <w:p>
            <w:pPr>
              <w:ind w:left="100"/>
              <w:spacing w:after="0"/>
              <w:rPr>
                <w:sz w:val="20"/>
                <w:szCs w:val="20"/>
                <w:color w:val="auto"/>
              </w:rPr>
            </w:pPr>
            <w:r>
              <w:rPr>
                <w:rFonts w:ascii="Courier New" w:cs="Courier New" w:eastAsia="Courier New" w:hAnsi="Courier New"/>
                <w:sz w:val="16"/>
                <w:szCs w:val="16"/>
                <w:color w:val="auto"/>
              </w:rPr>
              <w:t>Village Apartments</w:t>
            </w:r>
          </w:p>
        </w:tc>
        <w:tc>
          <w:tcPr>
            <w:tcW w:w="3680" w:type="dxa"/>
            <w:vAlign w:val="bottom"/>
          </w:tcPr>
          <w:p>
            <w:pPr>
              <w:ind w:left="140"/>
              <w:spacing w:after="0"/>
              <w:rPr>
                <w:sz w:val="20"/>
                <w:szCs w:val="20"/>
                <w:color w:val="auto"/>
              </w:rPr>
            </w:pPr>
            <w:r>
              <w:rPr>
                <w:rFonts w:ascii="Courier New" w:cs="Courier New" w:eastAsia="Courier New" w:hAnsi="Courier New"/>
                <w:sz w:val="16"/>
                <w:szCs w:val="16"/>
                <w:color w:val="auto"/>
                <w:w w:val="96"/>
              </w:rPr>
              <w:t>(13) Interest only until 5/01; monthly</w:t>
            </w:r>
          </w:p>
        </w:tc>
      </w:tr>
      <w:tr>
        <w:trPr>
          <w:trHeight w:val="179"/>
        </w:trPr>
        <w:tc>
          <w:tcPr>
            <w:tcW w:w="3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68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w w:val="95"/>
              </w:rPr>
              <w:t>principal and interest thereafter</w:t>
            </w:r>
          </w:p>
        </w:tc>
      </w:tr>
    </w:tbl>
    <w:p>
      <w:pPr>
        <w:ind w:left="465" w:hanging="465"/>
        <w:spacing w:after="0" w:line="236" w:lineRule="auto"/>
        <w:tabs>
          <w:tab w:leader="none" w:pos="4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Marley Run Apartments</w:t>
      </w:r>
    </w:p>
    <w:p>
      <w:pPr>
        <w:ind w:left="3805"/>
        <w:spacing w:after="0" w:line="237" w:lineRule="auto"/>
        <w:rPr>
          <w:sz w:val="20"/>
          <w:szCs w:val="20"/>
          <w:color w:val="auto"/>
        </w:rPr>
      </w:pPr>
      <w:r>
        <w:rPr>
          <w:rFonts w:ascii="Courier New" w:cs="Courier New" w:eastAsia="Courier New" w:hAnsi="Courier New"/>
          <w:sz w:val="16"/>
          <w:szCs w:val="16"/>
          <w:color w:val="auto"/>
        </w:rPr>
        <w:t>(14) Pittston Plaza</w:t>
      </w:r>
    </w:p>
    <w:p>
      <w:pPr>
        <w:ind w:left="465" w:hanging="465"/>
        <w:spacing w:after="0" w:line="237" w:lineRule="auto"/>
        <w:tabs>
          <w:tab w:leader="none" w:pos="4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Marketplace of Absecon</w:t>
      </w:r>
    </w:p>
    <w:p>
      <w:pPr>
        <w:ind w:left="3805"/>
        <w:spacing w:after="0" w:line="237" w:lineRule="auto"/>
        <w:rPr>
          <w:sz w:val="20"/>
          <w:szCs w:val="20"/>
          <w:color w:val="auto"/>
        </w:rPr>
      </w:pPr>
      <w:r>
        <w:rPr>
          <w:rFonts w:ascii="Courier New" w:cs="Courier New" w:eastAsia="Courier New" w:hAnsi="Courier New"/>
          <w:sz w:val="16"/>
          <w:szCs w:val="16"/>
          <w:color w:val="auto"/>
        </w:rPr>
        <w:t>(15) Glen Oaks Apartments</w:t>
      </w:r>
    </w:p>
    <w:p>
      <w:pPr>
        <w:ind w:left="465" w:hanging="465"/>
        <w:spacing w:after="0" w:line="237" w:lineRule="auto"/>
        <w:tabs>
          <w:tab w:leader="none" w:pos="4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Soundview Marketplace</w:t>
      </w:r>
    </w:p>
    <w:p>
      <w:pPr>
        <w:jc w:val="right"/>
        <w:spacing w:after="0" w:line="237" w:lineRule="auto"/>
        <w:rPr>
          <w:sz w:val="20"/>
          <w:szCs w:val="20"/>
          <w:color w:val="auto"/>
        </w:rPr>
      </w:pPr>
      <w:r>
        <w:rPr>
          <w:rFonts w:ascii="Courier New" w:cs="Courier New" w:eastAsia="Courier New" w:hAnsi="Courier New"/>
          <w:sz w:val="16"/>
          <w:szCs w:val="16"/>
          <w:color w:val="auto"/>
        </w:rPr>
        <w:t>(16) Mad River Station Shopping Center</w:t>
      </w:r>
    </w:p>
    <w:p>
      <w:pPr>
        <w:ind w:left="465" w:hanging="465"/>
        <w:spacing w:after="0" w:line="237" w:lineRule="auto"/>
        <w:tabs>
          <w:tab w:leader="none" w:pos="46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Green Ridge Plaza</w:t>
      </w:r>
    </w:p>
    <w:tbl>
      <w:tblPr>
        <w:tblLayout w:type="fixed"/>
        <w:tblInd w:w="5" w:type="dxa"/>
        <w:tblCellMar>
          <w:top w:w="0" w:type="dxa"/>
          <w:left w:w="0" w:type="dxa"/>
          <w:bottom w:w="0" w:type="dxa"/>
          <w:right w:w="0" w:type="dxa"/>
        </w:tblCellMar>
      </w:tblPr>
      <w:tr>
        <w:trPr>
          <w:trHeight w:val="179"/>
        </w:trPr>
        <w:tc>
          <w:tcPr>
            <w:tcW w:w="11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Luzerne</w:t>
            </w:r>
          </w:p>
        </w:tc>
        <w:tc>
          <w:tcPr>
            <w:tcW w:w="18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w w:val="98"/>
              </w:rPr>
              <w:t>Street Plaza</w:t>
            </w: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w:t>
            </w:r>
          </w:p>
        </w:tc>
        <w:tc>
          <w:tcPr>
            <w:tcW w:w="24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6"/>
              </w:rPr>
              <w:t>Manahawkin Shopping Center</w:t>
            </w:r>
          </w:p>
        </w:tc>
      </w:tr>
      <w:tr>
        <w:trPr>
          <w:trHeight w:val="179"/>
        </w:trPr>
        <w:tc>
          <w:tcPr>
            <w:tcW w:w="11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Valmont</w:t>
            </w:r>
          </w:p>
        </w:tc>
        <w:tc>
          <w:tcPr>
            <w:tcW w:w="1820" w:type="dxa"/>
            <w:vAlign w:val="bottom"/>
          </w:tcPr>
          <w:p>
            <w:pPr>
              <w:jc w:val="right"/>
              <w:ind w:right="1242"/>
              <w:spacing w:after="0" w:line="179" w:lineRule="exact"/>
              <w:rPr>
                <w:sz w:val="20"/>
                <w:szCs w:val="20"/>
                <w:color w:val="auto"/>
              </w:rPr>
            </w:pPr>
            <w:r>
              <w:rPr>
                <w:rFonts w:ascii="Courier New" w:cs="Courier New" w:eastAsia="Courier New" w:hAnsi="Courier New"/>
                <w:sz w:val="16"/>
                <w:szCs w:val="16"/>
                <w:color w:val="auto"/>
                <w:w w:val="99"/>
              </w:rPr>
              <w:t>Plaza</w:t>
            </w:r>
          </w:p>
        </w:tc>
        <w:tc>
          <w:tcPr>
            <w:tcW w:w="124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179"/>
        </w:trPr>
        <w:tc>
          <w:tcPr>
            <w:tcW w:w="11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(18)</w:t>
            </w:r>
          </w:p>
        </w:tc>
        <w:tc>
          <w:tcPr>
            <w:tcW w:w="24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Crescent Plaza</w:t>
            </w:r>
          </w:p>
        </w:tc>
      </w:tr>
      <w:tr>
        <w:trPr>
          <w:trHeight w:val="179"/>
        </w:trPr>
        <w:tc>
          <w:tcPr>
            <w:tcW w:w="2980" w:type="dxa"/>
            <w:vAlign w:val="bottom"/>
            <w:gridSpan w:val="2"/>
          </w:tcPr>
          <w:p>
            <w:pPr>
              <w:jc w:val="right"/>
              <w:ind w:right="582"/>
              <w:spacing w:after="0" w:line="179" w:lineRule="exact"/>
              <w:rPr>
                <w:sz w:val="20"/>
                <w:szCs w:val="20"/>
                <w:color w:val="auto"/>
              </w:rPr>
            </w:pPr>
            <w:r>
              <w:rPr>
                <w:rFonts w:ascii="Courier New" w:cs="Courier New" w:eastAsia="Courier New" w:hAnsi="Courier New"/>
                <w:sz w:val="16"/>
                <w:szCs w:val="16"/>
                <w:color w:val="auto"/>
                <w:w w:val="95"/>
              </w:rPr>
              <w:t>(10) 239 Greenwich Avenue</w:t>
            </w:r>
          </w:p>
        </w:tc>
        <w:tc>
          <w:tcPr>
            <w:tcW w:w="1240" w:type="dxa"/>
            <w:vAlign w:val="bottom"/>
          </w:tcPr>
          <w:p>
            <w:pPr>
              <w:spacing w:after="0"/>
              <w:rPr>
                <w:sz w:val="15"/>
                <w:szCs w:val="15"/>
                <w:color w:val="auto"/>
              </w:rPr>
            </w:pPr>
          </w:p>
        </w:tc>
        <w:tc>
          <w:tcPr>
            <w:tcW w:w="24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East End Centre</w:t>
            </w:r>
          </w:p>
        </w:tc>
      </w:tr>
      <w:tr>
        <w:trPr>
          <w:trHeight w:val="894"/>
        </w:trPr>
        <w:tc>
          <w:tcPr>
            <w:tcW w:w="1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w:t>
            </w:r>
          </w:p>
        </w:tc>
        <w:tc>
          <w:tcPr>
            <w:tcW w:w="2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5"/>
        <w:spacing w:after="0"/>
        <w:tabs>
          <w:tab w:leader="none" w:pos="1664" w:val="left"/>
        </w:tabs>
        <w:rPr>
          <w:sz w:val="20"/>
          <w:szCs w:val="20"/>
          <w:color w:val="auto"/>
        </w:rPr>
      </w:pPr>
      <w:r>
        <w:rPr>
          <w:rFonts w:ascii="Courier New" w:cs="Courier New" w:eastAsia="Courier New" w:hAnsi="Courier New"/>
          <w:sz w:val="16"/>
          <w:szCs w:val="16"/>
          <w:color w:val="auto"/>
        </w:rPr>
        <w:t>Properties</w:t>
      </w:r>
      <w:r>
        <w:rPr>
          <w:sz w:val="20"/>
          <w:szCs w:val="20"/>
          <w:color w:val="auto"/>
        </w:rPr>
        <w:tab/>
      </w:r>
      <w:r>
        <w:rPr>
          <w:rFonts w:ascii="Courier New" w:cs="Courier New" w:eastAsia="Courier New" w:hAnsi="Courier New"/>
          <w:sz w:val="16"/>
          <w:szCs w:val="16"/>
          <w:color w:val="auto"/>
        </w:rPr>
        <w:t>Payment</w:t>
      </w:r>
    </w:p>
    <w:p>
      <w:pPr>
        <w:ind w:left="85"/>
        <w:spacing w:after="0" w:line="236" w:lineRule="auto"/>
        <w:tabs>
          <w:tab w:leader="none" w:pos="1744" w:val="left"/>
        </w:tabs>
        <w:rPr>
          <w:sz w:val="20"/>
          <w:szCs w:val="20"/>
          <w:color w:val="auto"/>
        </w:rPr>
      </w:pPr>
      <w:r>
        <w:rPr>
          <w:rFonts w:ascii="Courier New" w:cs="Courier New" w:eastAsia="Courier New" w:hAnsi="Courier New"/>
          <w:sz w:val="16"/>
          <w:szCs w:val="16"/>
          <w:color w:val="auto"/>
        </w:rPr>
        <w:t>Encumbered</w:t>
      </w:r>
      <w:r>
        <w:rPr>
          <w:sz w:val="20"/>
          <w:szCs w:val="20"/>
          <w:color w:val="auto"/>
        </w:rPr>
        <w:tab/>
      </w:r>
      <w:r>
        <w:rPr>
          <w:rFonts w:ascii="Courier New" w:cs="Courier New" w:eastAsia="Courier New" w:hAnsi="Courier New"/>
          <w:sz w:val="16"/>
          <w:szCs w:val="16"/>
          <w:color w:val="auto"/>
        </w:rPr>
        <w:t>Terms</w:t>
      </w:r>
    </w:p>
    <w:p>
      <w:pPr>
        <w:ind w:left="85"/>
        <w:spacing w:after="0" w:line="237" w:lineRule="auto"/>
        <w:tabs>
          <w:tab w:leader="none" w:pos="166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35" w:lineRule="exact"/>
        <w:rPr>
          <w:sz w:val="20"/>
          <w:szCs w:val="20"/>
          <w:color w:val="auto"/>
        </w:rPr>
      </w:pPr>
    </w:p>
    <w:p>
      <w:pPr>
        <w:ind w:left="1945" w:hanging="1479"/>
        <w:spacing w:after="0"/>
        <w:tabs>
          <w:tab w:leader="none" w:pos="194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ind w:left="1945" w:hanging="1479"/>
        <w:spacing w:after="0" w:line="236" w:lineRule="auto"/>
        <w:tabs>
          <w:tab w:leader="none" w:pos="194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ind w:left="1945" w:hanging="1479"/>
        <w:spacing w:after="0" w:line="236" w:lineRule="auto"/>
        <w:tabs>
          <w:tab w:leader="none" w:pos="194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ind w:left="1945" w:hanging="1479"/>
        <w:spacing w:after="0" w:line="236" w:lineRule="auto"/>
        <w:tabs>
          <w:tab w:leader="none" w:pos="194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ind w:left="1945" w:hanging="1479"/>
        <w:spacing w:after="0" w:line="236" w:lineRule="auto"/>
        <w:tabs>
          <w:tab w:leader="none" w:pos="194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ind w:left="1945" w:hanging="1479"/>
        <w:spacing w:after="0" w:line="236" w:lineRule="auto"/>
        <w:tabs>
          <w:tab w:leader="none" w:pos="194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ind w:left="1945" w:hanging="1479"/>
        <w:spacing w:after="0" w:line="236" w:lineRule="auto"/>
        <w:tabs>
          <w:tab w:leader="none" w:pos="194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ind w:left="1865" w:hanging="1399"/>
        <w:spacing w:after="0" w:line="236" w:lineRule="auto"/>
        <w:tabs>
          <w:tab w:leader="none" w:pos="18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w:t>
      </w:r>
    </w:p>
    <w:p>
      <w:pPr>
        <w:ind w:left="1945" w:hanging="1572"/>
        <w:spacing w:after="0" w:line="236" w:lineRule="auto"/>
        <w:tabs>
          <w:tab w:leader="none" w:pos="194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ind w:left="1945" w:hanging="1572"/>
        <w:spacing w:after="0" w:line="236" w:lineRule="auto"/>
        <w:tabs>
          <w:tab w:leader="none" w:pos="194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1865" w:hanging="1492"/>
        <w:spacing w:after="0"/>
        <w:tabs>
          <w:tab w:leader="none" w:pos="18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w:t>
      </w:r>
    </w:p>
    <w:p>
      <w:pPr>
        <w:ind w:left="1685" w:hanging="1312"/>
        <w:spacing w:after="0" w:line="236" w:lineRule="auto"/>
        <w:tabs>
          <w:tab w:leader="none" w:pos="168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$33(2)</w:t>
      </w:r>
    </w:p>
    <w:p>
      <w:pPr>
        <w:ind w:left="1585" w:hanging="1212"/>
        <w:spacing w:after="0" w:line="236" w:lineRule="auto"/>
        <w:tabs>
          <w:tab w:leader="none" w:pos="158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$139(2)</w:t>
      </w:r>
    </w:p>
    <w:p>
      <w:pPr>
        <w:ind w:left="1685" w:hanging="1312"/>
        <w:spacing w:after="0" w:line="236" w:lineRule="auto"/>
        <w:tabs>
          <w:tab w:leader="none" w:pos="168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$70(2)</w:t>
      </w:r>
    </w:p>
    <w:p>
      <w:pPr>
        <w:ind w:left="1685" w:hanging="1312"/>
        <w:spacing w:after="0" w:line="236" w:lineRule="auto"/>
        <w:tabs>
          <w:tab w:leader="none" w:pos="168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$41(2)</w:t>
      </w:r>
    </w:p>
    <w:p>
      <w:pPr>
        <w:ind w:left="1685" w:hanging="1312"/>
        <w:spacing w:after="0" w:line="237" w:lineRule="auto"/>
        <w:tabs>
          <w:tab w:leader="none" w:pos="168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$28(2)</w:t>
      </w:r>
    </w:p>
    <w:p>
      <w:pPr>
        <w:ind w:left="1585" w:hanging="1212"/>
        <w:spacing w:after="0" w:line="236" w:lineRule="auto"/>
        <w:tabs>
          <w:tab w:leader="none" w:pos="158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$197(2)</w:t>
      </w:r>
    </w:p>
    <w:p>
      <w:pPr>
        <w:ind w:left="1685" w:hanging="1312"/>
        <w:spacing w:after="0" w:line="236" w:lineRule="auto"/>
        <w:tabs>
          <w:tab w:leader="none" w:pos="168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$78(2)</w:t>
      </w:r>
    </w:p>
    <w:p>
      <w:pPr>
        <w:ind w:left="1685" w:hanging="1312"/>
        <w:spacing w:after="0" w:line="236" w:lineRule="auto"/>
        <w:tabs>
          <w:tab w:leader="none" w:pos="168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$39(2)</w:t>
      </w:r>
    </w:p>
    <w:p>
      <w:pPr>
        <w:ind w:left="1585" w:hanging="1212"/>
        <w:spacing w:after="0" w:line="236" w:lineRule="auto"/>
        <w:tabs>
          <w:tab w:leader="none" w:pos="158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$380(2)</w:t>
      </w:r>
    </w:p>
    <w:p>
      <w:pPr>
        <w:ind w:left="465"/>
        <w:spacing w:after="0" w:line="237" w:lineRule="auto"/>
        <w:tabs>
          <w:tab w:leader="none" w:pos="192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465"/>
        <w:spacing w:after="0" w:line="237" w:lineRule="auto"/>
        <w:tabs>
          <w:tab w:leader="none" w:pos="192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56" w:lineRule="exact"/>
        <w:rPr>
          <w:sz w:val="20"/>
          <w:szCs w:val="20"/>
          <w:color w:val="auto"/>
        </w:rPr>
      </w:pPr>
    </w:p>
    <w:p>
      <w:pPr>
        <w:ind w:left="465" w:hanging="465"/>
        <w:spacing w:after="0"/>
        <w:tabs>
          <w:tab w:leader="none" w:pos="46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GHT Apartments</w:t>
      </w:r>
    </w:p>
    <w:p>
      <w:pPr>
        <w:spacing w:after="0" w:line="176"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Colony Apartments</w:t>
      </w:r>
    </w:p>
    <w:p>
      <w:pPr>
        <w:spacing w:after="0" w:line="182" w:lineRule="exact"/>
        <w:rPr>
          <w:rFonts w:ascii="Courier New" w:cs="Courier New" w:eastAsia="Courier New" w:hAnsi="Courier New"/>
          <w:sz w:val="16"/>
          <w:szCs w:val="16"/>
          <w:color w:val="auto"/>
        </w:rPr>
      </w:pPr>
    </w:p>
    <w:p>
      <w:pPr>
        <w:ind w:left="465" w:right="1480" w:hanging="465"/>
        <w:spacing w:after="0" w:line="270" w:lineRule="auto"/>
        <w:tabs>
          <w:tab w:leader="none" w:pos="46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Midway Plaza Kings Fairgrounds Plaza 15</w:t>
      </w:r>
    </w:p>
    <w:p>
      <w:pPr>
        <w:spacing w:after="0" w:line="1" w:lineRule="exact"/>
        <w:rPr>
          <w:rFonts w:ascii="Courier New" w:cs="Courier New" w:eastAsia="Courier New" w:hAnsi="Courier New"/>
          <w:sz w:val="14"/>
          <w:szCs w:val="14"/>
          <w:color w:val="auto"/>
        </w:rPr>
      </w:pPr>
    </w:p>
    <w:p>
      <w:pPr>
        <w:ind w:left="465" w:right="1480"/>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Ames Plaza Martintown Plaza Shillington Plaza Dunmore Plaza Kingston Plaza</w:t>
      </w:r>
    </w:p>
    <w:p>
      <w:pPr>
        <w:spacing w:after="0" w:line="2" w:lineRule="exact"/>
        <w:rPr>
          <w:rFonts w:ascii="Courier New" w:cs="Courier New" w:eastAsia="Courier New" w:hAnsi="Courier New"/>
          <w:sz w:val="14"/>
          <w:szCs w:val="14"/>
          <w:color w:val="auto"/>
        </w:rPr>
      </w:pPr>
    </w:p>
    <w:p>
      <w:pPr>
        <w:ind w:left="465" w:right="540"/>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25th Street Shopping Center Circle Plaza</w:t>
      </w:r>
    </w:p>
    <w:p>
      <w:pPr>
        <w:spacing w:after="0" w:line="4" w:lineRule="exact"/>
        <w:rPr>
          <w:rFonts w:ascii="Courier New" w:cs="Courier New" w:eastAsia="Courier New" w:hAnsi="Courier New"/>
          <w:sz w:val="14"/>
          <w:szCs w:val="14"/>
          <w:color w:val="auto"/>
        </w:rPr>
      </w:pPr>
    </w:p>
    <w:p>
      <w:pPr>
        <w:ind w:left="465" w:right="1300"/>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Northside Mall Monroe Plaza New Smyrna Beach Mountainville Plaza Cloud Springs Plaza Birney Plaza</w:t>
      </w:r>
    </w:p>
    <w:p>
      <w:pPr>
        <w:ind w:left="4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Troy Plaza</w:t>
      </w:r>
    </w:p>
    <w:p>
      <w:pPr>
        <w:spacing w:after="0" w:line="183" w:lineRule="exact"/>
        <w:rPr>
          <w:rFonts w:ascii="Courier New" w:cs="Courier New" w:eastAsia="Courier New" w:hAnsi="Courier New"/>
          <w:sz w:val="14"/>
          <w:szCs w:val="14"/>
          <w:color w:val="auto"/>
        </w:rPr>
      </w:pPr>
    </w:p>
    <w:p>
      <w:pPr>
        <w:jc w:val="both"/>
        <w:ind w:left="465" w:hanging="465"/>
        <w:spacing w:after="0" w:line="295" w:lineRule="auto"/>
        <w:tabs>
          <w:tab w:leader="none" w:pos="46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only until 5/02; monthly principal and interest thereafter</w:t>
      </w:r>
    </w:p>
    <w:p>
      <w:pPr>
        <w:sectPr>
          <w:pgSz w:w="11900" w:h="16838" w:orient="portrait"/>
          <w:cols w:equalWidth="0" w:num="2">
            <w:col w:w="7345" w:space="655"/>
            <w:col w:w="3525"/>
          </w:cols>
          <w:pgMar w:left="235" w:top="648" w:right="139"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HISTORICAL CASH FLOW</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The following discussion of historical cash flow compares the Company's cash flow for the three month period ended March 31, 2001 ("2001") with the Company's cash flow for the three month period ended March 31, 2000 ("2000").</w:t>
      </w:r>
    </w:p>
    <w:p>
      <w:pPr>
        <w:spacing w:after="0" w:line="183"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Net cash provided by operating activities of $6.6 million for 2001, in total, was essentially consistent with 2000.</w:t>
      </w:r>
    </w:p>
    <w:p>
      <w:pPr>
        <w:spacing w:after="0" w:line="18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6"/>
          <w:szCs w:val="16"/>
          <w:color w:val="auto"/>
        </w:rPr>
        <w:t>Investing activities used $2.2 million during 2001, representing a $400,000 decrease from $2.6 million of cash used during 2000. This was primarily the result of a $300,000 decrease in expenditures for real estate acquisitions, development and tenant installation in 2001.</w:t>
      </w:r>
    </w:p>
    <w:p>
      <w:pPr>
        <w:spacing w:after="0" w:line="185" w:lineRule="exact"/>
        <w:rPr>
          <w:sz w:val="20"/>
          <w:szCs w:val="20"/>
          <w:color w:val="auto"/>
        </w:rPr>
      </w:pPr>
    </w:p>
    <w:p>
      <w:pPr>
        <w:ind w:right="2779"/>
        <w:spacing w:after="0" w:line="275" w:lineRule="auto"/>
        <w:rPr>
          <w:sz w:val="20"/>
          <w:szCs w:val="20"/>
          <w:color w:val="auto"/>
        </w:rPr>
      </w:pPr>
      <w:r>
        <w:rPr>
          <w:rFonts w:ascii="Courier New" w:cs="Courier New" w:eastAsia="Courier New" w:hAnsi="Courier New"/>
          <w:sz w:val="14"/>
          <w:szCs w:val="14"/>
          <w:color w:val="auto"/>
        </w:rPr>
        <w:t>Net cash used in financing activities of $10.8 million for 2001 decreased $15.5 million compared to $26.3 million used in 2000. The decrease resulted primarily from $30.7 million of additional cash used in 2000 for the repayment of debt and $1.6 million of additional cash used in 2000 for the repurchase of Common Shares. This was partially offset by a decrease of $17.0 million of cash provided by additional borrowings and related financing costs in 2001.</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The Company's long-term leases contain provisions designed to mitigate the adverse impact of inflation on the Company's net income. Such provisions include clauses enabling the Company to receive percentage rents based on tenants' gross sales, which generally increase as prices rise, and/or, in certain cases, escalation clauses, which generally increase rental rates during the terms of the leases. Such escalation clauses are often related to increases in the consumer price index or similar inflation indexes. In addition, many of the Company's leases are for terms of less than ten years, which permits the Company to seek to increase rents upon re-rental at market rates if rents are below the then existing market rates. Most of the Company's leases require the tenants to pay their share of operating expenses, including common area maintenance, real estate taxes, insurance and utilities, thereby reducing the Company's exposure to increases in costs and operating expenses resulting from inflation.</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Quantitative and qualitative disclosures about market risk</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The Company's primary market risk exposure is to changes in interest rates related to the Company's mortgage debt. See the discussion under Item 2 of this report for certain quantitative details related to the Company's mortgage debt. Currently, the Company manages its exposure to fluctuations in interest rates primarily through the use of fixed-rate debt, LIBOR rate caps and interest rate swap agreements. As of March 31, 2001, the Company had total mortgage debt of $271.4 million of which $124.8 million, or 46%, is fixed-rate and $146.6 million, or 54%, is variable-rate based upon LIBOR plus certain spreads. $23.6 million of notional variable-rate principal is hedged through the use of LIBOR rate caps as of March 31, 2001, which cap LIBOR at 6.5%. The Company is also a party to two swap agreements with a bank through its 49% interest in the Crossroads Joint Venture and Crossroads II Joint Venture. These swap agreements effectively fix the interest rate on the Company's pro rata share of the joint venture debt, or $16.9 million, at a blended base rate of 6.1% plus the applicable spreads.</w:t>
      </w:r>
    </w:p>
    <w:p>
      <w:pPr>
        <w:spacing w:after="0" w:line="189"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Of the total outstanding debt, $55.9 million will become due by 2002. As the Company intends on refinancing some or all of such debt at the then-existing market interest rates which may be greater than the current interest rate, the Company's interest expense would increase by approximately $559,000 annually if the interest rate on the refinanced debt increased by 100 basis points. Furthermore, interest expense on the Company's variable debt as of March 31, 2001 would increase by $1.5 million annually for a 100 basis point increase in interest rates. The Company may seek additional variable-rate financing if and when pricing and other commercial and financial terms warrant. As such, the Company would consider hedging against the interest rate risk related to such additional variable-rate debt through interest rate swaps and protection agreements, or other means.</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69"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83" w:lineRule="exact"/>
        <w:rPr>
          <w:sz w:val="20"/>
          <w:szCs w:val="20"/>
          <w:color w:val="auto"/>
        </w:rPr>
      </w:pPr>
    </w:p>
    <w:p>
      <w:pPr>
        <w:ind w:left="840" w:right="2959"/>
        <w:spacing w:after="0" w:line="235" w:lineRule="auto"/>
        <w:rPr>
          <w:sz w:val="20"/>
          <w:szCs w:val="20"/>
          <w:color w:val="auto"/>
        </w:rPr>
      </w:pPr>
      <w:r>
        <w:rPr>
          <w:rFonts w:ascii="Courier New" w:cs="Courier New" w:eastAsia="Courier New" w:hAnsi="Courier New"/>
          <w:sz w:val="16"/>
          <w:szCs w:val="16"/>
          <w:color w:val="auto"/>
        </w:rPr>
        <w:t>There have been no material legal proceedings beyond those previously disclosed in the Registrants previously filed Annual Report on Form 10-K for the year ended December 31, 2000.</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4"/>
          <w:szCs w:val="14"/>
          <w:color w:val="auto"/>
        </w:rPr>
        <w:t>Changes in Securities</w:t>
      </w:r>
    </w:p>
    <w:p>
      <w:pPr>
        <w:ind w:left="840"/>
        <w:spacing w:after="0" w:line="236" w:lineRule="auto"/>
        <w:rPr>
          <w:sz w:val="20"/>
          <w:szCs w:val="20"/>
          <w:color w:val="auto"/>
        </w:rPr>
      </w:pPr>
      <w:r>
        <w:rPr>
          <w:rFonts w:ascii="Courier New" w:cs="Courier New" w:eastAsia="Courier New" w:hAnsi="Courier New"/>
          <w:sz w:val="16"/>
          <w:szCs w:val="16"/>
          <w:color w:val="auto"/>
        </w:rPr>
        <w:t>None</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4"/>
          <w:szCs w:val="14"/>
          <w:color w:val="auto"/>
        </w:rPr>
        <w:t>Defaults Upon Senior Securities</w:t>
      </w:r>
    </w:p>
    <w:p>
      <w:pPr>
        <w:ind w:left="840"/>
        <w:spacing w:after="0" w:line="236" w:lineRule="auto"/>
        <w:rPr>
          <w:sz w:val="20"/>
          <w:szCs w:val="20"/>
          <w:color w:val="auto"/>
        </w:rPr>
      </w:pPr>
      <w:r>
        <w:rPr>
          <w:rFonts w:ascii="Courier New" w:cs="Courier New" w:eastAsia="Courier New" w:hAnsi="Courier New"/>
          <w:sz w:val="16"/>
          <w:szCs w:val="16"/>
          <w:color w:val="auto"/>
        </w:rPr>
        <w:t>None</w:t>
      </w:r>
    </w:p>
    <w:p>
      <w:pPr>
        <w:spacing w:after="0" w:line="183" w:lineRule="exact"/>
        <w:rPr>
          <w:sz w:val="20"/>
          <w:szCs w:val="20"/>
          <w:color w:val="auto"/>
        </w:rPr>
      </w:pPr>
    </w:p>
    <w:p>
      <w:pPr>
        <w:ind w:left="840" w:right="4639" w:hanging="836"/>
        <w:spacing w:after="0" w:line="234" w:lineRule="auto"/>
        <w:tabs>
          <w:tab w:leader="none" w:pos="820" w:val="left"/>
        </w:tabs>
        <w:rPr>
          <w:sz w:val="20"/>
          <w:szCs w:val="20"/>
          <w:color w:val="auto"/>
        </w:rPr>
      </w:pPr>
      <w:r>
        <w:rPr>
          <w:rFonts w:ascii="Courier New" w:cs="Courier New" w:eastAsia="Courier New" w:hAnsi="Courier New"/>
          <w:sz w:val="16"/>
          <w:szCs w:val="16"/>
          <w:color w:val="auto"/>
        </w:rPr>
        <w:t>Item 4.</w:t>
        <w:tab/>
        <w:t>Submission of Matters to a Vote of Security Holders None</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83" w:lineRule="exact"/>
        <w:rPr>
          <w:sz w:val="20"/>
          <w:szCs w:val="20"/>
          <w:color w:val="auto"/>
        </w:rPr>
      </w:pPr>
    </w:p>
    <w:p>
      <w:pPr>
        <w:ind w:left="840" w:right="2879" w:hanging="7"/>
        <w:spacing w:after="0" w:line="234" w:lineRule="auto"/>
        <w:tabs>
          <w:tab w:leader="none" w:pos="121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 - The Company did not file any reports on Form 8-K during the three month period ended March 31, 2001</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69" w:right="1440" w:bottom="1440" w:gutter="0" w:footer="0" w:header="0"/>
        </w:sectPr>
      </w:pPr>
    </w:p>
    <w:bookmarkStart w:id="19" w:name="page20"/>
    <w:bookmarkEnd w:id="19"/>
    <w:p>
      <w:pPr>
        <w:ind w:left="3260"/>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Pursuant to the requirements of the Securities and Exchange Act of 1934, the registrant has fully caused this report to be signed on its behalf by the undersigned thereunto duly authorized.</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ACADIA REALTY TRUST</w:t>
      </w:r>
    </w:p>
    <w:p>
      <w:pPr>
        <w:sectPr>
          <w:pgSz w:w="11900" w:h="16838" w:orient="portrait"/>
          <w:cols w:equalWidth="0" w:num="1">
            <w:col w:w="10219"/>
          </w:cols>
          <w:pgMar w:left="240" w:top="4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Kenneth F. Bernstein</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Kenneth F. Bernstein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and President</w:t>
      </w:r>
    </w:p>
    <w:p>
      <w:pPr>
        <w:spacing w:after="0" w:line="14"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6"/>
          <w:szCs w:val="16"/>
          <w:color w:val="auto"/>
        </w:rPr>
        <w:t>(Principal Executive</w:t>
      </w:r>
      <w:r>
        <w:rPr>
          <w:sz w:val="20"/>
          <w:szCs w:val="20"/>
          <w:color w:val="auto"/>
        </w:rPr>
        <w:tab/>
      </w:r>
      <w:r>
        <w:rPr>
          <w:rFonts w:ascii="Courier New" w:cs="Courier New" w:eastAsia="Courier New" w:hAnsi="Courier New"/>
          <w:sz w:val="14"/>
          <w:szCs w:val="14"/>
          <w:color w:val="auto"/>
        </w:rPr>
        <w:t>Officer)</w:t>
      </w:r>
    </w:p>
    <w:p>
      <w:pPr>
        <w:spacing w:after="0" w:line="200" w:lineRule="exact"/>
        <w:rPr>
          <w:sz w:val="20"/>
          <w:szCs w:val="20"/>
          <w:color w:val="auto"/>
        </w:rPr>
      </w:pPr>
    </w:p>
    <w:p>
      <w:pPr>
        <w:sectPr>
          <w:pgSz w:w="11900" w:h="16838" w:orient="portrait"/>
          <w:cols w:equalWidth="0" w:num="2">
            <w:col w:w="2160" w:space="720"/>
            <w:col w:w="7339"/>
          </w:cols>
          <w:pgMar w:left="240" w:top="469" w:right="1440" w:bottom="1440" w:gutter="0" w:footer="0" w:header="0"/>
          <w:type w:val="continuous"/>
        </w:sectPr>
      </w:pPr>
    </w:p>
    <w:p>
      <w:pPr>
        <w:spacing w:after="0" w:line="33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 Perry Kamerman</w:t>
      </w:r>
    </w:p>
    <w:p>
      <w:pPr>
        <w:ind w:left="2880"/>
        <w:spacing w:after="0" w:line="236" w:lineRule="auto"/>
        <w:rPr>
          <w:sz w:val="20"/>
          <w:szCs w:val="20"/>
          <w:color w:val="auto"/>
        </w:rPr>
      </w:pPr>
      <w:r>
        <w:rPr>
          <w:rFonts w:ascii="Courier New" w:cs="Courier New" w:eastAsia="Courier New" w:hAnsi="Courier New"/>
          <w:sz w:val="16"/>
          <w:szCs w:val="16"/>
          <w:color w:val="auto"/>
        </w:rPr>
        <w:t>------------------------</w:t>
      </w:r>
    </w:p>
    <w:p>
      <w:pPr>
        <w:ind w:left="2880"/>
        <w:spacing w:after="0" w:line="237" w:lineRule="auto"/>
        <w:rPr>
          <w:sz w:val="20"/>
          <w:szCs w:val="20"/>
          <w:color w:val="auto"/>
        </w:rPr>
      </w:pPr>
      <w:r>
        <w:rPr>
          <w:rFonts w:ascii="Courier New" w:cs="Courier New" w:eastAsia="Courier New" w:hAnsi="Courier New"/>
          <w:sz w:val="16"/>
          <w:szCs w:val="16"/>
          <w:color w:val="auto"/>
        </w:rPr>
        <w:t>Perry Kamerman</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1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(Principal Financial and Accounting Officer)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14, 2001</w:t>
      </w: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18</w:t>
      </w:r>
    </w:p>
    <w:sectPr>
      <w:pgSz w:w="11900" w:h="16838" w:orient="portrait"/>
      <w:cols w:equalWidth="0" w:num="1">
        <w:col w:w="10219"/>
      </w:cols>
      <w:pgMar w:left="240" w:top="46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upperLetter"/>
      <w:start w:val="35"/>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decimal"/>
      <w:start w:val="6"/>
    </w:lvl>
  </w:abstractNum>
  <w:abstractNum w:abstractNumId="9">
    <w:nsid w:val="DED7263"/>
    <w:multiLevelType w:val="hybridMultilevel"/>
    <w:lvl w:ilvl="0">
      <w:lvlJc w:val="left"/>
      <w:lvlText w:val="(%1)"/>
      <w:numFmt w:val="decimal"/>
      <w:start w:val="7"/>
    </w:lvl>
  </w:abstractNum>
  <w:abstractNum w:abstractNumId="10">
    <w:nsid w:val="7FDCC233"/>
    <w:multiLevelType w:val="hybridMultilevel"/>
    <w:lvl w:ilvl="0">
      <w:lvlJc w:val="left"/>
      <w:lvlText w:val="(%1)"/>
      <w:numFmt w:val="decimal"/>
      <w:start w:val="8"/>
    </w:lvl>
  </w:abstractNum>
  <w:abstractNum w:abstractNumId="11">
    <w:nsid w:val="1BEFD79F"/>
    <w:multiLevelType w:val="hybridMultilevel"/>
    <w:lvl w:ilvl="0">
      <w:lvlJc w:val="left"/>
      <w:lvlText w:val="(%1)"/>
      <w:numFmt w:val="decimal"/>
      <w:start w:val="9"/>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3"/>
    </w:lvl>
  </w:abstractNum>
  <w:abstractNum w:abstractNumId="14">
    <w:nsid w:val="4E6AFB66"/>
    <w:multiLevelType w:val="hybridMultilevel"/>
    <w:lvl w:ilvl="0">
      <w:lvlJc w:val="left"/>
      <w:lvlText w:val="(%1)"/>
      <w:numFmt w:val="decimal"/>
      <w:start w:val="14"/>
    </w:lvl>
  </w:abstractNum>
  <w:abstractNum w:abstractNumId="15">
    <w:nsid w:val="25E45D32"/>
    <w:multiLevelType w:val="hybridMultilevel"/>
    <w:lvl w:ilvl="0">
      <w:lvlJc w:val="left"/>
      <w:lvlText w:val="(%1)"/>
      <w:numFmt w:val="decimal"/>
      <w:start w:val="17"/>
    </w:lvl>
  </w:abstractNum>
  <w:abstractNum w:abstractNumId="16">
    <w:nsid w:val="519B500D"/>
    <w:multiLevelType w:val="hybridMultilevel"/>
    <w:lvl w:ilvl="0">
      <w:lvlJc w:val="left"/>
      <w:lvlText w:val="(%1)"/>
      <w:numFmt w:val="decimal"/>
      <w:start w:val="19"/>
    </w:lvl>
  </w:abstractNum>
  <w:abstractNum w:abstractNumId="17">
    <w:nsid w:val="431BD7B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2019-12-14T00:55:30Z</dcterms:created>
  <dcterms:modified xsi:type="dcterms:W3CDTF">2019-12-14T00:55:30Z</dcterms:modified>
</cp:coreProperties>
</file>