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96" w:lineRule="exact"/>
        <w:rPr>
          <w:sz w:val="24"/>
          <w:szCs w:val="24"/>
          <w:color w:val="auto"/>
        </w:rPr>
      </w:pPr>
    </w:p>
    <w:p>
      <w:pPr>
        <w:ind w:left="460" w:right="300" w:hanging="439"/>
        <w:spacing w:after="0" w:line="262"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60" w:right="280" w:hanging="439"/>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457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Commission File Number 001-12002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ACADIA REALTY TRUST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in its charter)</w:t>
      </w:r>
    </w:p>
    <w:p>
      <w:pPr>
        <w:sectPr>
          <w:pgSz w:w="11900" w:h="16838" w:orient="portrait"/>
          <w:cols w:equalWidth="0" w:num="1">
            <w:col w:w="11240"/>
          </w:cols>
          <w:pgMar w:left="320" w:top="1118" w:right="339" w:bottom="105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28"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1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23-2715194</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184" w:lineRule="exact"/>
        <w:rPr>
          <w:sz w:val="24"/>
          <w:szCs w:val="24"/>
          <w:color w:val="auto"/>
        </w:rPr>
      </w:pPr>
    </w:p>
    <w:p>
      <w:pPr>
        <w:sectPr>
          <w:pgSz w:w="11900" w:h="16838" w:orient="portrait"/>
          <w:cols w:equalWidth="0" w:num="2">
            <w:col w:w="7220" w:space="720"/>
            <w:col w:w="3300"/>
          </w:cols>
          <w:pgMar w:left="320" w:top="1118" w:right="339" w:bottom="1055" w:gutter="0" w:footer="0" w:header="0"/>
          <w:type w:val="continuous"/>
        </w:sect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411 THEODORE FREMD AVENUE, SUITE 300, RYE, NY</w:t>
      </w:r>
    </w:p>
    <w:p>
      <w:pPr>
        <w:spacing w:after="0" w:line="2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Times New Roman" w:cs="Times New Roman" w:eastAsia="Times New Roman" w:hAnsi="Times New Roman"/>
          <w:sz w:val="16"/>
          <w:szCs w:val="16"/>
          <w:b w:val="1"/>
          <w:bCs w:val="1"/>
          <w:color w:val="auto"/>
        </w:rPr>
        <w:t>10580</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35" w:lineRule="exact"/>
        <w:rPr>
          <w:sz w:val="24"/>
          <w:szCs w:val="24"/>
          <w:color w:val="auto"/>
        </w:rPr>
      </w:pPr>
    </w:p>
    <w:p>
      <w:pPr>
        <w:sectPr>
          <w:pgSz w:w="11900" w:h="16838" w:orient="portrait"/>
          <w:cols w:equalWidth="0" w:num="2">
            <w:col w:w="7480" w:space="720"/>
            <w:col w:w="3040"/>
          </w:cols>
          <w:pgMar w:left="320" w:top="1118" w:right="339" w:bottom="1055"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288-8100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118" w:right="339" w:bottom="1055" w:gutter="0" w:footer="0" w:header="0"/>
          <w:type w:val="continuous"/>
        </w:sectPr>
      </w:pPr>
    </w:p>
    <w:p>
      <w:pPr>
        <w:spacing w:after="0" w:line="12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Title of class of registered securities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160" w:lineRule="exact"/>
        <w:rPr>
          <w:sz w:val="24"/>
          <w:szCs w:val="24"/>
          <w:color w:val="auto"/>
        </w:rPr>
      </w:pPr>
    </w:p>
    <w:p>
      <w:pPr>
        <w:sectPr>
          <w:pgSz w:w="11900" w:h="16838" w:orient="portrait"/>
          <w:cols w:equalWidth="0" w:num="3">
            <w:col w:w="4300" w:space="720"/>
            <w:col w:w="2160" w:space="720"/>
            <w:col w:w="3340"/>
          </w:cols>
          <w:pgMar w:left="320" w:top="1118" w:right="339" w:bottom="1055" w:gutter="0" w:footer="0" w:header="0"/>
          <w:type w:val="continuous"/>
        </w:sectPr>
      </w:pPr>
    </w:p>
    <w:p>
      <w:pPr>
        <w:ind w:left="140"/>
        <w:spacing w:after="0"/>
        <w:rPr>
          <w:sz w:val="20"/>
          <w:szCs w:val="20"/>
          <w:color w:val="auto"/>
        </w:rPr>
      </w:pPr>
      <w:r>
        <w:rPr>
          <w:rFonts w:ascii="Times New Roman" w:cs="Times New Roman" w:eastAsia="Times New Roman" w:hAnsi="Times New Roman"/>
          <w:sz w:val="17"/>
          <w:szCs w:val="17"/>
          <w:color w:val="auto"/>
        </w:rPr>
        <w:t>Common shares of beneficial interest,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AKR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38" w:lineRule="exact"/>
        <w:rPr>
          <w:sz w:val="24"/>
          <w:szCs w:val="24"/>
          <w:color w:val="auto"/>
        </w:rPr>
      </w:pPr>
    </w:p>
    <w:p>
      <w:pPr>
        <w:sectPr>
          <w:pgSz w:w="11900" w:h="16838" w:orient="portrait"/>
          <w:cols w:equalWidth="0" w:num="3">
            <w:col w:w="4720" w:space="720"/>
            <w:col w:w="2080" w:space="720"/>
            <w:col w:w="3000"/>
          </w:cols>
          <w:pgMar w:left="320" w:top="1118" w:right="339" w:bottom="1055"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color w:val="auto"/>
        </w:rPr>
        <w:t>$0.001 per share</w:t>
      </w:r>
    </w:p>
    <w:p>
      <w:pPr>
        <w:sectPr>
          <w:pgSz w:w="11900" w:h="16838" w:orient="portrait"/>
          <w:cols w:equalWidth="0" w:num="1">
            <w:col w:w="11240"/>
          </w:cols>
          <w:pgMar w:left="320" w:top="1118" w:right="339" w:bottom="1055" w:gutter="0" w:footer="0" w:header="0"/>
          <w:type w:val="continuous"/>
        </w:sectPr>
      </w:pPr>
    </w:p>
    <w:p>
      <w:pPr>
        <w:spacing w:after="0" w:line="1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77" w:lineRule="exact"/>
        <w:rPr>
          <w:sz w:val="24"/>
          <w:szCs w:val="24"/>
          <w:color w:val="auto"/>
        </w:rPr>
      </w:pPr>
    </w:p>
    <w:p>
      <w:pPr>
        <w:ind w:left="4520"/>
        <w:spacing w:after="0" w:line="219" w:lineRule="exact"/>
        <w:tabs>
          <w:tab w:leader="none" w:pos="62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rPr>
        <w:t>☐</w:t>
      </w:r>
    </w:p>
    <w:p>
      <w:pPr>
        <w:spacing w:after="0" w:line="29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0" w:lineRule="exact"/>
        <w:rPr>
          <w:sz w:val="24"/>
          <w:szCs w:val="24"/>
          <w:color w:val="auto"/>
        </w:rPr>
      </w:pPr>
    </w:p>
    <w:p>
      <w:pPr>
        <w:spacing w:after="0" w:line="263" w:lineRule="exact"/>
        <w:rPr>
          <w:sz w:val="24"/>
          <w:szCs w:val="24"/>
          <w:color w:val="auto"/>
        </w:rPr>
      </w:pPr>
    </w:p>
    <w:p>
      <w:pPr>
        <w:ind w:left="4520"/>
        <w:spacing w:after="0" w:line="219" w:lineRule="exact"/>
        <w:tabs>
          <w:tab w:leader="none" w:pos="62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8" w:right="339" w:bottom="1055" w:gutter="0" w:footer="0" w:header="0"/>
          <w:type w:val="continuous"/>
        </w:sectPr>
      </w:pPr>
    </w:p>
    <w:p>
      <w:pPr>
        <w:spacing w:after="0" w:line="9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2820" w:space="720"/>
            <w:col w:w="160" w:space="140"/>
            <w:col w:w="2560" w:space="720"/>
            <w:col w:w="160" w:space="160"/>
            <w:col w:w="2900" w:space="720"/>
            <w:col w:w="180"/>
          </w:cols>
          <w:pgMar w:left="320" w:top="1118" w:right="339" w:bottom="1055"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303" w:lineRule="exact"/>
        <w:rPr>
          <w:sz w:val="24"/>
          <w:szCs w:val="24"/>
          <w:color w:val="auto"/>
        </w:rPr>
      </w:pPr>
    </w:p>
    <w:p>
      <w:pPr>
        <w:sectPr>
          <w:pgSz w:w="11900" w:h="16838" w:orient="portrait"/>
          <w:cols w:equalWidth="0" w:num="4">
            <w:col w:w="2820" w:space="720"/>
            <w:col w:w="160" w:space="160"/>
            <w:col w:w="2540" w:space="720"/>
            <w:col w:w="4120"/>
          </w:cols>
          <w:pgMar w:left="320" w:top="1118" w:right="339" w:bottom="1055" w:gutter="0" w:footer="0" w:header="0"/>
          <w:type w:val="continuous"/>
        </w:sectPr>
      </w:pPr>
    </w:p>
    <w:p>
      <w:pPr>
        <w:spacing w:after="0" w:line="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26, 2024 there were 105,331,061 common shares of beneficial interest, par value $0.001 per share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05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40" w:type="dxa"/>
            <w:vAlign w:val="bottom"/>
            <w:gridSpan w:val="12"/>
            <w:vMerge w:val="restart"/>
          </w:tcPr>
          <w:p>
            <w:pPr>
              <w:jc w:val="center"/>
              <w:ind w:right="350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40" w:type="dxa"/>
            <w:vAlign w:val="bottom"/>
            <w:gridSpan w:val="12"/>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940" w:type="dxa"/>
            <w:vAlign w:val="bottom"/>
            <w:tcBorders>
              <w:top w:val="single" w:sz="8" w:color="0000FF"/>
            </w:tcBorders>
            <w:gridSpan w:val="6"/>
          </w:tcPr>
          <w:p>
            <w:pPr>
              <w:spacing w:after="0"/>
              <w:rPr>
                <w:sz w:val="21"/>
                <w:szCs w:val="21"/>
                <w:color w:val="auto"/>
              </w:rPr>
            </w:pPr>
          </w:p>
        </w:tc>
        <w:tc>
          <w:tcPr>
            <w:tcW w:w="3500" w:type="dxa"/>
            <w:vAlign w:val="bottom"/>
            <w:gridSpan w:val="6"/>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as of June 30, 2024 and December 31, 2023</w:t>
            </w: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Six Months Ended June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Six Months Ended June 30, 2024 and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 for the Three and Six Months Ended June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June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 OTHER INFORMATION</w:t>
            </w:r>
          </w:p>
        </w:tc>
        <w:tc>
          <w:tcPr>
            <w:tcW w:w="364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right w:val="single" w:sz="8" w:color="0000EE"/>
            </w:tcBorders>
            <w:gridSpan w:val="2"/>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3"/>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40" w:type="dxa"/>
            <w:vAlign w:val="bottom"/>
            <w:gridSpan w:val="1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“Report”) of Acadia Realty Trust, a Maryland real estate investment trust, (the “Company”) may contain forward-looking statements within the meaning of Section 27A of the Securities Act of 1933, as amended (the "Securities Act"), and Section 21E of the Securities Exchange Act of 1934, as amended (the “Exchange Act”). Forward-looking statements, which are based on certain assumptions and describe our future plans, strategies and expectations are generally identifiable by the use of the words such as “may,” “will,” “should,” “expect,” “anticipate,” “estimate,” “believe,” “intend” or “project,” or the negative thereof, or other variations thereon or comparable terminology. 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 (i) macroeconomic conditions, including due to geopolitical conditions and instability, which may lead to a disruption of or lack of access to the capital markets, disruptions and instability in the banking and financial services industries and rising inflation; (ii) our success in implementing our business strategy and our ability to identify, underwrite, finance, consummate and integrate diversifying acquisitions and investments; (iii) changes in general economic conditions or economic conditions in the markets in which we may, from time to time, compete, and their effect on our revenues, earnings and funding sources; (iv) increases in our borrowing costs as a result of rising inflation, changes in interest rates and other factors; (v) our ability to pay down, refinance, restructure or extend our indebtedness as it becomes due; (vi) our investments in joint ventures and unconsolidated entities, including our lack of sole decision-making authority and our reliance on our joint venture partners’ financial condition; (vii) our ability to obtain the financial results expected from our development and redevelopment projects; (viii) 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 (ix) our potential liability for environmental matters; (x) damage to our properties from catastrophic weather and other natural events, and the physical effects of climate change; (xi) the economic, political and social impact of, and uncertainty surrounding, any public health crisis, such as the COVID-19 Pandemic, which adversely affected the Company and its tenants’ business, financial condition, results of operations and liquidity; (xii) uninsured losses; (xiii) our ability and willingness to maintain our qualification as a real estate investment trust (“REIT”) in light of economic, market, legal, tax and other considerations; (xiv) information technology security breaches, including increased cybersecurity risks relating to the use of remote technology; (xv) the loss of key executives; and (xvi) the accuracy of our methodologies and estimates regarding environmental, social and governance (“ESG”) metrics, goals and targets, tenant willingness and ability to collaborate towards reporting ESG metrics and meeting ESG goals and targets, and the impact of governmental regulation on our ESG efforts.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factors described above are not exhaustive and additional factors could adversely affect the Company’s future results and financial performance, including the risk factors discussed under the section captioned “Risk Factors” in the Company’s Annual Report on Form 10-K for the year ended December 31, 2023 and other periodic or current reports the Company files with the SEC, including those set forth under the headings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FF"/>
        </w:rPr>
        <w:t>Item 2. Management’s Discussion and Analysis of Financial Condition and Results of Operations</w:t>
      </w:r>
      <w:r>
        <w:rPr>
          <w:rFonts w:ascii="Times New Roman" w:cs="Times New Roman" w:eastAsia="Times New Roman" w:hAnsi="Times New Roman"/>
          <w:sz w:val="18"/>
          <w:szCs w:val="18"/>
          <w:color w:val="000000"/>
        </w:rPr>
        <w:t>” in this Report. These risks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uncertainties should be considered in evaluating any forward-looking statements contained or incorporated by reference herein. Any forward-looking statements speak only as of the date hereof. The Company expressly disclaims any obligation or undertaking to release publicly any updates or revisions to any forward-looking statements to reflect any changes in the Company’s expectations with regard thereto or changes in the events, conditions or circumstances on which such forward-looking statements are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6463665</wp:posOffset>
            </wp:positionH>
            <wp:positionV relativeFrom="paragraph">
              <wp:posOffset>-715010</wp:posOffset>
            </wp:positionV>
            <wp:extent cx="66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5488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894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CERTAIN REFERENCES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references to “Notes” throughout the document refer to the Notes to the Condensed Consolidated Financial Statements of the registrant referenced in Part I,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-24765</wp:posOffset>
            </wp:positionV>
            <wp:extent cx="1307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real estate, at cost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real estate,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3,446,912</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3,517,281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101,802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investments in real estate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3,548,714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3,612,080</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net ($1,520 and $1,279 of allowance for credit losses as of June 30, 2024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and advances to unconsolidated affiliates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197,240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213,779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 operating leases,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Rents receivable,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of properties held for sale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shd w:val="clear" w:color="auto" w:fill="CFF0FC"/>
          </w:tcPr>
          <w:p>
            <w:pPr>
              <w:spacing w:after="0"/>
              <w:rPr>
                <w:sz w:val="21"/>
                <w:szCs w:val="21"/>
                <w:color w:val="auto"/>
              </w:rPr>
            </w:pPr>
          </w:p>
        </w:tc>
      </w:tr>
      <w:tr>
        <w:trPr>
          <w:trHeight w:val="241"/>
        </w:trPr>
        <w:tc>
          <w:tcPr>
            <w:tcW w:w="7720" w:type="dxa"/>
            <w:vAlign w:val="bottom"/>
            <w:tcBorders>
              <w:top w:val="single" w:sz="8" w:color="CFF0FC"/>
            </w:tcBorders>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4"/>
                <w:szCs w:val="24"/>
                <w:color w:val="auto"/>
                <w:vertAlign w:val="superscript"/>
              </w:rPr>
              <w:t>(a)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4,251,038</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4,291,154</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notes payable,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955,069</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644,313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line of credit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218,095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operating leases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income from, and investments in, unconsolidated affiliates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20"/>
                <w:szCs w:val="20"/>
                <w:color w:val="auto"/>
              </w:rPr>
            </w:pPr>
          </w:p>
        </w:tc>
      </w:tr>
      <w:tr>
        <w:trPr>
          <w:trHeight w:val="241"/>
        </w:trPr>
        <w:tc>
          <w:tcPr>
            <w:tcW w:w="7720" w:type="dxa"/>
            <w:vAlign w:val="bottom"/>
            <w:tcBorders>
              <w:bottom w:val="single" w:sz="8" w:color="CFF0FC"/>
            </w:tcBorders>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Total liabilities </w:t>
            </w:r>
            <w:r>
              <w:rPr>
                <w:rFonts w:ascii="Times New Roman" w:cs="Times New Roman" w:eastAsia="Times New Roman" w:hAnsi="Times New Roman"/>
                <w:sz w:val="24"/>
                <w:szCs w:val="24"/>
                <w:color w:val="auto"/>
                <w:vertAlign w:val="superscript"/>
              </w:rPr>
              <w:t>(a)</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1,971,473</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2,157,598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(Note 10)</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40,874</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Acadia Shareholders' Equity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shares, $0.001 par value per share, authorized 200,000,000 shares, issued and outstanding</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105,266,580 and 95,361,676 shares,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2,115,689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1,953,521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(381,945 )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(349,141 )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Acadia shareholders’ equity</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1,781,470</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1,636,917</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457,221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2,238,691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2,083,217</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4,251,038</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4,291,154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-5648325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-3959860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-2065020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both"/>
        <w:ind w:left="520" w:hanging="512"/>
        <w:spacing w:after="0" w:line="229"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consolidated assets and liabilities of Acadia Realty Limited Partnership (the "Operating Partnership"), which is a consolidated variable interest entity ("VIE") (</w:t>
      </w:r>
      <w:r>
        <w:rPr>
          <w:rFonts w:ascii="Times New Roman" w:cs="Times New Roman" w:eastAsia="Times New Roman" w:hAnsi="Times New Roman"/>
          <w:sz w:val="14"/>
          <w:szCs w:val="14"/>
          <w:u w:val="single" w:color="auto"/>
          <w:color w:val="0000FF"/>
        </w:rPr>
        <w:t>Note 15</w:t>
      </w:r>
      <w:r>
        <w:rPr>
          <w:rFonts w:ascii="Times New Roman" w:cs="Times New Roman" w:eastAsia="Times New Roman" w:hAnsi="Times New Roman"/>
          <w:sz w:val="14"/>
          <w:szCs w:val="14"/>
          <w:color w:val="auto"/>
        </w:rPr>
        <w:t>). The Condensed Consolidated Balance Sheets include the following amounts related to our consolidated VIEs that are consolidated by the Operating Partnership: $1,654.5 million and $1,679.8 million of Operating real estate, net; $30.0 million and $28.9 million of Real estate under development; $91.1 million and $92.8 million of Investments in and advances to unconsolidated affiliates; $90.3 million and $101.7 million of Other assets, net; $2.2 million and $2.1 million of Right-of-use assets - operating leases, net; $20.7 million and $10.8 million of Cash and cash equivalents; $10.8 million and $7.0 million of Restricted cash; $23.9 million and $21.4 million of Rents receivable, net; $800.3 million and $764.6 million of Mortgage and other notes payable, net; $0.0 million and $80.5 million of Unsecured notes payable, net; $128.1 million and $127.2 million of Accounts payable and other liabilities; $2.3 million and $2.2 million of Lease liability- operating leases, net as of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6781165</wp:posOffset>
            </wp:positionH>
            <wp:positionV relativeFrom="paragraph">
              <wp:posOffset>-582295</wp:posOffset>
            </wp:positionV>
            <wp:extent cx="300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0" w:type="dxa"/>
            <w:vAlign w:val="bottom"/>
            <w:gridSpan w:val="5"/>
          </w:tcPr>
          <w:p>
            <w:pPr>
              <w:ind w:left="3680"/>
              <w:spacing w:after="0"/>
              <w:rPr>
                <w:sz w:val="20"/>
                <w:szCs w:val="20"/>
                <w:color w:val="auto"/>
              </w:rPr>
            </w:pPr>
            <w:r>
              <w:rPr>
                <w:rFonts w:ascii="Times New Roman" w:cs="Times New Roman" w:eastAsia="Times New Roman" w:hAnsi="Times New Roman"/>
                <w:sz w:val="18"/>
                <w:szCs w:val="18"/>
                <w:b w:val="1"/>
                <w:bCs w:val="1"/>
                <w:color w:val="auto"/>
                <w:w w:val="99"/>
              </w:rPr>
              <w:t>ACADIA REALTY TRUST AND SUBSIDIARIES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gridSpan w:val="10"/>
          </w:tcPr>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4"/>
                <w:szCs w:val="24"/>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85,626</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171,663</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168,878</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171,787</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operating</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140,021</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disposition of properties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(441 )</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(1,408 )</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holding (losses) gains on investments and other</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(2,364 )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(4,415 )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(23,581 )</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(22,089 )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(47,290 )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(43,676 )</w:t>
            </w: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(5,089 )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25,042</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(155 )</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(186 )</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(5,275 )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tcPr>
          <w:p>
            <w:pPr>
              <w:spacing w:after="0"/>
              <w:rPr>
                <w:sz w:val="20"/>
                <w:szCs w:val="20"/>
                <w:color w:val="auto"/>
              </w:rPr>
            </w:pPr>
          </w:p>
        </w:tc>
      </w:tr>
      <w:tr>
        <w:trPr>
          <w:trHeight w:val="245"/>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(2,431 )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(5,284 )</w:t>
            </w:r>
          </w:p>
        </w:tc>
      </w:tr>
      <w:tr>
        <w:trPr>
          <w:trHeight w:val="278"/>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attributable to Acadia shareholders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shares for basic income per share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shares for diluted income per share</w:t>
            </w: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103,592</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95,260</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-4208145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-4208145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-4208145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-3265170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-3265170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-3265170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-2005330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-2005330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-1687830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-1687830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-1687830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-1036320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-1036320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-1036320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-719455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-702310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-719455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600" w:type="dxa"/>
            <w:vAlign w:val="bottom"/>
            <w:gridSpan w:val="5"/>
          </w:tcPr>
          <w:p>
            <w:pPr>
              <w:ind w:left="3680"/>
              <w:spacing w:after="0"/>
              <w:rPr>
                <w:sz w:val="20"/>
                <w:szCs w:val="20"/>
                <w:color w:val="auto"/>
              </w:rPr>
            </w:pPr>
            <w:r>
              <w:rPr>
                <w:rFonts w:ascii="Times New Roman" w:cs="Times New Roman" w:eastAsia="Times New Roman" w:hAnsi="Times New Roman"/>
                <w:sz w:val="18"/>
                <w:szCs w:val="18"/>
                <w:b w:val="1"/>
                <w:bCs w:val="1"/>
                <w:color w:val="auto"/>
                <w:w w:val="99"/>
              </w:rPr>
              <w:t>ACADIA REALTY TRUST AND SUBSIDIARIES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gridSpan w:val="10"/>
          </w:tcPr>
          <w:p>
            <w:pPr>
              <w:ind w:left="1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4"/>
                <w:szCs w:val="24"/>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7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tcPr>
          <w:p>
            <w:pPr>
              <w:spacing w:after="0"/>
              <w:rPr>
                <w:sz w:val="24"/>
                <w:szCs w:val="24"/>
                <w:color w:val="auto"/>
              </w:rPr>
            </w:pPr>
          </w:p>
        </w:tc>
      </w:tr>
      <w:tr>
        <w:trPr>
          <w:trHeight w:val="25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valuation of derivatives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realized interest on swap derivatives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(8,850 )</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(8,262 )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(17,683 )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(14,815 )</w:t>
            </w: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28,210</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redeemable noncontrolling interests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(1,112 )</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(5,702 )</w:t>
            </w:r>
          </w:p>
        </w:tc>
      </w:tr>
      <w:tr>
        <w:trPr>
          <w:trHeight w:val="237"/>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Acadia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Borders>
              <w:top w:val="single" w:sz="8" w:color="CFF0FC"/>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-822325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-822325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-822325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Acadia Shareholders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220" w:type="dxa"/>
            <w:vAlign w:val="bottom"/>
          </w:tcPr>
          <w:p>
            <w:pPr>
              <w:spacing w:after="0"/>
              <w:rPr>
                <w:sz w:val="11"/>
                <w:szCs w:val="11"/>
                <w:color w:val="auto"/>
              </w:rPr>
            </w:pPr>
          </w:p>
        </w:tc>
        <w:tc>
          <w:tcPr>
            <w:tcW w:w="90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Distributi</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ons</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Excess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2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w:t>
            </w:r>
          </w:p>
        </w:tc>
        <w:tc>
          <w:tcPr>
            <w:tcW w:w="0" w:type="dxa"/>
            <w:vAlign w:val="bottom"/>
          </w:tcPr>
          <w:p>
            <w:pPr>
              <w:spacing w:after="0"/>
              <w:rPr>
                <w:sz w:val="1"/>
                <w:szCs w:val="1"/>
                <w:color w:val="auto"/>
              </w:rPr>
            </w:pPr>
          </w:p>
        </w:tc>
      </w:tr>
      <w:tr>
        <w:trPr>
          <w:trHeight w:val="160"/>
        </w:trPr>
        <w:tc>
          <w:tcPr>
            <w:tcW w:w="20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per</w:t>
            </w:r>
          </w:p>
        </w:tc>
        <w:tc>
          <w:tcPr>
            <w:tcW w:w="90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ted</w:t>
            </w:r>
          </w:p>
        </w:tc>
        <w:tc>
          <w:tcPr>
            <w:tcW w:w="100" w:type="dxa"/>
            <w:vAlign w:val="bottom"/>
          </w:tcPr>
          <w:p>
            <w:pPr>
              <w:spacing w:after="0"/>
              <w:rPr>
                <w:sz w:val="13"/>
                <w:szCs w:val="13"/>
                <w:color w:val="auto"/>
              </w:rPr>
            </w:pPr>
          </w:p>
        </w:tc>
        <w:tc>
          <w:tcPr>
            <w:tcW w:w="9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80" w:type="dxa"/>
            <w:vAlign w:val="bottom"/>
          </w:tcPr>
          <w:p>
            <w:pPr>
              <w:spacing w:after="0"/>
              <w:rPr>
                <w:sz w:val="13"/>
                <w:szCs w:val="13"/>
                <w:color w:val="auto"/>
              </w:rPr>
            </w:pPr>
          </w:p>
        </w:tc>
        <w:tc>
          <w:tcPr>
            <w:tcW w:w="86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ling</w:t>
            </w:r>
          </w:p>
        </w:tc>
        <w:tc>
          <w:tcPr>
            <w:tcW w:w="140" w:type="dxa"/>
            <w:vAlign w:val="bottom"/>
          </w:tcPr>
          <w:p>
            <w:pPr>
              <w:spacing w:after="0"/>
              <w:rPr>
                <w:sz w:val="13"/>
                <w:szCs w:val="13"/>
                <w:color w:val="auto"/>
              </w:rPr>
            </w:pPr>
          </w:p>
        </w:tc>
        <w:tc>
          <w:tcPr>
            <w:tcW w:w="88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April 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103,156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2,078,295</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46,942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(364,440 )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1,760,900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465,169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2,226,069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45,462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Conversion of OP Units to</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by limited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partners of the Operating</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(6,427 )</w:t>
            </w:r>
          </w:p>
        </w:tc>
        <w:tc>
          <w:tcPr>
            <w:tcW w:w="1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Partnership</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28,273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w:t>
            </w: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Dividends/distributions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declared ($0.18 per 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(18,948 )</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(18,948 )</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(1,228 )</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(20,176 )</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Share/OP Unit)</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City Point Loan accrued interest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(2,290 )</w:t>
            </w: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Employee and trustee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net</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call receivable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(7,960 )</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(7,960 )</w:t>
            </w:r>
          </w:p>
        </w:tc>
        <w:tc>
          <w:tcPr>
            <w:tcW w:w="12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(2,292 )</w:t>
            </w: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Reallocation of noncontrolling</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(2,071 )</w:t>
            </w:r>
          </w:p>
        </w:tc>
        <w:tc>
          <w:tcPr>
            <w:tcW w:w="1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105,267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2,115,689</w:t>
            </w:r>
          </w:p>
        </w:tc>
        <w:tc>
          <w:tcPr>
            <w:tcW w:w="2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47,621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(381,945 )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1,781,470</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457,221</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2,238,691</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April 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95,208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1,945,157</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(304,173 )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1,671,082</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459,181</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2,130,263</w:t>
            </w:r>
          </w:p>
        </w:tc>
        <w:tc>
          <w:tcPr>
            <w:tcW w:w="2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Conversion of OP Units to</w:t>
            </w: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 Shares by limited</w:t>
            </w: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partners of the Operating</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(901 )</w:t>
            </w:r>
          </w:p>
        </w:tc>
        <w:tc>
          <w:tcPr>
            <w:tcW w:w="1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Partnership</w:t>
            </w: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Dividends/distributions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declared ($0.18 per 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(17,160 )</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(17,160 )</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(1,341 )</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(18,501 )</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Share/OP Unit)</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City Point Loan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(796 )</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City Point Loan accrued 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(2,345 )</w:t>
            </w: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Employee and trustee stock</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compensation, net</w:t>
            </w: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(5,492 )</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(5,492 )</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(34 )</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(1,091 )</w:t>
            </w:r>
          </w:p>
        </w:tc>
        <w:tc>
          <w:tcPr>
            <w:tcW w:w="0" w:type="dxa"/>
            <w:vAlign w:val="bottom"/>
          </w:tcPr>
          <w:p>
            <w:pPr>
              <w:spacing w:after="0"/>
              <w:rPr>
                <w:sz w:val="1"/>
                <w:szCs w:val="1"/>
                <w:color w:val="auto"/>
              </w:rPr>
            </w:pPr>
          </w:p>
        </w:tc>
      </w:tr>
      <w:tr>
        <w:trPr>
          <w:trHeight w:val="139"/>
        </w:trPr>
        <w:tc>
          <w:tcPr>
            <w:tcW w:w="20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Reallocation of noncontrolling</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(1,444 )</w:t>
            </w:r>
          </w:p>
        </w:tc>
        <w:tc>
          <w:tcPr>
            <w:tcW w:w="1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95,297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1,947,779</w:t>
            </w:r>
          </w:p>
        </w:tc>
        <w:tc>
          <w:tcPr>
            <w:tcW w:w="2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49,855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(312,057 )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1,685,672</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452,437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2,138,109</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-2356485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-2356485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-2356485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-2356485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-2356485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-2356485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-2356485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-2356485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-2356485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-145415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-145415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-145415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-145415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-145415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-145415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-145415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-145415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-145415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Acadia Shareholders</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22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w w:val="90"/>
              </w:rPr>
              <w:t>ns</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40" w:type="dxa"/>
            <w:vAlign w:val="bottom"/>
            <w:gridSpan w:val="3"/>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in Excess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sive</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7"/>
        </w:trPr>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gridSpan w:val="2"/>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95,362</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1,953,521</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32,442</w:t>
            </w:r>
          </w:p>
        </w:tc>
        <w:tc>
          <w:tcPr>
            <w:tcW w:w="22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(349,141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1,636,917</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446,300</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2,083,217</w:t>
            </w:r>
          </w:p>
        </w:tc>
        <w:tc>
          <w:tcPr>
            <w:tcW w:w="20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50,339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142,123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142,123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OP Units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 by limited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partners of the Operating</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(19,341 )</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Partnership</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Dividends/distributions</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declared ($0.36 per Common</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(37,516 )</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(37,516 )</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(2,681 )</w:t>
            </w: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(40,197 )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Share/OP Unit)</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City Point Loan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City Point Loan accrued</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(4,613 )</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Employee and trustee stock</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net</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(13,425 )</w:t>
            </w: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(13,425 )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19,891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(3,974 )</w:t>
            </w: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15,917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(4,846 )</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Reallocation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105,267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2,115,689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47,621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(381,945 )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1,781,470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457,221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2,238,691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95,121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1,945,322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46,817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(300,402 )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1,691,832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489,364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2,181,196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67,664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OP Units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Shares by limited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partners of the Operating</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(1,533 )</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Partnership</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Dividends/distributions</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declared ($0.36 per Common</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(34,291 )</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(34,291 )</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(2,684 )</w:t>
            </w: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(36,975 )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Share/OP Unit)</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Acquisition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City Point Loan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(796 )</w:t>
            </w: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City Point Loan accrued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(4,665 )</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Employee and trustee stock</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compensation, net</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(76,360 )</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(76,360 )</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31,242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31,242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(3,166 )</w:t>
            </w:r>
          </w:p>
        </w:tc>
        <w:tc>
          <w:tcPr>
            <w:tcW w:w="0" w:type="dxa"/>
            <w:vAlign w:val="bottom"/>
          </w:tcPr>
          <w:p>
            <w:pPr>
              <w:spacing w:after="0"/>
              <w:rPr>
                <w:sz w:val="1"/>
                <w:szCs w:val="1"/>
                <w:color w:val="auto"/>
              </w:rPr>
            </w:pPr>
          </w:p>
        </w:tc>
      </w:tr>
      <w:tr>
        <w:trPr>
          <w:trHeight w:val="18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Reallocation of</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(340 )</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(340 )</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95,297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1,947,779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49,855</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(312,057 )</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1,685,672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452,437</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2,138,109</w:t>
            </w:r>
          </w:p>
        </w:tc>
        <w:tc>
          <w:tcPr>
            <w:tcW w:w="2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-2630805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-2614295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-2630805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-2614295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-2630805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-2614295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-2630805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-2614295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-2630805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-2614295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-2630805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-2614295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-2630805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-2614295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-2630805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-2614295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-145415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-145415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-145415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-145415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-145415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-145415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-145415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(5,275 )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disposition of properties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holding losses on investments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 rents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(1,518 )</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(4,168 )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of operating income from unconsolidated affiliates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straight-line rent reserves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(181 )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financing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Acceleration of below market lease</w:t>
            </w: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(8,057 )</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(2,107 )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(2,881 )</w:t>
            </w: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Rents receivable</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(4,619 )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(4,419 )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(2,210 )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(6,808 )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(6,193 )</w:t>
            </w:r>
          </w:p>
        </w:tc>
        <w:tc>
          <w:tcPr>
            <w:tcW w:w="0" w:type="dxa"/>
            <w:vAlign w:val="bottom"/>
          </w:tcPr>
          <w:p>
            <w:pPr>
              <w:spacing w:after="0"/>
              <w:rPr>
                <w:sz w:val="1"/>
                <w:szCs w:val="1"/>
                <w:color w:val="auto"/>
              </w:rPr>
            </w:pPr>
          </w:p>
        </w:tc>
      </w:tr>
      <w:tr>
        <w:trPr>
          <w:trHeight w:val="23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(1,938 )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(1,825 )</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58,019</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89,495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disposition of properties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Investments in and advances to unconsolidated affiliates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(6,355 )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(29,114 )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Development, construction and property improvement costs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(37,412 )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(30,570 )</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deposits for properties under purchase contract</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(1,250 )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(995 )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Return of capital from unconsolidated affiliates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deferred leasing costs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(4,001 )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(4,071 )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repayment of note receivable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(7,945 )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19,976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(26,653 )</w:t>
            </w:r>
          </w:p>
        </w:tc>
        <w:tc>
          <w:tcPr>
            <w:tcW w:w="0" w:type="dxa"/>
            <w:vAlign w:val="bottom"/>
          </w:tcPr>
          <w:p>
            <w:pPr>
              <w:spacing w:after="0"/>
              <w:rPr>
                <w:sz w:val="1"/>
                <w:szCs w:val="1"/>
                <w:color w:val="auto"/>
              </w:rPr>
            </w:pPr>
          </w:p>
        </w:tc>
      </w:tr>
      <w:tr>
        <w:trPr>
          <w:trHeight w:val="221"/>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unsecured debt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96,384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unsecured debt</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(293,825 )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(133,109 )</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sale of Common Shares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142,123</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payments on mortgage and other notes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(25,213 )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(61,153 )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(16,170 )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(29,834 )</w:t>
            </w: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(35,733 )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(34,252 )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received from mortgage and other notes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deferred financing and other costs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(8,647 )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(1,840 )</w:t>
            </w:r>
          </w:p>
        </w:tc>
        <w:tc>
          <w:tcPr>
            <w:tcW w:w="0" w:type="dxa"/>
            <w:vAlign w:val="bottom"/>
          </w:tcPr>
          <w:p>
            <w:pPr>
              <w:spacing w:after="0"/>
              <w:rPr>
                <w:sz w:val="1"/>
                <w:szCs w:val="1"/>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(48,235 )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(65,545 )</w:t>
            </w:r>
          </w:p>
        </w:tc>
        <w:tc>
          <w:tcPr>
            <w:tcW w:w="0" w:type="dxa"/>
            <w:vAlign w:val="bottom"/>
          </w:tcPr>
          <w:p>
            <w:pPr>
              <w:spacing w:after="0"/>
              <w:rPr>
                <w:sz w:val="1"/>
                <w:szCs w:val="1"/>
                <w:color w:val="auto"/>
              </w:rPr>
            </w:pPr>
          </w:p>
        </w:tc>
      </w:tr>
      <w:tr>
        <w:trPr>
          <w:trHeight w:val="22"/>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 and restricted cash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(2,703 )</w:t>
            </w:r>
          </w:p>
        </w:tc>
        <w:tc>
          <w:tcPr>
            <w:tcW w:w="0" w:type="dxa"/>
            <w:vAlign w:val="bottom"/>
          </w:tcPr>
          <w:p>
            <w:pPr>
              <w:spacing w:after="0"/>
              <w:rPr>
                <w:sz w:val="1"/>
                <w:szCs w:val="1"/>
                <w:color w:val="auto"/>
              </w:rPr>
            </w:pPr>
          </w:p>
        </w:tc>
      </w:tr>
      <w:tr>
        <w:trPr>
          <w:trHeight w:val="21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of $17,481 and $17,158 and restricted cash of $7,813 and $15,063, respectively,</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of $31,915 and $17,193 and restricted cash of $23,139 and $12,325, respectively, end of</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55,054</w:t>
            </w:r>
          </w:p>
        </w:tc>
        <w:tc>
          <w:tcPr>
            <w:tcW w:w="300" w:type="dxa"/>
            <w:vAlign w:val="bottom"/>
          </w:tcPr>
          <w:p>
            <w:pPr>
              <w:spacing w:after="0"/>
              <w:rPr>
                <w:sz w:val="17"/>
                <w:szCs w:val="17"/>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-4242435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-2468245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-702310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(Continued)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29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capitalized interest of $3,348 and $3,913 respectively (a)</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62,126</w:t>
            </w: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55,349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Dividends/distributions declared and payable</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note receivable used as capital contributions from redeemable noncontrolling interests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Common OP Units to Common Shares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19,341</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on note receivable recorded to redeemable noncontrolling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of marketable securities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investment in an unconsolidated affiliate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of investment in unconsolidated affiliate to marketable securities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-1687830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-1671320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-1036320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-710565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-693420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paid for the six months ended June 30, 2024 and 2023 excludes the cash flows from net settlements on interest rate swap contracts, which was a net receivable of cash of $15.2 million and $12.6 million, respectively.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Acadia Realty Trust (the “Trust”, collectively with its consolidated subsidiaries, the “Company”), a Maryland real estate investment trust (“REIT”), is a fully-integrated equity REIT focused on the ownership, acquisition, development, and management of retail properties located primarily in high-barrier-to-entry, supply-constrained, densely populated metropolitan areas in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Company’s assets are held by, and all of its operations are conducted through, Acadia Realty Limited Partnership (the “Operating Partnership”) and entities in which the Operating Partnership owns an interest. As of June 30, 2024 and December 31, 2023, the Trust controlled approximately 96% and 95%, respectively, of the Operating Partnership as the sole general partner and is entitled to share, in proportion to its percentage interest, in the cash distributions and profits and losses of the Operating Partnership. The limited partners primarily represent entities or individuals that contributed their interests in certain properties or entities to the Operating Partnership in exchange for common or preferred units of limited partnership interest (“Common OP Units” or “Preferred OP Units”) and employees who have been awarded restricted Common OP Units (“LTIP Units”) as long-term incentive compensation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Limited partners holding Common OP and LTIP Units are generally entitled to exchange their units on a one-for-one basis for common shares of beneficial interest, par value $0.001 per share, of the Company (“Common Shares”). This structure is referred to as an umbrella partnership REIT or “UPREIT.”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-305435</wp:posOffset>
            </wp:positionV>
            <wp:extent cx="3733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June 30, 2024, the Company has ownership interests in 149 properties within its core portfolio, which consist of those properties either 100% owned, or partially owned through joint venture interests, by the Operating Partnership, or subsidiaries thereof, not including those properties owned through Investment Management (“Core Portfolio”). The Company also has ownership interests in 50 properties within an Investment Management platform, through which our Operating Partnership and outside institutional investors invest in primarily opportunistic and value-add retail real estate (“Investment Management”). As part of the Investment Management platform, we have active investments through the following opportunity funds, including: Acadia Strategic Opportunity Fund II, LLC (“Fund II”), Acadia Strategic Opportunity Fund III LLC (“Fund III”), Acadia Strategic Opportunity Fund IV LLC (“Fund IV”), and Acadia Strategic Opportunity Fund V LLC (“Fund V” and, collectively with Fund II, Fund III and Fund IV, “the Funds”). The 199 Core Portfolio and Investment Management properties primarily consist of street and urban retail and suburban shopping centers.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Partnership is the sole general partner or managing member of the Funds and earns fees or priority distributions for asset management, property management, construction, development, leasing, and legal services. Cash flows from the Funds are distributed pro-rata to their respective partners and members (including the Operating Partnership) until each receives a certain cumulative return (“Preferred Return”) and the return of all capital contributions. Thereafter, remaining cash flow is distributed 20% to the Operating Partnership (“Promote”) and 80% to the partners or members (including the Operating Partnership). All transactions between the Funds and the Operating Partnership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general terms and Operating Partnership’s equity interests in the Funds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Interest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 Called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Distributions</w:t>
            </w:r>
          </w:p>
        </w:tc>
      </w:tr>
      <w:tr>
        <w:trPr>
          <w:trHeight w:val="175"/>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Formation</w:t>
            </w: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Share of</w:t>
            </w:r>
          </w:p>
        </w:tc>
        <w:tc>
          <w:tcPr>
            <w:tcW w:w="11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as of June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Unfunded</w:t>
            </w:r>
          </w:p>
        </w:tc>
        <w:tc>
          <w:tcPr>
            <w:tcW w:w="220" w:type="dxa"/>
            <w:vAlign w:val="bottom"/>
          </w:tcPr>
          <w:p>
            <w:pPr>
              <w:spacing w:after="0"/>
              <w:rPr>
                <w:sz w:val="15"/>
                <w:szCs w:val="15"/>
                <w:color w:val="auto"/>
              </w:rPr>
            </w:pPr>
          </w:p>
        </w:tc>
        <w:tc>
          <w:tcPr>
            <w:tcW w:w="14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220" w:type="dxa"/>
            <w:vAlign w:val="bottom"/>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as of June 30,</w:t>
            </w:r>
          </w:p>
        </w:tc>
      </w:tr>
      <w:tr>
        <w:trPr>
          <w:trHeight w:val="259"/>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1"/>
              </w:rPr>
              <w:t xml:space="preserve">2024 </w:t>
            </w:r>
            <w:r>
              <w:rPr>
                <w:rFonts w:ascii="Times New Roman" w:cs="Times New Roman" w:eastAsia="Times New Roman" w:hAnsi="Times New Roman"/>
                <w:sz w:val="21"/>
                <w:szCs w:val="21"/>
                <w:b w:val="1"/>
                <w:bCs w:val="1"/>
                <w:color w:val="auto"/>
                <w:w w:val="91"/>
                <w:vertAlign w:val="superscript"/>
              </w:rPr>
              <w:t>(a)</w:t>
            </w:r>
          </w:p>
        </w:tc>
        <w:tc>
          <w:tcPr>
            <w:tcW w:w="2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Commitment </w:t>
            </w:r>
            <w:r>
              <w:rPr>
                <w:rFonts w:ascii="Times New Roman" w:cs="Times New Roman" w:eastAsia="Times New Roman" w:hAnsi="Times New Roman"/>
                <w:sz w:val="21"/>
                <w:szCs w:val="21"/>
                <w:b w:val="1"/>
                <w:bCs w:val="1"/>
                <w:color w:val="auto"/>
                <w:vertAlign w:val="superscript"/>
              </w:rPr>
              <w:t>(a)</w:t>
            </w:r>
          </w:p>
        </w:tc>
        <w:tc>
          <w:tcPr>
            <w:tcW w:w="22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Partnership </w:t>
            </w:r>
            <w:r>
              <w:rPr>
                <w:rFonts w:ascii="Times New Roman" w:cs="Times New Roman" w:eastAsia="Times New Roman" w:hAnsi="Times New Roman"/>
                <w:sz w:val="21"/>
                <w:szCs w:val="21"/>
                <w:b w:val="1"/>
                <w:bCs w:val="1"/>
                <w:color w:val="auto"/>
                <w:w w:val="95"/>
                <w:vertAlign w:val="superscript"/>
              </w:rPr>
              <w:t>(b)</w:t>
            </w:r>
          </w:p>
        </w:tc>
        <w:tc>
          <w:tcPr>
            <w:tcW w:w="220" w:type="dxa"/>
            <w:vAlign w:val="bottom"/>
          </w:tcPr>
          <w:p>
            <w:pPr>
              <w:spacing w:after="0"/>
              <w:rPr>
                <w:sz w:val="22"/>
                <w:szCs w:val="22"/>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Return</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1"/>
              </w:rPr>
              <w:t xml:space="preserve">2024 </w:t>
            </w:r>
            <w:r>
              <w:rPr>
                <w:rFonts w:ascii="Times New Roman" w:cs="Times New Roman" w:eastAsia="Times New Roman" w:hAnsi="Times New Roman"/>
                <w:sz w:val="21"/>
                <w:szCs w:val="21"/>
                <w:b w:val="1"/>
                <w:bCs w:val="1"/>
                <w:color w:val="auto"/>
                <w:w w:val="91"/>
                <w:vertAlign w:val="superscript"/>
              </w:rPr>
              <w:t>(a)</w:t>
            </w:r>
          </w:p>
        </w:tc>
        <w:tc>
          <w:tcPr>
            <w:tcW w:w="100" w:type="dxa"/>
            <w:vAlign w:val="bottom"/>
          </w:tcPr>
          <w:p>
            <w:pPr>
              <w:spacing w:after="0"/>
              <w:rPr>
                <w:sz w:val="22"/>
                <w:szCs w:val="22"/>
                <w:color w:val="auto"/>
              </w:rPr>
            </w:pPr>
          </w:p>
        </w:tc>
      </w:tr>
      <w:tr>
        <w:trPr>
          <w:trHeight w:val="22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Fund II</w:t>
            </w:r>
          </w:p>
        </w:tc>
        <w:tc>
          <w:tcPr>
            <w:tcW w:w="106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6/2004</w:t>
            </w:r>
          </w:p>
        </w:tc>
        <w:tc>
          <w:tcPr>
            <w:tcW w:w="16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61.67 %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61.67 %</w:t>
            </w:r>
          </w:p>
        </w:tc>
        <w:tc>
          <w:tcPr>
            <w:tcW w:w="142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8 %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FF0FC"/>
          </w:tcPr>
          <w:p>
            <w:pPr>
              <w:spacing w:after="0"/>
              <w:rPr>
                <w:sz w:val="19"/>
                <w:szCs w:val="19"/>
                <w:color w:val="auto"/>
              </w:rPr>
            </w:pPr>
          </w:p>
        </w:tc>
      </w:tr>
      <w:tr>
        <w:trPr>
          <w:trHeight w:val="22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III</w:t>
            </w:r>
          </w:p>
        </w:tc>
        <w:tc>
          <w:tcPr>
            <w:tcW w:w="10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5/2007</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24.54 %</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24.54 %</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Pr>
          <w:p>
            <w:pPr>
              <w:spacing w:after="0"/>
              <w:rPr>
                <w:sz w:val="19"/>
                <w:szCs w:val="19"/>
                <w:color w:val="auto"/>
              </w:rPr>
            </w:pPr>
          </w:p>
        </w:tc>
      </w:tr>
      <w:tr>
        <w:trPr>
          <w:trHeight w:val="239"/>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Fund IV</w:t>
            </w:r>
          </w:p>
        </w:tc>
        <w:tc>
          <w:tcPr>
            <w:tcW w:w="106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5/2012</w:t>
            </w:r>
          </w:p>
        </w:tc>
        <w:tc>
          <w:tcPr>
            <w:tcW w:w="16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23.12 %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23.12 %</w:t>
            </w: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shd w:val="clear" w:color="auto" w:fill="CFF0FC"/>
          </w:tcPr>
          <w:p>
            <w:pPr>
              <w:spacing w:after="0"/>
              <w:rPr>
                <w:sz w:val="20"/>
                <w:szCs w:val="20"/>
                <w:color w:val="auto"/>
              </w:rPr>
            </w:pPr>
          </w:p>
        </w:tc>
      </w:tr>
      <w:tr>
        <w:trPr>
          <w:trHeight w:val="21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V</w:t>
            </w:r>
          </w:p>
        </w:tc>
        <w:tc>
          <w:tcPr>
            <w:tcW w:w="10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8/2016</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20.10 %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20.10 %</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r>
    </w:tbl>
    <w:p>
      <w:pPr>
        <w:spacing w:after="0" w:line="7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 the Funds, including the Operating Partnership and noncontrolling interests’ share.</w:t>
      </w:r>
    </w:p>
    <w:p>
      <w:pPr>
        <w:spacing w:after="0" w:line="3" w:lineRule="exact"/>
        <w:rPr>
          <w:rFonts w:ascii="Times New Roman" w:cs="Times New Roman" w:eastAsia="Times New Roman" w:hAnsi="Times New Roman"/>
          <w:sz w:val="14"/>
          <w:szCs w:val="14"/>
          <w:color w:val="auto"/>
        </w:rPr>
      </w:pPr>
    </w:p>
    <w:p>
      <w:pPr>
        <w:ind w:left="1020" w:hanging="503"/>
        <w:spacing w:after="0" w:line="227"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current economic ownership as of June 30, 2024, which could differ from the stated legal ownership based upon the cumulative preferred returns of the respective Fund.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(“GAAP”) for interim financial information and the rules and regulations of the U.S. Securities and Exchange Commission (“SEC”). Accordingly, they do not include all of the information and footnotes required by GAAP for complete financial statements. Operating results for the interim periods presented are not necessarily indicative of the results that may be expected for the full fiscal year. The information furnished in the accompanying condensed consolidated financial statements reflects all adjustments that, in the opinion of management, are necessary for a fair presentation of the aforementioned condensed consolidated financial statements for the interim periods. Such adjustments consisted of normal recurring items.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requires the Company’s management to make estimates and assumptions that affect the amounts reported in the interim condensed consolidated financial statements and accompanying notes. The most significant assumptions and estimates relate to the valuation of real estate, depreciable lives, revenue recognition and the collectability of notes receivable and rents receivable. Application of these estimates and assumptions requires the exercise of judgment as to future uncertainties and, as a result, actual results could differ from these estimates.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2023 consolidated financial statements included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renamed its historical Funds segment as the Investment Management segment. No prior period information was recast and the designation change did not impact the Company’s condensed consolidated financial statements.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-48260</wp:posOffset>
            </wp:positionV>
            <wp:extent cx="365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Accounting Standards Update (“ASU”) ASU 2023-05,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 Joint Venture Formations (Subtopic 805-60): Recognition and Initial Measurement” </w:t>
      </w:r>
      <w:r>
        <w:rPr>
          <w:rFonts w:ascii="Times New Roman" w:cs="Times New Roman" w:eastAsia="Times New Roman" w:hAnsi="Times New Roman"/>
          <w:sz w:val="18"/>
          <w:szCs w:val="18"/>
          <w:color w:val="auto"/>
        </w:rPr>
        <w:t>(“ASU 2023-05”). ASU 2023-05 addresses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contributions made to a joint venture, upon formation, in a joint venture’s separate financial statements. Prior to the amendment, the FASB did not provide specific authoritative guidance on the initial measurement of assets and liabilities assumed by a joint venture upon its formation. ASU 2023-05 requires a joint venture to recognize and initially measure its assets and liabilities at fair value (with exceptions to fair value measurement that are consistent with the business combinations guidance). ASU 2023-05 is effective for all joint venture formations with a formation date on or after January 1, 2025, with early adoption permitted. The Company has elected not to early adopt ASU 2023-05 and does not expect the adoption will have a significant impact on our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provides for additional disclosures as it relates to the Company’s segments. Additional requirements per the update include disclosures for significant segment expenses, measures of profit or loss used by the CODM and how these measures are used to allocate resources and assess segment performance. The amendments in ASU 2023-07 will also apply to entities with a single reportable segment. ASU 2023-07 is effective for fiscal years beginning after December 15, 2023. The Company is evaluating the impact of this update on its disclosures and will adopt the amendments in its December 31, 2024 Annual Report on Form 10-K.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final climate-disclosure rules to enhance and standardize climate-related disclosures by public companies. With regards to financial statements, the rules requires disclosure of (i) capitalized costs, expenditures expensed, charges, and losses incurred as a result of severe weather events and other natural conditions, subject to applicable 1% and de minimis disclosure thresholds; (ii) capitalized costs, expenditures expensed, and losses related to carbon offsets and renewable energy credits or certificates (RECs) if used as a material component of a company’s plans to achieve its disclosed climate-related targets or goals; and (iii) if the estimates and assumptions the Company uses to produce the financial statements were materially impacted by risks and uncertainties associated with severe weather events and other natural conditions or any disclosed climate-related targets or transition plans, a qualitative description of how the development of such estimates and assumptions was impacted. The rules are effective for annual periods beginning January 1, 2025 and are to be applied prospectively. On April 4, 2024, the SEC voluntarily stayed the rules pending judicial review as a result of litigation. The Company is continuing to review the final rule and monitoring the litigation progress for possible impacts on the disclosure requirements and will adopt the required disclosures in their effective periods.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other recently issued accounting standards or pronouncements not disclosed above have been excluded as they are not relevant to the Company, or they are not expected to have a material impact on the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Real Estate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real estate is comprised of the following for the periods presented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849,524</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872,228</w:t>
            </w:r>
          </w:p>
        </w:tc>
        <w:tc>
          <w:tcPr>
            <w:tcW w:w="100" w:type="dxa"/>
            <w:vAlign w:val="bottom"/>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3,106,413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3,128,650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283,309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 finance leases (Note 11)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4,318,906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4,340,720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(871,994 )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(823,439 )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real estate, net</w:t>
            </w: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3,446,912</w:t>
            </w: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3,517,281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94,799</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investments in real estate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3,548,714</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3,612,080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did not acquire any retail properties and other real estate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disposed of the following properties and other real estate investments: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Gain (Loss)</w:t>
            </w:r>
          </w:p>
        </w:tc>
      </w:tr>
      <w:tr>
        <w:trPr>
          <w:trHeight w:val="245"/>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Location</w:t>
            </w:r>
          </w:p>
        </w:tc>
        <w:tc>
          <w:tcPr>
            <w:tcW w:w="140" w:type="dxa"/>
            <w:vAlign w:val="bottom"/>
          </w:tcPr>
          <w:p>
            <w:pPr>
              <w:spacing w:after="0"/>
              <w:rPr>
                <w:sz w:val="21"/>
                <w:szCs w:val="21"/>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0" w:type="dxa"/>
            <w:vAlign w:val="bottom"/>
          </w:tcPr>
          <w:p>
            <w:pPr>
              <w:spacing w:after="0"/>
              <w:rPr>
                <w:sz w:val="21"/>
                <w:szCs w:val="21"/>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Date Sold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 Price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on Sale</w:t>
            </w:r>
          </w:p>
        </w:tc>
      </w:tr>
      <w:tr>
        <w:trPr>
          <w:trHeight w:val="243"/>
        </w:trPr>
        <w:tc>
          <w:tcPr>
            <w:tcW w:w="5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2024 Dispositions</w:t>
            </w:r>
          </w:p>
        </w:tc>
        <w:tc>
          <w:tcPr>
            <w:tcW w:w="14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2208-2216 Fillmore Street - San Francisco, CA</w:t>
            </w:r>
          </w:p>
        </w:tc>
        <w:tc>
          <w:tcPr>
            <w:tcW w:w="14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IV</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0"/>
                <w:szCs w:val="20"/>
                <w:color w:val="auto"/>
              </w:rPr>
            </w:pPr>
          </w:p>
        </w:tc>
      </w:tr>
      <w:tr>
        <w:trPr>
          <w:trHeight w:val="24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2207 Fillmore Street - San Francisco, CA</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 IV</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4/3/2024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FF0FC"/>
          </w:tcPr>
          <w:p>
            <w:pPr>
              <w:spacing w:after="0"/>
              <w:rPr>
                <w:sz w:val="21"/>
                <w:szCs w:val="2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Shops at Grand - Queens, NY</w:t>
            </w:r>
          </w:p>
        </w:tc>
        <w:tc>
          <w:tcPr>
            <w:tcW w:w="14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5/16/2024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(2,213 )</w:t>
            </w:r>
          </w:p>
        </w:tc>
      </w:tr>
      <w:tr>
        <w:trPr>
          <w:trHeight w:val="24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Canton Marketplace (Outparcel) - Canton, GA</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 V</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6/28/2024</w:t>
            </w: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2024 Dispositions </w:t>
            </w:r>
            <w:r>
              <w:rPr>
                <w:rFonts w:ascii="Times New Roman" w:cs="Times New Roman" w:eastAsia="Times New Roman" w:hAnsi="Times New Roman"/>
                <w:sz w:val="24"/>
                <w:szCs w:val="24"/>
                <w:b w:val="1"/>
                <w:bCs w:val="1"/>
                <w:color w:val="auto"/>
                <w:vertAlign w:val="superscript"/>
              </w:rPr>
              <w:t>(a)</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64,510</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5" w:lineRule="exact"/>
        <w:rPr>
          <w:sz w:val="20"/>
          <w:szCs w:val="20"/>
          <w:color w:val="auto"/>
        </w:rPr>
      </w:pPr>
    </w:p>
    <w:p>
      <w:pPr>
        <w:ind w:left="1020" w:right="20" w:hanging="503"/>
        <w:spacing w:after="0" w:line="250"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six months ended June 30, 2024, the Company recorded a $1.2 million loss related to a Fund IV property that was sold in 2019 in connection with a post-closing dispute.</w:t>
      </w:r>
    </w:p>
    <w:p>
      <w:pPr>
        <w:spacing w:after="0" w:line="3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16, 2024, the Company sold a 95% interest in the Shops at Grand property located in Queens, NY for $48.3 million and retained a 5% ownership interest through an investment in a newly formed joint venture which was fair valued at $2.4 million. As a result of the transaction, the Company deconsolidated the property and accounted for its interest under the equity method of accounting effective May 16, 2024 as it no longer controls the investment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The Company recognized a loss on deconsolidation of $2.2 million related to transaction costs, which is included in the Gain on disposition of properties in the Condensed and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-171450</wp:posOffset>
            </wp:positionV>
            <wp:extent cx="3162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Properties Held for Sale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one property classified as held for sale as of December 31, 2023. The property as of December 31, 2023 was moved to Investments in real estate, at cost during the first quarter of 2024, as the Company no longer believes it is probable the asset will be disposed within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Under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 estate under development represents the Company’s consolidated properties that have not yet been placed into service while undergoing substantial development or construction.</w:t>
      </w:r>
    </w:p>
    <w:p>
      <w:pPr>
        <w:sectPr>
          <w:pgSz w:w="11900" w:h="16838" w:orient="portrait"/>
          <w:cols w:equalWidth="0" w:num="1">
            <w:col w:w="11240"/>
          </w:cols>
          <w:pgMar w:left="320" w:top="765"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activity for the Company’s consolidated properties comprised the following during the periods presented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242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7"/>
        </w:trPr>
        <w:tc>
          <w:tcPr>
            <w:tcW w:w="1920" w:type="dxa"/>
            <w:vAlign w:val="bottom"/>
          </w:tcPr>
          <w:p>
            <w:pPr>
              <w:spacing w:after="0"/>
              <w:rPr>
                <w:sz w:val="18"/>
                <w:szCs w:val="18"/>
                <w:color w:val="auto"/>
              </w:rPr>
            </w:pP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r>
      <w:tr>
        <w:trPr>
          <w:trHeight w:val="245"/>
        </w:trPr>
        <w:tc>
          <w:tcPr>
            <w:tcW w:w="1920" w:type="dxa"/>
            <w:vAlign w:val="bottom"/>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Transfers In</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Transfers Out</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43"/>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III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w:t>
            </w:r>
          </w:p>
        </w:tc>
        <w:tc>
          <w:tcPr>
            <w:tcW w:w="100" w:type="dxa"/>
            <w:vAlign w:val="bottom"/>
          </w:tcPr>
          <w:p>
            <w:pPr>
              <w:spacing w:after="0"/>
              <w:rPr>
                <w:sz w:val="20"/>
                <w:szCs w:val="20"/>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94,799</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101,802</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-25400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-187960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-25400</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-187960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properties in the table above refers to projects comprising the entire property under development; however, certain projects represent a portion of a property. As of June 30, 2024, consolidated development projects included: portions of the Henderson 1 &amp; 2 Portfolio in the Core Portfolio, and Broad Hollow Commons in Fund III.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did not place any assets into service.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Construction in progress pertains to construction activity at the Company’s operating properties that are in service and continue to operate during the construction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Receivable,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these notes and mortgages receivable are reported within the Company’s Structured Financing segment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Interest receivable is included in Other assets, net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The Company’s notes receivable, net are generally collateralized either by the underlying properties or the borrowers’ ownership interests in the entities that own the properties, and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5668645</wp:posOffset>
            </wp:positionH>
            <wp:positionV relativeFrom="paragraph">
              <wp:posOffset>-313055</wp:posOffset>
            </wp:positionV>
            <wp:extent cx="3733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3380" cy="8890"/>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-175895</wp:posOffset>
            </wp:positionV>
            <wp:extent cx="3251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34"/>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39"/>
        </w:trPr>
        <w:tc>
          <w:tcPr>
            <w:tcW w:w="306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Core Portfolio </w:t>
            </w:r>
            <w:r>
              <w:rPr>
                <w:rFonts w:ascii="Times New Roman" w:cs="Times New Roman" w:eastAsia="Times New Roman" w:hAnsi="Times New Roman"/>
                <w:sz w:val="24"/>
                <w:szCs w:val="24"/>
                <w:color w:val="auto"/>
                <w:vertAlign w:val="superscript"/>
              </w:rPr>
              <w:t>(a)</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126,228</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 2020 - Dec 2027</w:t>
            </w: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4.65% - 12.00%</w:t>
            </w: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(1,520 )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(1,279 )</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6"/>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2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-25400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note receivable from an OP Unit holder, with a balance of $6.0 million as of December 31, 2023. The note was paid off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711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Company’s credit allowance were as follows (in thousands):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64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6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6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beginning of periods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of loan losses</w:t>
            </w: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credit losses and reserves</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360" w:type="dxa"/>
            <w:vAlign w:val="bottom"/>
          </w:tcPr>
          <w:p>
            <w:pPr>
              <w:spacing w:after="0"/>
              <w:rPr>
                <w:sz w:val="20"/>
                <w:szCs w:val="20"/>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Due to the lack of comparability across the Structured Financing portfolio, each note was evaluated separately. As a result, the Company did not elect the collateral-dependent allowance for credit losses practical expedient for five of its notes with a total amortized cost of $132.8 million, inclusive of accrued interest of $22.4 million, for which an allowance for credit losses has been recorded aggregating $1.5 million as of June 30, 2024. For one note in this portfolio, aggregating $21.6 million, inclusive of accrued interest of $3.8 million as of June 30, 2024, the Company has elected to apply the practical expedient in accordance with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and did not establish an allowance for credit losses because (i) this note is a collateral-dependent note, which due to their settlement terms is not expected to be settled in cash but rather by the Company’s possession of the real estate collateral; and (ii) as of June 30, 2024, the Company determined that the estimated fair value of the collateral at the expected realization date for this loans was sufficient to cover the carrying value of its investments in this note receivable.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Core Portfolio note aggregating $21.6 million including accrued interest (exclusive of default interest and other amounts due on the loan that have not been recognized) was in default as of June 30, 2024 and December 31,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On April 1, 2020, the loan matured and was not repaid. The Company expects to take appropriate actions to recover the amounts due under the loan and has issued a reservation of rights letter to the borrowers and guarantor, reserving all of its rights and remedies under the applicable loan documents and otherwise. The Company has determined that the collateral for this loan is sufficient to cover the loan’s carrying value as of June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w:t>
      </w:r>
    </w:p>
    <w:p>
      <w:pPr>
        <w:spacing w:after="0" w:line="117" w:lineRule="exact"/>
        <w:rPr>
          <w:sz w:val="20"/>
          <w:szCs w:val="20"/>
          <w:color w:val="auto"/>
        </w:rPr>
      </w:pPr>
    </w:p>
    <w:p>
      <w:pPr>
        <w:ind w:left="1020" w:right="22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one Core note receivable of $7.6 million to a related party, which is secured by the borrower’s equity interest in the Renaissance Portfolio, 1238 Wisconsin Avenue, and another Georgetown property, bears interest at 12% and matures on December 31, 2025;</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maturity date of one Core note receivable of $54.0 million from January 9, 2024 to January 9, 2025;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full payment on a $6.0 million Core Portfolio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and Advances to Unconsolidated Affiliates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accounts for its investments in and advances to unconsolidated affiliates primarily under the equity method of accounting. The Company’s investments in and advances to unconsolidated affiliates consist of the following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 Interest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60" w:type="dxa"/>
            <w:vAlign w:val="bottom"/>
          </w:tcPr>
          <w:p>
            <w:pPr>
              <w:spacing w:after="0"/>
              <w:rPr>
                <w:sz w:val="21"/>
                <w:szCs w:val="21"/>
                <w:color w:val="auto"/>
              </w:rPr>
            </w:pPr>
          </w:p>
        </w:tc>
        <w:tc>
          <w:tcPr>
            <w:tcW w:w="41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8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Core:</w:t>
            </w:r>
          </w:p>
        </w:tc>
        <w:tc>
          <w:tcPr>
            <w:tcW w:w="1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Renaissance Portfolio</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30,203</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Gotham Plaza</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49%</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Georgetown Portfolio </w:t>
            </w:r>
            <w:r>
              <w:rPr>
                <w:rFonts w:ascii="Times New Roman" w:cs="Times New Roman" w:eastAsia="Times New Roman" w:hAnsi="Times New Roman"/>
                <w:sz w:val="24"/>
                <w:szCs w:val="24"/>
                <w:color w:val="auto"/>
                <w:vertAlign w:val="superscript"/>
              </w:rPr>
              <w:t>(a)</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1238 Wisconsin Avenue </w:t>
            </w:r>
            <w:r>
              <w:rPr>
                <w:rFonts w:ascii="Times New Roman" w:cs="Times New Roman" w:eastAsia="Times New Roman" w:hAnsi="Times New Roman"/>
                <w:sz w:val="24"/>
                <w:szCs w:val="24"/>
                <w:color w:val="auto"/>
                <w:vertAlign w:val="superscript"/>
              </w:rPr>
              <w:t>(a, b)</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80%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840 N. Michigan Avenue </w:t>
            </w:r>
            <w:r>
              <w:rPr>
                <w:rFonts w:ascii="Times New Roman" w:cs="Times New Roman" w:eastAsia="Times New Roman" w:hAnsi="Times New Roman"/>
                <w:sz w:val="24"/>
                <w:szCs w:val="24"/>
                <w:color w:val="auto"/>
                <w:vertAlign w:val="superscript"/>
              </w:rPr>
              <w:t>(c)</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91.85%</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106,583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Investment</w:t>
            </w:r>
          </w:p>
        </w:tc>
        <w:tc>
          <w:tcPr>
            <w:tcW w:w="1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 IV:</w:t>
            </w: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 IV Other Portfolio</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Bald Hill Road</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18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Paramus Plaza </w:t>
            </w:r>
            <w:r>
              <w:rPr>
                <w:rFonts w:ascii="Times New Roman" w:cs="Times New Roman" w:eastAsia="Times New Roman" w:hAnsi="Times New Roman"/>
                <w:sz w:val="24"/>
                <w:szCs w:val="24"/>
                <w:color w:val="auto"/>
                <w:vertAlign w:val="superscript"/>
              </w:rPr>
              <w:t>(d)</w:t>
            </w:r>
          </w:p>
        </w:tc>
        <w:tc>
          <w:tcPr>
            <w:tcW w:w="2300" w:type="dxa"/>
            <w:vAlign w:val="bottom"/>
            <w:tcBorders>
              <w:bottom w:val="single" w:sz="8" w:color="CFF0FC"/>
            </w:tcBorders>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V:</w:t>
            </w:r>
          </w:p>
        </w:tc>
        <w:tc>
          <w:tcPr>
            <w:tcW w:w="160" w:type="dxa"/>
            <w:vAlign w:val="bottom"/>
          </w:tcPr>
          <w:p>
            <w:pPr>
              <w:spacing w:after="0"/>
              <w:rPr>
                <w:sz w:val="21"/>
                <w:szCs w:val="21"/>
                <w:color w:val="auto"/>
              </w:rPr>
            </w:pPr>
          </w:p>
        </w:tc>
        <w:tc>
          <w:tcPr>
            <w:tcW w:w="4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Family Center at Riverdale </w:t>
            </w:r>
            <w:r>
              <w:rPr>
                <w:rFonts w:ascii="Times New Roman" w:cs="Times New Roman" w:eastAsia="Times New Roman" w:hAnsi="Times New Roman"/>
                <w:sz w:val="24"/>
                <w:szCs w:val="24"/>
                <w:color w:val="auto"/>
                <w:vertAlign w:val="superscript"/>
              </w:rPr>
              <w:t>(c)</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89.42%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Tri-City Plaza</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Frederick County Acquisitions</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Wood Ridge Plaza</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 Frontera Village</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Shoppes at South Hills</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Commons</w:t>
            </w:r>
          </w:p>
        </w:tc>
        <w:tc>
          <w:tcPr>
            <w:tcW w:w="2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0"/>
                <w:szCs w:val="20"/>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Shops at Grand</w:t>
            </w:r>
          </w:p>
        </w:tc>
        <w:tc>
          <w:tcPr>
            <w:tcW w:w="23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7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1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Various:</w:t>
            </w: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from (to) Related Parties</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(e)</w:t>
            </w: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18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Investments in and advances to</w:t>
            </w: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203,410</w:t>
            </w:r>
          </w:p>
        </w:tc>
        <w:tc>
          <w:tcPr>
            <w:tcW w:w="52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197,240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affiliates</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360" w:type="dxa"/>
            <w:vAlign w:val="bottom"/>
            <w:gridSpan w:val="2"/>
            <w:vMerge w:val="continue"/>
            <w:shd w:val="clear" w:color="auto" w:fill="CFF0FC"/>
          </w:tcPr>
          <w:p>
            <w:pPr>
              <w:spacing w:after="0"/>
              <w:rPr>
                <w:sz w:val="21"/>
                <w:szCs w:val="21"/>
                <w:color w:val="auto"/>
              </w:rPr>
            </w:pPr>
          </w:p>
        </w:tc>
        <w:tc>
          <w:tcPr>
            <w:tcW w:w="980" w:type="dxa"/>
            <w:vAlign w:val="bottom"/>
            <w:vMerge w:val="continue"/>
            <w:shd w:val="clear" w:color="auto" w:fill="CFF0FC"/>
          </w:tcPr>
          <w:p>
            <w:pPr>
              <w:spacing w:after="0"/>
              <w:rPr>
                <w:sz w:val="21"/>
                <w:szCs w:val="21"/>
                <w:color w:val="auto"/>
              </w:rPr>
            </w:pPr>
          </w:p>
        </w:tc>
        <w:tc>
          <w:tcPr>
            <w:tcW w:w="520" w:type="dxa"/>
            <w:vAlign w:val="bottom"/>
            <w:gridSpan w:val="2"/>
            <w:vMerge w:val="continue"/>
            <w:shd w:val="clear" w:color="auto" w:fill="CFF0FC"/>
          </w:tcPr>
          <w:p>
            <w:pPr>
              <w:spacing w:after="0"/>
              <w:rPr>
                <w:sz w:val="21"/>
                <w:szCs w:val="21"/>
                <w:color w:val="auto"/>
              </w:rPr>
            </w:pPr>
          </w:p>
        </w:tc>
        <w:tc>
          <w:tcPr>
            <w:tcW w:w="9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41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Core:</w:t>
            </w:r>
          </w:p>
        </w:tc>
        <w:tc>
          <w:tcPr>
            <w:tcW w:w="160" w:type="dxa"/>
            <w:vAlign w:val="bottom"/>
            <w:tcBorders>
              <w:bottom w:val="single" w:sz="8" w:color="CFF0FC"/>
            </w:tcBorders>
            <w:shd w:val="clear" w:color="auto" w:fill="CFF0FC"/>
          </w:tcPr>
          <w:p>
            <w:pPr>
              <w:spacing w:after="0"/>
              <w:rPr>
                <w:sz w:val="21"/>
                <w:szCs w:val="21"/>
                <w:color w:val="auto"/>
              </w:rPr>
            </w:pPr>
          </w:p>
        </w:tc>
        <w:tc>
          <w:tcPr>
            <w:tcW w:w="418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Crossroads </w:t>
            </w:r>
            <w:r>
              <w:rPr>
                <w:rFonts w:ascii="Times New Roman" w:cs="Times New Roman" w:eastAsia="Times New Roman" w:hAnsi="Times New Roman"/>
                <w:sz w:val="24"/>
                <w:szCs w:val="24"/>
                <w:color w:val="auto"/>
                <w:vertAlign w:val="superscript"/>
              </w:rPr>
              <w:t>(f)</w:t>
            </w:r>
          </w:p>
        </w:tc>
        <w:tc>
          <w:tcPr>
            <w:tcW w:w="2300" w:type="dxa"/>
            <w:vAlign w:val="bottom"/>
            <w:tcBorders>
              <w:bottom w:val="single" w:sz="8" w:color="CFF0FC"/>
            </w:tcBorders>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49%</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Distributions in excess of income from,</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7,301</w:t>
            </w:r>
          </w:p>
        </w:tc>
        <w:tc>
          <w:tcPr>
            <w:tcW w:w="5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investments in, unconsolidated affiliates</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-4036695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-3274060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-1704975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-1379220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-633730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-616585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variable interest entity (“VIE”) for which the Company is not the primary beneficiary (</w:t>
      </w:r>
      <w:r>
        <w:rPr>
          <w:rFonts w:ascii="Times New Roman" w:cs="Times New Roman" w:eastAsia="Times New Roman" w:hAnsi="Times New Roman"/>
          <w:sz w:val="14"/>
          <w:szCs w:val="14"/>
          <w:u w:val="single" w:color="auto"/>
          <w:color w:val="0000FF"/>
        </w:rPr>
        <w:t>Note 15</w:t>
      </w:r>
      <w:r>
        <w:rPr>
          <w:rFonts w:ascii="Times New Roman" w:cs="Times New Roman" w:eastAsia="Times New Roman" w:hAnsi="Times New Roman"/>
          <w:sz w:val="14"/>
          <w:szCs w:val="14"/>
          <w:color w:val="auto"/>
        </w:rPr>
        <w:t>).</w:t>
      </w:r>
    </w:p>
    <w:p>
      <w:pPr>
        <w:spacing w:after="0" w:line="3" w:lineRule="exact"/>
        <w:rPr>
          <w:rFonts w:ascii="Times New Roman" w:cs="Times New Roman" w:eastAsia="Times New Roman" w:hAnsi="Times New Roman"/>
          <w:sz w:val="14"/>
          <w:szCs w:val="14"/>
          <w:color w:val="auto"/>
        </w:rPr>
      </w:pPr>
    </w:p>
    <w:p>
      <w:pPr>
        <w:jc w:val="both"/>
        <w:ind w:left="760" w:hanging="378"/>
        <w:spacing w:after="0" w:line="221"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amounts advanced against a $12.8 million construction commitment from the Company to the venture that holds its investment in 1238 Wisconsin. As of June 30, 2024 and December 31, 2023 the note receivable from a related party had a balance of $12.8 million, net of an allowance for credit losses of $0.2 million, as of each period. The loan is collateralized by the venture members' equity interest in the entity that holds the 1238 Wisconsin development property, bears interest at Prime + 1.0% subject to a 4.5% floor and matures on December 28, 2024.</w:t>
      </w:r>
    </w:p>
    <w:p>
      <w:pPr>
        <w:spacing w:after="0" w:line="1" w:lineRule="exact"/>
        <w:rPr>
          <w:rFonts w:ascii="Times New Roman" w:cs="Times New Roman" w:eastAsia="Times New Roman" w:hAnsi="Times New Roman"/>
          <w:sz w:val="14"/>
          <w:szCs w:val="14"/>
          <w:color w:val="auto"/>
        </w:rPr>
      </w:pPr>
    </w:p>
    <w:p>
      <w:pPr>
        <w:ind w:left="760" w:hanging="378"/>
        <w:spacing w:after="0" w:line="221"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tenancy-in-common interest.</w:t>
      </w:r>
    </w:p>
    <w:p>
      <w:pPr>
        <w:ind w:left="760" w:hanging="378"/>
        <w:spacing w:after="0" w:line="221"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investment balance relates to undistributed proceeds from the disposition of the property. These proceeds were distributed to Fund IV in July 2024.</w:t>
      </w:r>
    </w:p>
    <w:p>
      <w:pPr>
        <w:ind w:left="760" w:hanging="378"/>
        <w:spacing w:after="0" w:line="221"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cost-method investments in Fifth Wall.</w:t>
      </w: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have exceeded the Company’s investment; however, the Company recognizes a liability balance as it may elect to contribute capital to the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-860425</wp:posOffset>
            </wp:positionV>
            <wp:extent cx="4711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-765810</wp:posOffset>
            </wp:positionV>
            <wp:extent cx="2914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w:t>
      </w:r>
    </w:p>
    <w:p>
      <w:pPr>
        <w:spacing w:after="0" w:line="117"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a 5% interest through an investment in a newly formed joint venture, Shops at Grand, which was fair valued at $2.4 million upon deconsolidation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Fund IV, sold its investment in Paramus Plaza for $36.8 million and repaid the related $27.9 million mortgage loan. Fund IV recognized a gain of $4.1 million of which the Company’s proportionate share was $1.0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-367665</wp:posOffset>
            </wp:positionV>
            <wp:extent cx="3079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maturity date on a property mortgage loan at Gotham Plaza to September 2, 2024, which had an outstanding balance of $17.1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earned from and paid to Unconsolidated Affiliates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earned property management, construction, development, legal and leasing fees from its investments in unconsolidated affiliates totaling $0.3 million and $0.1 million for the three months ended June 30, 2024 and 2023, respectively, and $0.4 million and $0.2 for the six months ended June 30, 2024 and 2023, respectively, which are included in Other revenues in the Condensed Consolidated Statements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unconsolidated joint ventures paid fees to affiliates of $1.1 million and $0.8 million for the three months ended June 30, 2024 and 2023, respectively, and $2.2 million and $1.6 million for the six months ended June 30, 2024 and 2023, respectively, for leasing commissions, development, management, construction and overhead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Combined and Condensed Balance Sheets and Statements of Operations, in each period, summarize the financial information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investments in unconsolidated affiliates that were held as of June 30, 2024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property, net</w:t>
            </w:r>
          </w:p>
        </w:tc>
        <w:tc>
          <w:tcPr>
            <w:tcW w:w="2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734,373</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863,159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849,110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 and partners’ equity:</w:t>
            </w:r>
          </w:p>
        </w:tc>
        <w:tc>
          <w:tcPr>
            <w:tcW w:w="2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630,882</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Partners’ equity</w:t>
            </w:r>
          </w:p>
        </w:tc>
        <w:tc>
          <w:tcPr>
            <w:tcW w:w="2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142,868</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partners’ equity</w:t>
            </w:r>
          </w:p>
        </w:tc>
        <w:tc>
          <w:tcPr>
            <w:tcW w:w="2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863,159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8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share of accumulated equity</w:t>
            </w:r>
          </w:p>
        </w:tc>
        <w:tc>
          <w:tcPr>
            <w:tcW w:w="2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136,176</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Basis differential</w:t>
            </w:r>
          </w:p>
        </w:tc>
        <w:tc>
          <w:tcPr>
            <w:tcW w:w="2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fees, net of portion related to the Company's interest</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receivable/payable by the Company</w:t>
            </w:r>
          </w:p>
        </w:tc>
        <w:tc>
          <w:tcPr>
            <w:tcW w:w="2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and advances to unconsolidated affiliates, net of Company's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of distributions in excess of income from and investments in</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carried at fair value or cost</w:t>
            </w:r>
          </w:p>
        </w:tc>
        <w:tc>
          <w:tcPr>
            <w:tcW w:w="2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share of distributions in excess of income from and</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and advances to unconsolidated affiliates</w:t>
            </w:r>
          </w:p>
        </w:tc>
        <w:tc>
          <w:tcPr>
            <w:tcW w:w="2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203,410</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548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-3436620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-3419475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-2794000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1"/>
                <w:szCs w:val="21"/>
                <w:color w:val="auto"/>
              </w:rPr>
            </w:pPr>
          </w:p>
        </w:tc>
        <w:tc>
          <w:tcPr>
            <w:tcW w:w="24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56,885</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and other expenses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(10,149 )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(8,708 )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(20,135 )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(17,349 )</w:t>
            </w: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(10,205 )</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(9,901 )</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(20,619 )</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(19,134 )</w:t>
            </w: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(10,129 )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(11,233 )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(21,795 )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(20,134 )</w:t>
            </w: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property</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unconsolidated affiliates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24"/>
                <w:szCs w:val="24"/>
                <w:color w:val="auto"/>
              </w:rPr>
            </w:pPr>
          </w:p>
        </w:tc>
      </w:tr>
      <w:tr>
        <w:trPr>
          <w:trHeight w:val="228"/>
        </w:trPr>
        <w:tc>
          <w:tcPr>
            <w:tcW w:w="57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11"/>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Company’s share of equity in net earnings (losses) of unconsolidated</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(914 )</w:t>
            </w: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differential amortization</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(244 )</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(247 )</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(488 )</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(494 )</w:t>
            </w: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Company’s equity in earnings (losses) of unconsolidated affiliates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(1,408 )</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-814070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-796290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-814070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-814070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Assets, Net and Accounts Payable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net and accounts payable and other liabilities are comprised of the following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intangibles, net (Note 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(Note 8)</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net (A)</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 (Note 3)</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seller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assets,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213,779</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 Deferred Charges,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leasing and other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77,445</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financing costs related to line of credit</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83,737</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(53,485 )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(52,663 )</w:t>
            </w:r>
          </w:p>
        </w:tc>
      </w:tr>
      <w:tr>
        <w:trPr>
          <w:trHeight w:val="236"/>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Deferred charges,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 and Other Liabilities: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intangibles, net (Note 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security deposits, escrow and other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 finance leases, net (Note 11)</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(Note 8)</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218,095</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-2571115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-2553970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-1927860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-1610995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Intangibles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acquisitions of real estate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the Company assesses the relative fair value of acquired assets (including land, buildings and improvements, and identified intangibles such as above- and below-market leases, including below-market options and acquired in-place leases) and assumed liabilities. The lease intangibles are amortized over the remaining terms of the respective leases, including option periods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-313055</wp:posOffset>
            </wp:positionV>
            <wp:extent cx="3079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and liabilities are included in Other assets, net and Accounts payable and other liabilities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on the Condensed Consolidated Balance Sheets and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-185420</wp:posOffset>
            </wp:positionV>
            <wp:extent cx="3079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940" w:type="dxa"/>
            <w:vAlign w:val="bottom"/>
          </w:tcPr>
          <w:p>
            <w:pPr>
              <w:spacing w:after="0"/>
              <w:rPr>
                <w:sz w:val="17"/>
                <w:szCs w:val="17"/>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Net Carrying</w:t>
            </w:r>
          </w:p>
        </w:tc>
        <w:tc>
          <w:tcPr>
            <w:tcW w:w="22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7"/>
                <w:szCs w:val="17"/>
                <w:color w:val="auto"/>
              </w:rPr>
            </w:pPr>
          </w:p>
        </w:tc>
      </w:tr>
      <w:tr>
        <w:trPr>
          <w:trHeight w:val="225"/>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Amortizable Intangible Assets</w:t>
            </w: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In-place lease intangible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323,051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(243,503 )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79,548</w:t>
            </w: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327,484</w:t>
            </w:r>
          </w:p>
        </w:tc>
        <w:tc>
          <w:tcPr>
            <w:tcW w:w="1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(234,808 )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92,676</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Above-market rent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(19,409 )</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(19,376 )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7,918</w:t>
            </w:r>
          </w:p>
        </w:tc>
        <w:tc>
          <w:tcPr>
            <w:tcW w:w="100" w:type="dxa"/>
            <w:vAlign w:val="bottom"/>
            <w:shd w:val="clear" w:color="auto" w:fill="CFF0FC"/>
          </w:tcPr>
          <w:p>
            <w:pPr>
              <w:spacing w:after="0"/>
              <w:rPr>
                <w:sz w:val="19"/>
                <w:szCs w:val="19"/>
                <w:color w:val="auto"/>
              </w:rPr>
            </w:pPr>
          </w:p>
        </w:tc>
      </w:tr>
      <w:tr>
        <w:trPr>
          <w:trHeight w:val="23"/>
        </w:trPr>
        <w:tc>
          <w:tcPr>
            <w:tcW w:w="29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29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349,341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(262,912 )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86,429</w:t>
            </w: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354,778</w:t>
            </w:r>
          </w:p>
        </w:tc>
        <w:tc>
          <w:tcPr>
            <w:tcW w:w="1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(254,184 )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100,594</w:t>
            </w:r>
          </w:p>
        </w:tc>
        <w:tc>
          <w:tcPr>
            <w:tcW w:w="10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Amortizable Intangible Liabilities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Below-market rent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(184,029 )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114,873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(69,156 )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(188,098 )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(73,705 )</w:t>
            </w: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Above-market ground lease</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(671 )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(258 )</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(289 )</w:t>
            </w:r>
          </w:p>
        </w:tc>
      </w:tr>
      <w:tr>
        <w:trPr>
          <w:trHeight w:val="23"/>
        </w:trPr>
        <w:tc>
          <w:tcPr>
            <w:tcW w:w="2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9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(184,700 )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115,286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(69,414 )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(188,769 )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(73,994 )</w:t>
            </w: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-942340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-942340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-942340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-942340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acquisitions of real estate or acquired lease intangibles. During the six months ended June 30, 2024, the Company:</w:t>
      </w:r>
    </w:p>
    <w:p>
      <w:pPr>
        <w:spacing w:after="0" w:line="117"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accelerated amortization related to below-market rent of $0.2 million and in-place lease intangible assets of $0.5 million, of which the Company's share was $0.2 million and $0.4 million, respectively, related to early tenant lease terminations;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derecognized below-market rent of $0.7 million, of which the Company's share was $0.6 million, related to disposed properties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6535420</wp:posOffset>
            </wp:positionH>
            <wp:positionV relativeFrom="paragraph">
              <wp:posOffset>-7620</wp:posOffset>
            </wp:positionV>
            <wp:extent cx="3079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in-place lease intangible assets is recorded in depreciation and amortization expense and amortization of above-market rent and below-market rent is recorded as a reduction to and increase to rental income, respectively, in the Condensed Consolidated Statements of Operations. Amortization of above-market ground leases are recorded as a reduction to rent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amortization of acquired lease intangible assets and assumed liabilities as of June 30, 2024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Reduction of</w:t>
            </w: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Increase in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Increase to</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Property Operating</w:t>
            </w:r>
          </w:p>
        </w:tc>
      </w:tr>
      <w:tr>
        <w:trPr>
          <w:trHeight w:val="245"/>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Rental Revenues</w:t>
            </w:r>
          </w:p>
        </w:tc>
        <w:tc>
          <w:tcPr>
            <w:tcW w:w="320" w:type="dxa"/>
            <w:vAlign w:val="bottom"/>
          </w:tcPr>
          <w:p>
            <w:pPr>
              <w:spacing w:after="0"/>
              <w:rPr>
                <w:sz w:val="21"/>
                <w:szCs w:val="21"/>
                <w:color w:val="auto"/>
              </w:rPr>
            </w:pPr>
          </w:p>
        </w:tc>
        <w:tc>
          <w:tcPr>
            <w:tcW w:w="1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6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(11,088 )   $</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(17,774 )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(14,335 )</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(11,066 )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(7,206 )</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r>
      <w:tr>
        <w:trPr>
          <w:trHeight w:val="64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consolidated indebtedness is as follows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Interest Rate as of</w:t>
            </w:r>
          </w:p>
        </w:tc>
        <w:tc>
          <w:tcPr>
            <w:tcW w:w="120" w:type="dxa"/>
            <w:vAlign w:val="bottom"/>
          </w:tcPr>
          <w:p>
            <w:pPr>
              <w:spacing w:after="0"/>
              <w:rPr>
                <w:sz w:val="16"/>
                <w:szCs w:val="16"/>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 as of</w:t>
            </w:r>
          </w:p>
        </w:tc>
        <w:tc>
          <w:tcPr>
            <w:tcW w:w="3040" w:type="dxa"/>
            <w:vAlign w:val="bottom"/>
            <w:tcBorders>
              <w:bottom w:val="single" w:sz="8" w:color="auto"/>
            </w:tcBorders>
            <w:gridSpan w:val="3"/>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440" w:type="dxa"/>
            <w:vAlign w:val="bottom"/>
          </w:tcPr>
          <w:p>
            <w:pPr>
              <w:jc w:val="right"/>
              <w:ind w:right="38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480" w:type="dxa"/>
            <w:vAlign w:val="bottom"/>
          </w:tcPr>
          <w:p>
            <w:pPr>
              <w:jc w:val="right"/>
              <w:ind w:right="2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Mortgages Payable</w:t>
            </w:r>
          </w:p>
        </w:tc>
        <w:tc>
          <w:tcPr>
            <w:tcW w:w="1840" w:type="dxa"/>
            <w:vAlign w:val="bottom"/>
            <w:tcBorders>
              <w:bottom w:val="single" w:sz="8" w:color="CFF0FC"/>
            </w:tcBorders>
            <w:gridSpan w:val="2"/>
            <w:shd w:val="clear" w:color="auto" w:fill="CFF0FC"/>
          </w:tcPr>
          <w:p>
            <w:pPr>
              <w:spacing w:after="0"/>
              <w:rPr>
                <w:sz w:val="12"/>
                <w:szCs w:val="12"/>
                <w:color w:val="auto"/>
              </w:rPr>
            </w:pPr>
          </w:p>
        </w:tc>
        <w:tc>
          <w:tcPr>
            <w:tcW w:w="2700" w:type="dxa"/>
            <w:vAlign w:val="bottom"/>
            <w:tcBorders>
              <w:top w:val="single" w:sz="8" w:color="auto"/>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top w:val="single" w:sz="8" w:color="auto"/>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top w:val="single" w:sz="8" w:color="auto"/>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80" w:type="dxa"/>
            <w:vAlign w:val="bottom"/>
            <w:tcBorders>
              <w:top w:val="single" w:sz="8" w:color="auto"/>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3.99% - 5.89%</w:t>
            </w:r>
          </w:p>
        </w:tc>
        <w:tc>
          <w:tcPr>
            <w:tcW w:w="120" w:type="dxa"/>
            <w:vAlign w:val="bottom"/>
          </w:tcPr>
          <w:p>
            <w:pPr>
              <w:spacing w:after="0"/>
              <w:rPr>
                <w:sz w:val="15"/>
                <w:szCs w:val="15"/>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 2027 - Apr 2035</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$181,099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$191,830</w:t>
            </w:r>
          </w:p>
        </w:tc>
        <w:tc>
          <w:tcPr>
            <w:tcW w:w="0" w:type="dxa"/>
            <w:vAlign w:val="bottom"/>
          </w:tcPr>
          <w:p>
            <w:pPr>
              <w:spacing w:after="0"/>
              <w:rPr>
                <w:sz w:val="1"/>
                <w:szCs w:val="1"/>
                <w:color w:val="auto"/>
              </w:rPr>
            </w:pPr>
          </w:p>
        </w:tc>
      </w:tr>
      <w:tr>
        <w:trPr>
          <w:trHeight w:val="175"/>
        </w:trPr>
        <w:tc>
          <w:tcPr>
            <w:tcW w:w="3040" w:type="dxa"/>
            <w:vAlign w:val="bottom"/>
            <w:gridSpan w:val="4"/>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Fund II </w:t>
            </w:r>
            <w:r>
              <w:rPr>
                <w:rFonts w:ascii="Times New Roman" w:cs="Times New Roman" w:eastAsia="Times New Roman" w:hAnsi="Times New Roman"/>
                <w:sz w:val="19"/>
                <w:szCs w:val="19"/>
                <w:color w:val="auto"/>
                <w:vertAlign w:val="superscript"/>
              </w:rPr>
              <w:t>(a)</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SOFR+2.61%</w:t>
            </w:r>
          </w:p>
        </w:tc>
        <w:tc>
          <w:tcPr>
            <w:tcW w:w="120" w:type="dxa"/>
            <w:vAlign w:val="bottom"/>
            <w:shd w:val="clear" w:color="auto" w:fill="CFF0FC"/>
          </w:tcPr>
          <w:p>
            <w:pPr>
              <w:spacing w:after="0"/>
              <w:rPr>
                <w:sz w:val="15"/>
                <w:szCs w:val="15"/>
                <w:color w:val="auto"/>
              </w:rPr>
            </w:pPr>
          </w:p>
        </w:tc>
        <w:tc>
          <w:tcPr>
            <w:tcW w:w="23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4"/>
                <w:szCs w:val="14"/>
                <w:color w:val="auto"/>
              </w:rPr>
              <w:t>Aug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137,485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137,485</w:t>
            </w:r>
          </w:p>
        </w:tc>
        <w:tc>
          <w:tcPr>
            <w:tcW w:w="0" w:type="dxa"/>
            <w:vAlign w:val="bottom"/>
          </w:tcPr>
          <w:p>
            <w:pPr>
              <w:spacing w:after="0"/>
              <w:rPr>
                <w:sz w:val="1"/>
                <w:szCs w:val="1"/>
                <w:color w:val="auto"/>
              </w:rPr>
            </w:pPr>
          </w:p>
        </w:tc>
      </w:tr>
      <w:tr>
        <w:trPr>
          <w:trHeight w:val="176"/>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Fund III</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SOFR+3.75%</w:t>
            </w:r>
          </w:p>
        </w:tc>
        <w:tc>
          <w:tcPr>
            <w:tcW w:w="120" w:type="dxa"/>
            <w:vAlign w:val="bottom"/>
          </w:tcPr>
          <w:p>
            <w:pPr>
              <w:spacing w:after="0"/>
              <w:rPr>
                <w:sz w:val="15"/>
                <w:szCs w:val="15"/>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0" w:type="dxa"/>
            <w:vAlign w:val="bottom"/>
          </w:tcPr>
          <w:p>
            <w:pPr>
              <w:spacing w:after="0"/>
              <w:rPr>
                <w:sz w:val="1"/>
                <w:szCs w:val="1"/>
                <w:color w:val="auto"/>
              </w:rPr>
            </w:pPr>
          </w:p>
        </w:tc>
      </w:tr>
      <w:tr>
        <w:trPr>
          <w:trHeight w:val="175"/>
        </w:trPr>
        <w:tc>
          <w:tcPr>
            <w:tcW w:w="3040" w:type="dxa"/>
            <w:vAlign w:val="bottom"/>
            <w:gridSpan w:val="4"/>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Fund IV </w:t>
            </w:r>
            <w:r>
              <w:rPr>
                <w:rFonts w:ascii="Times New Roman" w:cs="Times New Roman" w:eastAsia="Times New Roman" w:hAnsi="Times New Roman"/>
                <w:sz w:val="19"/>
                <w:szCs w:val="19"/>
                <w:color w:val="auto"/>
                <w:vertAlign w:val="superscript"/>
              </w:rPr>
              <w:t>(b)</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SOFR+2.25% - SOFR+3.33%</w:t>
            </w:r>
          </w:p>
        </w:tc>
        <w:tc>
          <w:tcPr>
            <w:tcW w:w="120" w:type="dxa"/>
            <w:vAlign w:val="bottom"/>
            <w:shd w:val="clear" w:color="auto" w:fill="CFF0FC"/>
          </w:tcPr>
          <w:p>
            <w:pPr>
              <w:spacing w:after="0"/>
              <w:rPr>
                <w:sz w:val="15"/>
                <w:szCs w:val="15"/>
                <w:color w:val="auto"/>
              </w:rPr>
            </w:pPr>
          </w:p>
        </w:tc>
        <w:tc>
          <w:tcPr>
            <w:tcW w:w="23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4"/>
                <w:szCs w:val="14"/>
                <w:color w:val="auto"/>
              </w:rPr>
              <w:t>March 2025 - Jun 2028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109,484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115,925</w:t>
            </w:r>
          </w:p>
        </w:tc>
        <w:tc>
          <w:tcPr>
            <w:tcW w:w="0" w:type="dxa"/>
            <w:vAlign w:val="bottom"/>
          </w:tcPr>
          <w:p>
            <w:pPr>
              <w:spacing w:after="0"/>
              <w:rPr>
                <w:sz w:val="1"/>
                <w:szCs w:val="1"/>
                <w:color w:val="auto"/>
              </w:rPr>
            </w:pPr>
          </w:p>
        </w:tc>
      </w:tr>
      <w:tr>
        <w:trPr>
          <w:trHeight w:val="176"/>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Fund V</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SOFR+1.80% - SOFR+2.85%</w:t>
            </w:r>
          </w:p>
        </w:tc>
        <w:tc>
          <w:tcPr>
            <w:tcW w:w="120" w:type="dxa"/>
            <w:vAlign w:val="bottom"/>
          </w:tcPr>
          <w:p>
            <w:pPr>
              <w:spacing w:after="0"/>
              <w:rPr>
                <w:sz w:val="15"/>
                <w:szCs w:val="15"/>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 2024 - Jun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500,144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458,960</w:t>
            </w:r>
          </w:p>
        </w:tc>
        <w:tc>
          <w:tcPr>
            <w:tcW w:w="0" w:type="dxa"/>
            <w:vAlign w:val="bottom"/>
          </w:tcPr>
          <w:p>
            <w:pPr>
              <w:spacing w:after="0"/>
              <w:rPr>
                <w:sz w:val="1"/>
                <w:szCs w:val="1"/>
                <w:color w:val="auto"/>
              </w:rPr>
            </w:pPr>
          </w:p>
        </w:tc>
      </w:tr>
      <w:tr>
        <w:trPr>
          <w:trHeight w:val="175"/>
        </w:trPr>
        <w:tc>
          <w:tcPr>
            <w:tcW w:w="30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unamortized debt issuance costs</w:t>
            </w:r>
          </w:p>
        </w:tc>
        <w:tc>
          <w:tcPr>
            <w:tcW w:w="2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(7,313)</w:t>
            </w:r>
          </w:p>
        </w:tc>
        <w:tc>
          <w:tcPr>
            <w:tcW w:w="0" w:type="dxa"/>
            <w:vAlign w:val="bottom"/>
          </w:tcPr>
          <w:p>
            <w:pPr>
              <w:spacing w:after="0"/>
              <w:rPr>
                <w:sz w:val="1"/>
                <w:szCs w:val="1"/>
                <w:color w:val="auto"/>
              </w:rPr>
            </w:pPr>
          </w:p>
        </w:tc>
      </w:tr>
      <w:tr>
        <w:trPr>
          <w:trHeight w:val="176"/>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Unamortized premium</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9"/>
        </w:trPr>
        <w:tc>
          <w:tcPr>
            <w:tcW w:w="30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Mortgages Payable</w:t>
            </w:r>
          </w:p>
        </w:tc>
        <w:tc>
          <w:tcPr>
            <w:tcW w:w="2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$955,069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$930,127</w:t>
            </w: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spacing w:after="0"/>
              <w:rPr>
                <w:sz w:val="13"/>
                <w:szCs w:val="13"/>
                <w:color w:val="auto"/>
              </w:rPr>
            </w:pPr>
          </w:p>
        </w:tc>
        <w:tc>
          <w:tcPr>
            <w:tcW w:w="27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2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1560" w:type="dxa"/>
            <w:vAlign w:val="bottom"/>
            <w:tcBorders>
              <w:bottom w:val="single" w:sz="8" w:color="auto"/>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Unsecured Notes Payable</w:t>
            </w:r>
          </w:p>
        </w:tc>
        <w:tc>
          <w:tcPr>
            <w:tcW w:w="1460" w:type="dxa"/>
            <w:vAlign w:val="bottom"/>
            <w:tcBorders>
              <w:bottom w:val="single" w:sz="8" w:color="CFF0FC"/>
            </w:tcBorders>
            <w:shd w:val="clear" w:color="auto" w:fill="CFF0FC"/>
          </w:tcPr>
          <w:p>
            <w:pPr>
              <w:spacing w:after="0"/>
              <w:rPr>
                <w:sz w:val="13"/>
                <w:szCs w:val="13"/>
                <w:color w:val="auto"/>
              </w:rPr>
            </w:pPr>
          </w:p>
        </w:tc>
        <w:tc>
          <w:tcPr>
            <w:tcW w:w="27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Core Term Loans </w:t>
            </w:r>
            <w:r>
              <w:rPr>
                <w:rFonts w:ascii="Times New Roman" w:cs="Times New Roman" w:eastAsia="Times New Roman" w:hAnsi="Times New Roman"/>
                <w:sz w:val="19"/>
                <w:szCs w:val="19"/>
                <w:color w:val="auto"/>
                <w:vertAlign w:val="superscript"/>
              </w:rPr>
              <w:t>(c)</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SOFR+1.50% - SOFR+1.95%</w:t>
            </w:r>
          </w:p>
        </w:tc>
        <w:tc>
          <w:tcPr>
            <w:tcW w:w="120" w:type="dxa"/>
            <w:vAlign w:val="bottom"/>
          </w:tcPr>
          <w:p>
            <w:pPr>
              <w:spacing w:after="0"/>
              <w:rPr>
                <w:sz w:val="15"/>
                <w:szCs w:val="15"/>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 2027 - Jul 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0" w:type="dxa"/>
            <w:vAlign w:val="bottom"/>
          </w:tcPr>
          <w:p>
            <w:pPr>
              <w:spacing w:after="0"/>
              <w:rPr>
                <w:sz w:val="1"/>
                <w:szCs w:val="1"/>
                <w:color w:val="auto"/>
              </w:rPr>
            </w:pPr>
          </w:p>
        </w:tc>
      </w:tr>
      <w:tr>
        <w:trPr>
          <w:trHeight w:val="176"/>
        </w:trPr>
        <w:tc>
          <w:tcPr>
            <w:tcW w:w="3040" w:type="dxa"/>
            <w:vAlign w:val="bottom"/>
            <w:gridSpan w:val="4"/>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Fund V Subscription Line </w:t>
            </w:r>
            <w:r>
              <w:rPr>
                <w:rFonts w:ascii="Times New Roman" w:cs="Times New Roman" w:eastAsia="Times New Roman" w:hAnsi="Times New Roman"/>
                <w:sz w:val="19"/>
                <w:szCs w:val="19"/>
                <w:color w:val="auto"/>
                <w:vertAlign w:val="superscript"/>
              </w:rPr>
              <w:t>(d)</w:t>
            </w:r>
          </w:p>
        </w:tc>
        <w:tc>
          <w:tcPr>
            <w:tcW w:w="2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80,600</w:t>
            </w:r>
          </w:p>
        </w:tc>
        <w:tc>
          <w:tcPr>
            <w:tcW w:w="0" w:type="dxa"/>
            <w:vAlign w:val="bottom"/>
          </w:tcPr>
          <w:p>
            <w:pPr>
              <w:spacing w:after="0"/>
              <w:rPr>
                <w:sz w:val="1"/>
                <w:szCs w:val="1"/>
                <w:color w:val="auto"/>
              </w:rPr>
            </w:pPr>
          </w:p>
        </w:tc>
      </w:tr>
      <w:tr>
        <w:trPr>
          <w:trHeight w:val="175"/>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 unamortized debt issuance costs</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0" w:type="dxa"/>
            <w:vAlign w:val="bottom"/>
          </w:tcPr>
          <w:p>
            <w:pPr>
              <w:spacing w:after="0"/>
              <w:rPr>
                <w:sz w:val="1"/>
                <w:szCs w:val="1"/>
                <w:color w:val="auto"/>
              </w:rPr>
            </w:pPr>
          </w:p>
        </w:tc>
      </w:tr>
      <w:tr>
        <w:trPr>
          <w:trHeight w:val="209"/>
        </w:trPr>
        <w:tc>
          <w:tcPr>
            <w:tcW w:w="30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Unsecured Notes Payable</w:t>
            </w:r>
          </w:p>
        </w:tc>
        <w:tc>
          <w:tcPr>
            <w:tcW w:w="2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$644,313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$726,727</w:t>
            </w: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spacing w:after="0"/>
              <w:rPr>
                <w:sz w:val="13"/>
                <w:szCs w:val="13"/>
                <w:color w:val="auto"/>
              </w:rPr>
            </w:pPr>
          </w:p>
        </w:tc>
        <w:tc>
          <w:tcPr>
            <w:tcW w:w="27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2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1560" w:type="dxa"/>
            <w:vAlign w:val="bottom"/>
            <w:tcBorders>
              <w:bottom w:val="single" w:sz="8" w:color="auto"/>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Unsecured Line of Credit</w:t>
            </w:r>
          </w:p>
        </w:tc>
        <w:tc>
          <w:tcPr>
            <w:tcW w:w="1460" w:type="dxa"/>
            <w:vAlign w:val="bottom"/>
            <w:tcBorders>
              <w:bottom w:val="single" w:sz="8" w:color="CFF0FC"/>
            </w:tcBorders>
            <w:shd w:val="clear" w:color="auto" w:fill="CFF0FC"/>
          </w:tcPr>
          <w:p>
            <w:pPr>
              <w:spacing w:after="0"/>
              <w:rPr>
                <w:sz w:val="13"/>
                <w:szCs w:val="13"/>
                <w:color w:val="auto"/>
              </w:rPr>
            </w:pPr>
          </w:p>
        </w:tc>
        <w:tc>
          <w:tcPr>
            <w:tcW w:w="27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Revolving Credit Facility </w:t>
            </w:r>
            <w:r>
              <w:rPr>
                <w:rFonts w:ascii="Times New Roman" w:cs="Times New Roman" w:eastAsia="Times New Roman" w:hAnsi="Times New Roman"/>
                <w:sz w:val="19"/>
                <w:szCs w:val="19"/>
                <w:color w:val="auto"/>
                <w:vertAlign w:val="superscript"/>
              </w:rPr>
              <w:t>(c)</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SOFR+1.35%</w:t>
            </w:r>
          </w:p>
        </w:tc>
        <w:tc>
          <w:tcPr>
            <w:tcW w:w="120" w:type="dxa"/>
            <w:vAlign w:val="bottom"/>
          </w:tcPr>
          <w:p>
            <w:pPr>
              <w:spacing w:after="0"/>
              <w:rPr>
                <w:sz w:val="15"/>
                <w:szCs w:val="15"/>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Total Debt </w:t>
            </w:r>
            <w:r>
              <w:rPr>
                <w:rFonts w:ascii="Times New Roman" w:cs="Times New Roman" w:eastAsia="Times New Roman" w:hAnsi="Times New Roman"/>
                <w:sz w:val="19"/>
                <w:szCs w:val="19"/>
                <w:color w:val="auto"/>
                <w:vertAlign w:val="superscript"/>
              </w:rPr>
              <w:t>(e)(f)</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$1,707,658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$1,881,087</w:t>
            </w:r>
          </w:p>
        </w:tc>
        <w:tc>
          <w:tcPr>
            <w:tcW w:w="0" w:type="dxa"/>
            <w:vAlign w:val="bottom"/>
          </w:tcPr>
          <w:p>
            <w:pPr>
              <w:spacing w:after="0"/>
              <w:rPr>
                <w:sz w:val="1"/>
                <w:szCs w:val="1"/>
                <w:color w:val="auto"/>
              </w:rPr>
            </w:pPr>
          </w:p>
        </w:tc>
      </w:tr>
      <w:tr>
        <w:trPr>
          <w:trHeight w:val="176"/>
        </w:trPr>
        <w:tc>
          <w:tcPr>
            <w:tcW w:w="30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unamortized debt issuance costs</w:t>
            </w:r>
          </w:p>
        </w:tc>
        <w:tc>
          <w:tcPr>
            <w:tcW w:w="2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(11,186)</w:t>
            </w:r>
          </w:p>
        </w:tc>
        <w:tc>
          <w:tcPr>
            <w:tcW w:w="0" w:type="dxa"/>
            <w:vAlign w:val="bottom"/>
          </w:tcPr>
          <w:p>
            <w:pPr>
              <w:spacing w:after="0"/>
              <w:rPr>
                <w:sz w:val="1"/>
                <w:szCs w:val="1"/>
                <w:color w:val="auto"/>
              </w:rPr>
            </w:pPr>
          </w:p>
        </w:tc>
      </w:tr>
      <w:tr>
        <w:trPr>
          <w:trHeight w:val="175"/>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Unamortized premium</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Indebtedness</w:t>
            </w:r>
          </w:p>
        </w:tc>
        <w:tc>
          <w:tcPr>
            <w:tcW w:w="2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$1,695,828</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$1,870,141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-1679575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-1662430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-976630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-959485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 total borrowing capacity of $198.0 million on the Fund II mortgage as of both June 30, 2024 and December 31, 2023.</w:t>
      </w:r>
    </w:p>
    <w:p>
      <w:pPr>
        <w:spacing w:after="0" w:line="3" w:lineRule="exact"/>
        <w:rPr>
          <w:rFonts w:ascii="Times New Roman" w:cs="Times New Roman" w:eastAsia="Times New Roman" w:hAnsi="Times New Roman"/>
          <w:sz w:val="14"/>
          <w:szCs w:val="14"/>
          <w:color w:val="auto"/>
        </w:rPr>
      </w:pPr>
    </w:p>
    <w:p>
      <w:pPr>
        <w:ind w:left="760" w:hanging="378"/>
        <w:spacing w:after="0" w:line="221"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outstanding balance on the Fund IV secured bridge facility of $36.2 million as of both June 30, 2024 and December 31, 2023.</w:t>
      </w:r>
    </w:p>
    <w:p>
      <w:pPr>
        <w:ind w:left="760" w:hanging="378"/>
        <w:spacing w:after="0" w:line="221"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entered into various swap agreements to effectively fix its interest costs on a portion of its Revolver and term loans as of June 30, 2024 and December 31, 2023.</w:t>
      </w:r>
    </w:p>
    <w:p>
      <w:pPr>
        <w:ind w:left="760" w:hanging="378"/>
        <w:spacing w:after="0" w:line="221"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V paid off the subscription line and terminated the outstanding letters of credit during the six months ended June 30, 2024.</w:t>
      </w:r>
    </w:p>
    <w:p>
      <w:pPr>
        <w:ind w:left="760" w:hanging="378"/>
        <w:spacing w:after="0" w:line="221"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$1,188.3 million and $1,249.8 million, respectively, of variable-rate debt that has been fixed with interest rate swap agreements as of the periods presented. The effective fixed rates ranged from 1.14% to 4.69%.</w:t>
      </w:r>
    </w:p>
    <w:p>
      <w:pPr>
        <w:ind w:left="760" w:right="20" w:hanging="378"/>
        <w:spacing w:after="0" w:line="239"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$151.2 million and $151.4 million, respectively, of variable-rate debt that is subject to interest cap agreements as of the periods presented. The effective fixed rates ranged from 4.50% to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4711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Operating Partnership entered into a Third Amended and Restated Credit Agreement, with Bank of America, N.A., as administrative agent, to amend its existing senior unsecured credit facility (the “Amended Credit Facility”). The Amended Credit Facility provides for an increase in the existing unsecured revolving credit facility (the “Revolver”) from $300.0 million to $350.0 million, which includes the capacity to issue letters of credit in an amount up to $60.0 million, and the extension of the term from June 29, 2025 to April 15, 2028, with two additional six-month extension options. The Amended Credit Facility also provides for the extension of the term on the existing $400.0 million unsecured term loan (“Term Loan”) from June 29, 2026 to April 15, 2028, with two additional six-month extension options. The Amended Credit Facility has an accordion feature to increase its capacity up to $900 million at the option of the Operating Partnership, subject to customary conditions. Borrowings under the Revolver and the Term Loan will accrue interest at a floating rate based on SOFR with margins based on leverage or credit rating. The Credit Facility is guaranteed by the Trust and certain subsidiaries of the Trust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-31115</wp:posOffset>
            </wp:positionV>
            <wp:extent cx="3079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Revolver bears interest at SOFR + 1.35% and matures on April 15, 2028, subject to two six-month extension options. The outstanding balance and total available credit of the Revolver was $96.4 million and $253.6 million, respectively, as of June 30, 2024, reflecting no letters of credit outstanding. The outstanding balance and total available credit of the Revolver was $213.3 million and $86.7 million, respectively, as of December 31, 2023, reflecting no letters of credit outstanding.</w:t>
      </w:r>
    </w:p>
    <w:p>
      <w:pPr>
        <w:sectPr>
          <w:pgSz w:w="11900" w:h="16838" w:orient="portrait"/>
          <w:cols w:equalWidth="0" w:num="1">
            <w:col w:w="11240"/>
          </w:cols>
          <w:pgMar w:left="320" w:top="765" w:right="339" w:bottom="144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Term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Term Loan bears interest at SOFR + 1.50% and matures on April 15, 2028.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Partnership has a $175.0 million term loan facility (the “$175.0 Million Term Loan”), with Bank of America, N.A. as administrative agent, which bears interest at a floating rate based on SOFR with margins based on leverage or credit rating, matures on April 6, 2027, and is guaranteed by the Trust and certain subsidiaries of the Trust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As of June 30, 2024, the $175.0 Million Term Loan bears interest at SOFR + 1.60%.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-38735</wp:posOffset>
            </wp:positionV>
            <wp:extent cx="3079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Partnership has a $75.0 million term loan (the “$75.0 Million Term Loan”), with TD Bank, N.A., as administrative agent, which bears interest at a floating rate based on SOFR with margins based on leverage or credit rating, matures on July 29, 2029, and is guaranteed by the Trust and certain subsidiaries of the Trust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As of June 30, 2024, the $75.0 Million Term Loan bears interest at SOFR + 1.95%.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-38735</wp:posOffset>
            </wp:positionV>
            <wp:extent cx="3079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Mortgages and Other Notes Payable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(amounts represent balances at the time of transactions):</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a Core mortgage loan totaling $7.3 million at maturity;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Core mortgage loan of $60.0 million (excluding principal reductions of $2.5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the Fund V subscription line totaling $80.6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Fund mortgage loan of $43.4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two consolidated Fund mortgage loans of $6.4 million upon disposition of the properties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a portion of one consolidated Fund mortgage loan of $1.5 million in connection with an outparcel disposition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two Fund mortgage loans totaling $67.7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scheduled principal payments totaling $6.1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-624840</wp:posOffset>
            </wp:positionV>
            <wp:extent cx="3079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-419100</wp:posOffset>
            </wp:positionV>
            <wp:extent cx="3079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variable-rate mortgage debt has been effectively fixed through certain cash flow hedge transactions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5916930</wp:posOffset>
            </wp:positionH>
            <wp:positionV relativeFrom="paragraph">
              <wp:posOffset>-7620</wp:posOffset>
            </wp:positionV>
            <wp:extent cx="3079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both June 30, 2024 and December 31, 2023, the Company’s mortgages were collateralized by 31 properties and the related tenant leases. Certain loans are cross-collateralized and contain cross-default provisions. The loan agreements contain customary representations, covenants and events of default. Certain loan agreements require the Company to comply with affirmative and negative covenants, including the maintenance of debt service coverage and leverage ratios. The Company was in compliance with its debt covenants as of June 30, 2024.</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 IV also has an outstanding balance and total available credit on its secured bridge facility of $36.2 million and $0.0 million, respectively, as of both June 30, 2024 and December 31, 2023. The Operating Partnership has guaranteed up to $22.5 million of the Fund IV secured bridge facility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6468110</wp:posOffset>
            </wp:positionH>
            <wp:positionV relativeFrom="paragraph">
              <wp:posOffset>-48260</wp:posOffset>
            </wp:positionV>
            <wp:extent cx="3079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Scheduled Debt Principal Payments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scheduled principal repayments, without regard to available extension options (described further below), of the Company’s consolidated indebtedness, as of June 30, 2024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1"/>
                <w:szCs w:val="21"/>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Principal Repayments</w:t>
            </w:r>
          </w:p>
        </w:tc>
        <w:tc>
          <w:tcPr>
            <w:tcW w:w="100" w:type="dxa"/>
            <w:vAlign w:val="bottom"/>
          </w:tcPr>
          <w:p>
            <w:pPr>
              <w:spacing w:after="0"/>
              <w:rPr>
                <w:sz w:val="21"/>
                <w:szCs w:val="21"/>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88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214,585</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412,878</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56,911</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248,828</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678,250</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100" w:type="dxa"/>
            <w:vAlign w:val="bottom"/>
          </w:tcPr>
          <w:p>
            <w:pPr>
              <w:spacing w:after="0"/>
              <w:rPr>
                <w:sz w:val="20"/>
                <w:szCs w:val="20"/>
                <w:color w:val="auto"/>
              </w:rPr>
            </w:pPr>
          </w:p>
        </w:tc>
      </w:tr>
      <w:tr>
        <w:trPr>
          <w:trHeight w:val="241"/>
        </w:trPr>
        <w:tc>
          <w:tcPr>
            <w:tcW w:w="9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1,707,658</w:t>
            </w:r>
          </w:p>
        </w:tc>
        <w:tc>
          <w:tcPr>
            <w:tcW w:w="100" w:type="dxa"/>
            <w:vAlign w:val="bottom"/>
            <w:shd w:val="clear" w:color="auto" w:fill="CFF0FC"/>
          </w:tcPr>
          <w:p>
            <w:pPr>
              <w:spacing w:after="0"/>
              <w:rPr>
                <w:sz w:val="20"/>
                <w:szCs w:val="20"/>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premium</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unamortized debt issuance costs</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(12,053 )</w:t>
            </w:r>
          </w:p>
        </w:tc>
      </w:tr>
      <w:tr>
        <w:trPr>
          <w:trHeight w:val="236"/>
        </w:trPr>
        <w:tc>
          <w:tcPr>
            <w:tcW w:w="9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indebtedness</w:t>
            </w:r>
          </w:p>
        </w:tc>
        <w:tc>
          <w:tcPr>
            <w:tcW w:w="24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1,695,828</w:t>
            </w:r>
          </w:p>
        </w:tc>
        <w:tc>
          <w:tcPr>
            <w:tcW w:w="100" w:type="dxa"/>
            <w:vAlign w:val="bottom"/>
            <w:tcBorders>
              <w:top w:val="single" w:sz="8" w:color="CFF0FC"/>
            </w:tcBorders>
          </w:tcPr>
          <w:p>
            <w:pPr>
              <w:spacing w:after="0"/>
              <w:rPr>
                <w:sz w:val="20"/>
                <w:szCs w:val="20"/>
                <w:color w:val="auto"/>
              </w:rPr>
            </w:pPr>
          </w:p>
        </w:tc>
      </w:tr>
      <w:tr>
        <w:trPr>
          <w:trHeight w:val="20"/>
        </w:trPr>
        <w:tc>
          <w:tcPr>
            <w:tcW w:w="9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above does not reflect available extension options (subject to customary conditions) on consolidated debt with balances as of June 30, 2024. The Company has debt balances contractually due of $40.0 million in 2024, $327.3 million due in 2025, $27.4 million due in 2026 and $69.4 million in 2027, all of which the Company has available options to extend by up to 12 months, and for some an additional 12 months thereafter. However, there can be no assurance that the Company will be able to successfully execute any or all of its available extension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Recurring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methods and assumptions described below were used to estimate the fair value of each class of financial instrument.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Equity Securities </w:t>
      </w:r>
      <w:r>
        <w:rPr>
          <w:rFonts w:ascii="Times New Roman" w:cs="Times New Roman" w:eastAsia="Times New Roman" w:hAnsi="Times New Roman"/>
          <w:sz w:val="18"/>
          <w:szCs w:val="18"/>
          <w:color w:val="auto"/>
        </w:rPr>
        <w:t>— The Company has an investment in marketable equity securities of Albertsons, which has a readily determinable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(traded on an exchange) and is being accounted for as a Level 1 investment. This investment was included in Marketable securities on the Condensed Consolidated Balance Sheets as of June 30, 2024 and December 31, 2023.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The Company has derivative assets, which are included in Other assets, net on the Condensed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Sheets, and are comprised of interest rate swaps and caps. The Company has derivative liabilities, which are included in Accounts payable and other liabilities on the Condensed Consolidated Balance Sheets and are comprised of interest rate swaps. The derivative instruments were measured at fair value using readily observable market inputs, such as quotations on interest rates, and were classified as Level 2 as these instruments are custom, over-the-counter contracts with various bank counterparties that are not traded in an active market. See “Derivative Financial Instruments,”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those assets and liabilities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line="185" w:lineRule="exact"/>
              <w:rPr>
                <w:sz w:val="20"/>
                <w:szCs w:val="20"/>
                <w:color w:val="auto"/>
              </w:rPr>
            </w:pPr>
            <w:r>
              <w:rPr>
                <w:rFonts w:ascii="Times New Roman" w:cs="Times New Roman" w:eastAsia="Times New Roman" w:hAnsi="Times New Roman"/>
                <w:sz w:val="18"/>
                <w:szCs w:val="18"/>
                <w:color w:val="auto"/>
                <w:w w:val="97"/>
              </w:rPr>
              <w:t>Assets</w:t>
            </w:r>
          </w:p>
        </w:tc>
        <w:tc>
          <w:tcPr>
            <w:tcW w:w="414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33,284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46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(3,760 )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(8,892 )</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transfers into or out of Level 1, Level 2, and Level 3 measurements during the six months ended June 30,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sold 175,000 shares of Albertsons, generating net proceeds of $3.6 million. During the six months ended June 30, 2024, the Company sold 350,000 shares of Albertsons, generating net proceeds of $7.6 million. As of June 30, 2024, the Company held 1.1 million shares of Albertsons which had a fair value of $21.7 million.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recognized dividend income from marketable securities of $0.2 million and $0.2 million, of which the Company's share was $0.2 million and $0.2 million, respectively. During the six months ended June 30, 2024 and 2023, the Company recognized dividend income from marketable securities of $0.3 million and $28.7 million, of which the Company's share was $0.3 million and $11.6 million, respectively. These amounts are included in Realized and unrealized holding (losses) gains on investments and other on the Company's 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realized and unrealized gain (loss) on marketable securities included in Realized and unrealized holding (losses) gains on investments and other on the Company's Condensed Consolidated Statements of Operations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1"/>
                <w:szCs w:val="21"/>
                <w:color w:val="auto"/>
              </w:rPr>
            </w:pPr>
          </w:p>
        </w:tc>
        <w:tc>
          <w:tcPr>
            <w:tcW w:w="29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 on marketable securities, net</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previously recognized unrealized gains on marketable securities sold</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period</w:t>
            </w:r>
          </w:p>
        </w:tc>
        <w:tc>
          <w:tcPr>
            <w:tcW w:w="9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(3,586 )</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(7,580 )</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(losses) gains on marketable securities still held as of the end of</w:t>
            </w: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period and through the disposition date on marketable securities sold</w:t>
            </w:r>
          </w:p>
        </w:tc>
        <w:tc>
          <w:tcPr>
            <w:tcW w:w="94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(2,020 )</w:t>
            </w:r>
          </w:p>
        </w:tc>
        <w:tc>
          <w:tcPr>
            <w:tcW w:w="2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(4,035 )</w:t>
            </w:r>
          </w:p>
        </w:tc>
        <w:tc>
          <w:tcPr>
            <w:tcW w:w="2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34"/>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during the period</w:t>
            </w:r>
          </w:p>
        </w:tc>
        <w:tc>
          <w:tcPr>
            <w:tcW w:w="940" w:type="dxa"/>
            <w:vAlign w:val="bottom"/>
            <w:shd w:val="clear" w:color="auto" w:fill="CFF0FC"/>
          </w:tcPr>
          <w:p>
            <w:pPr>
              <w:spacing w:after="0"/>
              <w:rPr>
                <w:sz w:val="20"/>
                <w:szCs w:val="20"/>
                <w:color w:val="auto"/>
              </w:rPr>
            </w:pPr>
          </w:p>
        </w:tc>
        <w:tc>
          <w:tcPr>
            <w:tcW w:w="78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marketable securities, net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-187960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Charges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impairments of consolidated assets during the six months ended June 30,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redeemable noncontrolling interests related to certain properties. The Company is required to periodically review these redeemable noncontrolling interests in order to compare the redemption value to the carrying value.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for further discussion regarding these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4227830</wp:posOffset>
            </wp:positionH>
            <wp:positionV relativeFrom="paragraph">
              <wp:posOffset>-48260</wp:posOffset>
            </wp:positionV>
            <wp:extent cx="365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the following interest rate swaps and caps for the periods presented (information is as of June 30, 2024, unless otherwise noted, and dollars in thousands):</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2"/>
                <w:szCs w:val="12"/>
                <w:color w:val="auto"/>
              </w:rPr>
            </w:pP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Pr>
          <w:p>
            <w:pPr>
              <w:spacing w:after="0"/>
              <w:rPr>
                <w:sz w:val="12"/>
                <w:szCs w:val="12"/>
                <w:color w:val="auto"/>
              </w:rPr>
            </w:pPr>
          </w:p>
        </w:tc>
        <w:tc>
          <w:tcPr>
            <w:tcW w:w="15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4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Core</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175,000</w:t>
            </w:r>
          </w:p>
        </w:tc>
        <w:tc>
          <w:tcPr>
            <w:tcW w:w="240" w:type="dxa"/>
            <w:vAlign w:val="bottom"/>
          </w:tcPr>
          <w:p>
            <w:pPr>
              <w:spacing w:after="0"/>
              <w:rPr>
                <w:sz w:val="12"/>
                <w:szCs w:val="12"/>
                <w:color w:val="auto"/>
              </w:rPr>
            </w:pPr>
          </w:p>
        </w:tc>
        <w:tc>
          <w:tcPr>
            <w:tcW w:w="1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Oct 2023</w:t>
            </w:r>
          </w:p>
        </w:tc>
        <w:tc>
          <w:tcPr>
            <w:tcW w:w="120" w:type="dxa"/>
            <w:vAlign w:val="bottom"/>
          </w:tcPr>
          <w:p>
            <w:pPr>
              <w:spacing w:after="0"/>
              <w:rPr>
                <w:sz w:val="12"/>
                <w:szCs w:val="12"/>
                <w:color w:val="auto"/>
              </w:rPr>
            </w:pPr>
          </w:p>
        </w:tc>
        <w:tc>
          <w:tcPr>
            <w:tcW w:w="16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Jul 2027 - Jul 2029</w:t>
            </w: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4.59%</w:t>
            </w: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4.69%</w:t>
            </w:r>
          </w:p>
        </w:tc>
        <w:tc>
          <w:tcPr>
            <w:tcW w:w="120" w:type="dxa"/>
            <w:vAlign w:val="bottom"/>
          </w:tcPr>
          <w:p>
            <w:pPr>
              <w:spacing w:after="0"/>
              <w:rPr>
                <w:sz w:val="12"/>
                <w:szCs w:val="12"/>
                <w:color w:val="auto"/>
              </w:rPr>
            </w:pPr>
          </w:p>
        </w:tc>
        <w:tc>
          <w:tcPr>
            <w:tcW w:w="14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Accounts payable and</w:t>
            </w:r>
          </w:p>
        </w:tc>
        <w:tc>
          <w:tcPr>
            <w:tcW w:w="1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(3,760 )</w:t>
            </w:r>
          </w:p>
        </w:tc>
        <w:tc>
          <w:tcPr>
            <w:tcW w:w="280" w:type="dxa"/>
            <w:vAlign w:val="bottom"/>
          </w:tcPr>
          <w:p>
            <w:pPr>
              <w:jc w:val="right"/>
              <w:ind w:right="128"/>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(8,807 )</w:t>
            </w: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681,000</w:t>
            </w:r>
          </w:p>
        </w:tc>
        <w:tc>
          <w:tcPr>
            <w:tcW w:w="24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May 2022 - May 2023</w:t>
            </w:r>
          </w:p>
        </w:tc>
        <w:tc>
          <w:tcPr>
            <w:tcW w:w="120" w:type="dxa"/>
            <w:vAlign w:val="bottom"/>
            <w:tcBorders>
              <w:bottom w:val="single" w:sz="8" w:color="CFF0FC"/>
            </w:tcBorders>
            <w:shd w:val="clear" w:color="auto" w:fill="CFF0FC"/>
          </w:tcPr>
          <w:p>
            <w:pPr>
              <w:spacing w:after="0"/>
              <w:rPr>
                <w:sz w:val="15"/>
                <w:szCs w:val="15"/>
                <w:color w:val="auto"/>
              </w:rPr>
            </w:pPr>
          </w:p>
        </w:tc>
        <w:tc>
          <w:tcPr>
            <w:tcW w:w="1660" w:type="dxa"/>
            <w:vAlign w:val="bottom"/>
            <w:tcBorders>
              <w:bottom w:val="single" w:sz="8" w:color="CFF0FC"/>
            </w:tcBorders>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Mar 2025 - Jul 2030</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1.98%</w:t>
            </w:r>
          </w:p>
        </w:tc>
        <w:tc>
          <w:tcPr>
            <w:tcW w:w="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3.61%</w:t>
            </w: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34,303</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856,000</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Fund II</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60" w:type="dxa"/>
            <w:vAlign w:val="bottom"/>
            <w:tcBorders>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Interest Rate Swap</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50,000</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Jan 2023</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Dec 2029</w:t>
            </w:r>
          </w:p>
        </w:tc>
        <w:tc>
          <w:tcPr>
            <w:tcW w:w="58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3.23%</w:t>
            </w:r>
          </w:p>
        </w:tc>
        <w:tc>
          <w:tcPr>
            <w:tcW w:w="440" w:type="dxa"/>
            <w:vAlign w:val="bottom"/>
            <w:tcBorders>
              <w:bottom w:val="single" w:sz="8" w:color="CFF0FC"/>
            </w:tcBorders>
            <w:shd w:val="clear" w:color="auto" w:fill="CFF0FC"/>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3.23%</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Fund III</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Interest Rate Cap</w:t>
            </w: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33,000</w:t>
            </w:r>
          </w:p>
        </w:tc>
        <w:tc>
          <w:tcPr>
            <w:tcW w:w="240" w:type="dxa"/>
            <w:vAlign w:val="bottom"/>
          </w:tcPr>
          <w:p>
            <w:pPr>
              <w:spacing w:after="0"/>
              <w:rPr>
                <w:sz w:val="15"/>
                <w:szCs w:val="15"/>
                <w:color w:val="auto"/>
              </w:rPr>
            </w:pPr>
          </w:p>
        </w:tc>
        <w:tc>
          <w:tcPr>
            <w:tcW w:w="1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Sep 2023</w:t>
            </w:r>
          </w:p>
        </w:tc>
        <w:tc>
          <w:tcPr>
            <w:tcW w:w="120" w:type="dxa"/>
            <w:vAlign w:val="bottom"/>
          </w:tcPr>
          <w:p>
            <w:pPr>
              <w:spacing w:after="0"/>
              <w:rPr>
                <w:sz w:val="15"/>
                <w:szCs w:val="15"/>
                <w:color w:val="auto"/>
              </w:rPr>
            </w:pPr>
          </w:p>
        </w:tc>
        <w:tc>
          <w:tcPr>
            <w:tcW w:w="1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Oct 2025</w:t>
            </w: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5.50%</w:t>
            </w:r>
          </w:p>
        </w:tc>
        <w:tc>
          <w:tcPr>
            <w:tcW w:w="44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5.50%</w:t>
            </w:r>
          </w:p>
        </w:tc>
        <w:tc>
          <w:tcPr>
            <w:tcW w:w="120" w:type="dxa"/>
            <w:vAlign w:val="bottom"/>
          </w:tcPr>
          <w:p>
            <w:pPr>
              <w:spacing w:after="0"/>
              <w:rPr>
                <w:sz w:val="15"/>
                <w:szCs w:val="15"/>
                <w:color w:val="auto"/>
              </w:rPr>
            </w:pPr>
          </w:p>
        </w:tc>
        <w:tc>
          <w:tcPr>
            <w:tcW w:w="1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Fund IV</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Cap</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54,500</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Dec 2023</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 2025</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6.00%</w:t>
            </w:r>
          </w:p>
        </w:tc>
        <w:tc>
          <w:tcPr>
            <w:tcW w:w="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Fund V</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341,944</w:t>
            </w:r>
          </w:p>
        </w:tc>
        <w:tc>
          <w:tcPr>
            <w:tcW w:w="240" w:type="dxa"/>
            <w:vAlign w:val="bottom"/>
          </w:tcPr>
          <w:p>
            <w:pPr>
              <w:spacing w:after="0"/>
              <w:rPr>
                <w:sz w:val="15"/>
                <w:szCs w:val="15"/>
                <w:color w:val="auto"/>
              </w:rPr>
            </w:pPr>
          </w:p>
        </w:tc>
        <w:tc>
          <w:tcPr>
            <w:tcW w:w="1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Apr 2022 - Mar 2024</w:t>
            </w:r>
          </w:p>
        </w:tc>
        <w:tc>
          <w:tcPr>
            <w:tcW w:w="12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 2024- Dec 2027</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1.14%</w:t>
            </w: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4.49%</w:t>
            </w:r>
          </w:p>
        </w:tc>
        <w:tc>
          <w:tcPr>
            <w:tcW w:w="12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Caps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72,164</w:t>
            </w: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Aug 2023 - Feb 2024</w:t>
            </w:r>
          </w:p>
        </w:tc>
        <w:tc>
          <w:tcPr>
            <w:tcW w:w="1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 2025 - Sep 2025</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4.50%</w:t>
            </w:r>
          </w:p>
        </w:tc>
        <w:tc>
          <w:tcPr>
            <w:tcW w:w="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Accounts payable and</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414,108</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asset derivatives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40,338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28,989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Total liability derivatives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(3,760 )</w:t>
            </w:r>
          </w:p>
        </w:tc>
        <w:tc>
          <w:tcPr>
            <w:tcW w:w="280" w:type="dxa"/>
            <w:vAlign w:val="bottom"/>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(8,892 )</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-2399665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-2399665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-2399665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-1919605</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-1902460</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-1919605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-1902460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-1919605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-1902460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-1199515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-1182370</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-1199515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-1182370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-1199515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-410845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-393700</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-410845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-393700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-410845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-393700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-161925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-145415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-145415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Company’s derivative instruments have been designated as cash flow hedges and hedge the future cash outflows on variable-rate debt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It is estimated that approximately $22.9 million included in Accumulated other comprehensive income related to derivatives will be reclassified as a reduction to interest expense within the next twelve months. As of June 30, 2024 and December 31, 2023, no derivatives were designated as fair value hedges or hedges of net investments in foreign operations. Additionally, the Company does not use derivatives for trading or speculative purposes and currently does not have any derivatives that are not designated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-582930</wp:posOffset>
            </wp:positionV>
            <wp:extent cx="3079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manages economic risks, including interest rate, liquidity and credit risk, primarily by managing the amount, sources and duration of its debt funding and, from time to time, through the use of derivative financial instruments. The Company enters into derivative financial instruments to manage exposures that result in the receipt or payment of future known and uncertain cash amounts, the values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risk in the event of non-performance by the counterparties to the swaps if the derivative position has a positive balance. The Company believes it mitigates its credit risk by entering into swaps with major financial institutions. The Company continually monitors and actively manages interest costs on its variable-rate debt portfolio and may enter into additional interest rate swap positions or other derivative interest rate instruments based on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Risk-Related Contingent Features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agreements with each of its swap counterparties that contain a provision whereby if the Company defaults on certain of its unsecured indebtedness, the Company could also be declared in default on its swaps, resulting in an acceleration of payment under the swaps.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had the following carrying values and fair values as of the dates shown (dollars in thousands, inclusive of amounts attributable to noncontrolling interests where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100" w:type="dxa"/>
            <w:vAlign w:val="bottom"/>
          </w:tcPr>
          <w:p>
            <w:pPr>
              <w:spacing w:after="0"/>
              <w:rPr>
                <w:sz w:val="18"/>
                <w:szCs w:val="18"/>
                <w:color w:val="auto"/>
              </w:rPr>
            </w:pPr>
          </w:p>
        </w:tc>
      </w:tr>
      <w:tr>
        <w:trPr>
          <w:trHeight w:val="245"/>
        </w:trPr>
        <w:tc>
          <w:tcPr>
            <w:tcW w:w="5100" w:type="dxa"/>
            <w:vAlign w:val="bottom"/>
          </w:tcPr>
          <w:p>
            <w:pPr>
              <w:spacing w:after="0"/>
              <w:rPr>
                <w:sz w:val="21"/>
                <w:szCs w:val="21"/>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48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Notes Receivable </w:t>
            </w:r>
            <w:r>
              <w:rPr>
                <w:rFonts w:ascii="Times New Roman" w:cs="Times New Roman" w:eastAsia="Times New Roman" w:hAnsi="Times New Roman"/>
                <w:sz w:val="24"/>
                <w:szCs w:val="24"/>
                <w:color w:val="auto"/>
                <w:vertAlign w:val="superscript"/>
              </w:rPr>
              <w:t>(a)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124,789</w:t>
            </w:r>
          </w:p>
        </w:tc>
        <w:tc>
          <w:tcPr>
            <w:tcW w:w="100" w:type="dxa"/>
            <w:vAlign w:val="bottom"/>
          </w:tcPr>
          <w:p>
            <w:pPr>
              <w:spacing w:after="0"/>
              <w:rPr>
                <w:sz w:val="24"/>
                <w:szCs w:val="24"/>
                <w:color w:val="auto"/>
              </w:rPr>
            </w:pPr>
          </w:p>
        </w:tc>
      </w:tr>
      <w:tr>
        <w:trPr>
          <w:trHeight w:val="243"/>
        </w:trPr>
        <w:tc>
          <w:tcPr>
            <w:tcW w:w="59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City Point Loan </w:t>
            </w:r>
            <w:r>
              <w:rPr>
                <w:rFonts w:ascii="Times New Roman" w:cs="Times New Roman" w:eastAsia="Times New Roman" w:hAnsi="Times New Roman"/>
                <w:sz w:val="24"/>
                <w:szCs w:val="24"/>
                <w:color w:val="auto"/>
                <w:vertAlign w:val="superscript"/>
              </w:rPr>
              <w:t>(a)</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66,017</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Mortgage and Other Notes Payable </w:t>
            </w:r>
            <w:r>
              <w:rPr>
                <w:rFonts w:ascii="Times New Roman" w:cs="Times New Roman" w:eastAsia="Times New Roman" w:hAnsi="Times New Roman"/>
                <w:sz w:val="24"/>
                <w:szCs w:val="24"/>
                <w:color w:val="auto"/>
                <w:vertAlign w:val="superscript"/>
              </w:rPr>
              <w:t>(a)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961,212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947,938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921,563</w:t>
            </w:r>
          </w:p>
        </w:tc>
        <w:tc>
          <w:tcPr>
            <w:tcW w:w="100" w:type="dxa"/>
            <w:vAlign w:val="bottom"/>
          </w:tcPr>
          <w:p>
            <w:pPr>
              <w:spacing w:after="0"/>
              <w:rPr>
                <w:sz w:val="21"/>
                <w:szCs w:val="21"/>
                <w:color w:val="auto"/>
              </w:rPr>
            </w:pPr>
          </w:p>
        </w:tc>
      </w:tr>
      <w:tr>
        <w:trPr>
          <w:trHeight w:val="243"/>
        </w:trPr>
        <w:tc>
          <w:tcPr>
            <w:tcW w:w="59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in non-traded equity securities </w:t>
            </w:r>
            <w:r>
              <w:rPr>
                <w:rFonts w:ascii="Times New Roman" w:cs="Times New Roman" w:eastAsia="Times New Roman" w:hAnsi="Times New Roman"/>
                <w:sz w:val="24"/>
                <w:szCs w:val="24"/>
                <w:color w:val="auto"/>
                <w:vertAlign w:val="superscript"/>
              </w:rPr>
              <w:t>(b)</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FF0FC"/>
          </w:tcPr>
          <w:p>
            <w:pPr>
              <w:spacing w:after="0"/>
              <w:rPr>
                <w:sz w:val="21"/>
                <w:szCs w:val="21"/>
                <w:color w:val="auto"/>
              </w:rPr>
            </w:pPr>
          </w:p>
        </w:tc>
      </w:tr>
      <w:tr>
        <w:trPr>
          <w:trHeight w:val="31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Unsecured notes payable and Unsecured line of credit </w:t>
            </w:r>
            <w:r>
              <w:rPr>
                <w:rFonts w:ascii="Times New Roman" w:cs="Times New Roman" w:eastAsia="Times New Roman" w:hAnsi="Times New Roman"/>
                <w:sz w:val="24"/>
                <w:szCs w:val="24"/>
                <w:color w:val="auto"/>
                <w:vertAlign w:val="superscript"/>
              </w:rPr>
              <w:t>(c)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746,446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937,153</w:t>
            </w:r>
          </w:p>
        </w:tc>
        <w:tc>
          <w:tcPr>
            <w:tcW w:w="100" w:type="dxa"/>
            <w:vAlign w:val="bottom"/>
          </w:tcPr>
          <w:p>
            <w:pPr>
              <w:spacing w:after="0"/>
              <w:rPr>
                <w:sz w:val="24"/>
                <w:szCs w:val="24"/>
                <w:color w:val="auto"/>
              </w:rPr>
            </w:pPr>
          </w:p>
        </w:tc>
      </w:tr>
    </w:tbl>
    <w:p>
      <w:pPr>
        <w:spacing w:after="0" w:line="52" w:lineRule="exact"/>
        <w:rPr>
          <w:sz w:val="20"/>
          <w:szCs w:val="20"/>
          <w:color w:val="auto"/>
        </w:rPr>
      </w:pPr>
    </w:p>
    <w:p>
      <w:pPr>
        <w:jc w:val="both"/>
        <w:ind w:left="1020" w:hanging="503"/>
        <w:spacing w:after="0" w:line="226"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determined the estimated fair value of these financial instruments using a discounted cash flow model with rates that take into account the credit of the borrower or tenant, where applicable, and changes in interest rates. The Company also considered the value of the underlying collateral, taking into account the quality of the collateral, the credit quality of the borrower, the time until maturity and the current market interest rate environment. Amounts exclude discounts and loan costs. The estimated market rates are between 5.00% to 14.00% for the Company's notes receivable and City Point Loan, and 5.52% to 8.37% for the Company's mortgage and other notes payable, depending on the attributes of the specific loans.</w:t>
      </w:r>
    </w:p>
    <w:p>
      <w:pPr>
        <w:ind w:left="1020" w:hanging="503"/>
        <w:spacing w:after="0" w:line="221"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Partnership’s cost-method investment in Fifth Wall (</w:t>
      </w:r>
      <w:r>
        <w:rPr>
          <w:rFonts w:ascii="Times New Roman" w:cs="Times New Roman" w:eastAsia="Times New Roman" w:hAnsi="Times New Roman"/>
          <w:sz w:val="14"/>
          <w:szCs w:val="14"/>
          <w:u w:val="single" w:color="auto"/>
          <w:color w:val="0000FF"/>
        </w:rPr>
        <w:t>Note 4</w:t>
      </w:r>
      <w:r>
        <w:rPr>
          <w:rFonts w:ascii="Times New Roman" w:cs="Times New Roman" w:eastAsia="Times New Roman" w:hAnsi="Times New Roman"/>
          <w:sz w:val="14"/>
          <w:szCs w:val="14"/>
          <w:color w:val="auto"/>
        </w:rPr>
        <w:t>).</w:t>
      </w:r>
    </w:p>
    <w:p>
      <w:pPr>
        <w:jc w:val="both"/>
        <w:ind w:left="1020" w:hanging="503"/>
        <w:spacing w:after="0" w:line="233"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determined the estimated fair value of the unsecured notes payable and unsecured line of credit using quoted market prices in an open market with limited trading volume where available. In cases where there was no trading volume, the Company determined the estimated fair value using a discounted cash flow model using a rate that reflects the average yield of similar market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4711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1170" cy="8890"/>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-301625</wp:posOffset>
            </wp:positionV>
            <wp:extent cx="2457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cash and cash equivalents, restricted cash, rents receivable, accounts payable and certain financial instruments (classified as Level 1) included in other assets and other liabilities had fair values that approximated their carrying values due to their short maturity profiles as of June 30, 2024 and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matters of litigation arising out of, or incidental to, its business. While the Company is unable to predict with certainty the outcome of any particular matter, management does not expect, when such litigation is resolved, that the Company’s resulting exposure to loss contingencies, if any, will have a material adverse effect on its consolidated financial position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Guaranties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(or ventures in which the Company has an ownership interest) has agreed, and may in the future agree, to guarantee portions of the principal, interest and other amounts in connection with their borrowings, provide customary environmental indemnifications and nonrecourse carve-outs (e.g., guarantees against fraud, misrepresentation and bankruptcy) in connection with their borrowings and provide guarantees to lenders, tenants and other third parties for the completion of development projects.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borrowings of our consolidated entities, the Company and certain subsidiaries of the Company have guaranteed $72.5 million of principal payment guarantees on various property mortgage loans and the Fund IV secured bridge facility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As of June 30, 2024 and December 31, 2023, no amounts related to the guarantees were recorded as liabilities in the Company’s condensed consolidated financial statements. As of June 30, 2024, the Company had no Core or Fund letters of credit outstanding, and as of December 31, 2023, the Company had no Core letters of credit outstanding and had Fund letters of credit of $2.0 million outstanding. The Company has not recorded any obligation associated with these letters of credit. The majority of the letters of credit are collateral for existing indebtedness and other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-580390</wp:posOffset>
            </wp:positionV>
            <wp:extent cx="3079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refinancing of the La Frontera Village mortgage loan of $57.0 million, which is collateralized by the investment property, Fund V guaranteed the joint venture’s obligation under the loan. Fund V earned a fee from the joint venture for providing the guarantee. As of June 30, 2024, $0.2 million related to the guarantee was recorded as a liability in the Company’s condensed consolidated financial statements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-38735</wp:posOffset>
            </wp:positionV>
            <wp:extent cx="3079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development and expansion of various properties, the Company has entered into agreements with general contractors for the construction or development of properties aggregating approximately $11.5 million and $15.8 million, of which the Company’s share is $9.5 million and $12.5 million as of June 30, 2024 and December 31, 2023, respectively. The Company has committed client-related obligations for tenant improvements based on executed leases aggregating approximately $22.8 million and $25.7 million, of which the Company’s share is $13.6 million and $14.6 million, as of June 30, 2024 and December 31, 2023, respectively. The timing and amounts of payments for tenant-related obligations are uncertain and may only be due upon satisfactory performance of certain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 of Deposits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purchase and sale agreement (together with subsequent amendments thereto) to sell its West Shore Expressway property in the Core Portfolio. At the request of the former potential buyer, the Company extended the closing date numerous times in exchange for additional non-refundable deposits and contributions towards the carrying costs of the property. The agreement terminated and expired by its terms in August 2023, and the deposit was forfeited to an affiliate of the Company, when, among other things, the former potential buyer failed to close on the property pursuant to the terms of the agreement. During the third quarter of 2023, the former potential buyer filed for Chapter 11 bankruptcy, which bankruptcy was dismissed during the fourth quarter of 2023, and as of March 31, 2024 is no longer subject to appeal. The Company recorded income of $3.5 million in Other revenues on the Condensed Consolidated Statements of Operations during the three months ended March 31 2024, related to the forfeiture of the non-refundable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carry insurance coverage on our properties of different types and in amounts with deductibles that we believe are in line with coverage customarily obtained by owners of similar properties.</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 Noncontrolling Interests and Other Comprehensive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 and Units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2024, the Company completed an underwritten offering of 6,900,000 Common Shares (inclusive of the underwriters’ option to purchase 900,000 additional shares) for net proceeds of $113.0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ATM Program activity discussed below, the Company completed the following transactions in its Common Shares during the six months ended June 30, 2024:</w:t>
      </w:r>
    </w:p>
    <w:p>
      <w:pPr>
        <w:spacing w:after="0" w:line="27"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withheld 3,410 shares of its restricted Common Shares (“Restricted Shares”) to pay the employees’ statutory minimum income taxes due on the value of the portion of their Restricted Shares that vested.</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Common Share and Common OP Unit-based compensation expense totaling $4.5 million in connection with Restricted Shares and Common OP Units (“Restricted Units”)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-48260</wp:posOffset>
            </wp:positionV>
            <wp:extent cx="365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at-the-market equity issuance program (“ATM Program”) that provides the Company with an efficient vehicle for raising public equity capital to fund its needs. The Company entered into its current $250.0 million ATM Program, which includes an optional “forward sale” component, in the first quarter of 2022. The Company had approximately $192.1 million of availability under the ATM program as of June 30, 2024. The Company did not sell or issue any Common Shares on a forward basis for the six months ended June 30, 2024 or 2023. The Company sold 1,739,288 Common Shares under its ATM Program during the six months ended June 30, 2024 generating $29.9 million of net proceeds after related issuance costs. No such sales were made during the six months ended June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2018, the Company’s board of trustees (the “Board”) approved a new share repurchase program, which authorizes management, at its discretion, to repurchase up to $200.0 million of its outstanding Common Shares. The program does not obligate the Company to repurchase any specific number of Common Shares and may be discontinued or extended at any time. The Company did not repurchase any shares during the six months ended June 30, 2024 or 2023. Under the share repurchase program $122.5 million remains available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declared distributions on Common Shares/OP Units of $0.18 per Common Share/Unit. During the six months ended June 30, 2024 and 2023, the Company declared distributions on Common Shares/OP Units of $0.36 per Common Share/Unit in the aggregate.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change in the noncontrolling interests for the three and six months ended June 30, 2024 and 2023 (dollars in thousands, except per unit data):</w:t>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Noncontrollin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88"/>
              </w:rPr>
              <w:t>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Interests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Interests in</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Partially-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7"/>
                <w:szCs w:val="17"/>
                <w:color w:val="auto"/>
              </w:rPr>
            </w:pPr>
          </w:p>
        </w:tc>
        <w:tc>
          <w:tcPr>
            <w:tcW w:w="128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Noncontrollin</w:t>
            </w:r>
          </w:p>
        </w:tc>
        <w:tc>
          <w:tcPr>
            <w:tcW w:w="0" w:type="dxa"/>
            <w:vAlign w:val="bottom"/>
          </w:tcPr>
          <w:p>
            <w:pPr>
              <w:spacing w:after="0"/>
              <w:rPr>
                <w:sz w:val="1"/>
                <w:szCs w:val="1"/>
                <w:color w:val="auto"/>
              </w:rPr>
            </w:pPr>
          </w:p>
        </w:tc>
      </w:tr>
      <w:tr>
        <w:trPr>
          <w:trHeight w:val="272"/>
        </w:trPr>
        <w:tc>
          <w:tcPr>
            <w:tcW w:w="7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Borders>
              <w:bottom w:val="single" w:sz="8" w:color="auto"/>
            </w:tcBorders>
            <w:gridSpan w:val="2"/>
          </w:tcPr>
          <w:p>
            <w:pPr>
              <w:ind w:left="40"/>
              <w:spacing w:after="0" w:line="272" w:lineRule="exact"/>
              <w:rPr>
                <w:sz w:val="20"/>
                <w:szCs w:val="20"/>
                <w:color w:val="auto"/>
              </w:rPr>
            </w:pPr>
            <w:r>
              <w:rPr>
                <w:rFonts w:ascii="Times New Roman" w:cs="Times New Roman" w:eastAsia="Times New Roman" w:hAnsi="Times New Roman"/>
                <w:sz w:val="18"/>
                <w:szCs w:val="18"/>
                <w:b w:val="1"/>
                <w:bCs w:val="1"/>
                <w:color w:val="auto"/>
                <w:w w:val="95"/>
              </w:rPr>
              <w:t xml:space="preserve">Partnership </w:t>
            </w:r>
            <w:r>
              <w:rPr>
                <w:rFonts w:ascii="Times New Roman" w:cs="Times New Roman" w:eastAsia="Times New Roman" w:hAnsi="Times New Roman"/>
                <w:sz w:val="24"/>
                <w:szCs w:val="24"/>
                <w:b w:val="1"/>
                <w:bCs w:val="1"/>
                <w:color w:val="auto"/>
                <w:w w:val="95"/>
                <w:vertAlign w:val="superscript"/>
              </w:rPr>
              <w:t>(a)</w:t>
            </w:r>
          </w:p>
        </w:tc>
        <w:tc>
          <w:tcPr>
            <w:tcW w:w="2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30"/>
              <w:spacing w:after="0" w:line="272" w:lineRule="exact"/>
              <w:rPr>
                <w:sz w:val="20"/>
                <w:szCs w:val="20"/>
                <w:color w:val="auto"/>
              </w:rPr>
            </w:pPr>
            <w:r>
              <w:rPr>
                <w:rFonts w:ascii="Times New Roman" w:cs="Times New Roman" w:eastAsia="Times New Roman" w:hAnsi="Times New Roman"/>
                <w:sz w:val="18"/>
                <w:szCs w:val="18"/>
                <w:b w:val="1"/>
                <w:bCs w:val="1"/>
                <w:color w:val="auto"/>
                <w:w w:val="93"/>
              </w:rPr>
              <w:t xml:space="preserve">Affiliates </w:t>
            </w:r>
            <w:r>
              <w:rPr>
                <w:rFonts w:ascii="Times New Roman" w:cs="Times New Roman" w:eastAsia="Times New Roman" w:hAnsi="Times New Roman"/>
                <w:sz w:val="24"/>
                <w:szCs w:val="24"/>
                <w:b w:val="1"/>
                <w:bCs w:val="1"/>
                <w:color w:val="auto"/>
                <w:w w:val="93"/>
                <w:vertAlign w:val="superscript"/>
              </w:rPr>
              <w:t>(b)</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3"/>
                <w:szCs w:val="23"/>
                <w:color w:val="auto"/>
              </w:rPr>
            </w:pPr>
          </w:p>
        </w:tc>
        <w:tc>
          <w:tcPr>
            <w:tcW w:w="1140" w:type="dxa"/>
            <w:vAlign w:val="bottom"/>
            <w:tcBorders>
              <w:bottom w:val="single" w:sz="8" w:color="auto"/>
            </w:tcBorders>
            <w:gridSpan w:val="2"/>
          </w:tcPr>
          <w:p>
            <w:pPr>
              <w:jc w:val="right"/>
              <w:ind w:right="10"/>
              <w:spacing w:after="0" w:line="272" w:lineRule="exact"/>
              <w:rPr>
                <w:sz w:val="20"/>
                <w:szCs w:val="20"/>
                <w:color w:val="auto"/>
              </w:rPr>
            </w:pPr>
            <w:r>
              <w:rPr>
                <w:rFonts w:ascii="Times New Roman" w:cs="Times New Roman" w:eastAsia="Times New Roman" w:hAnsi="Times New Roman"/>
                <w:sz w:val="18"/>
                <w:szCs w:val="18"/>
                <w:b w:val="1"/>
                <w:bCs w:val="1"/>
                <w:color w:val="auto"/>
                <w:w w:val="99"/>
              </w:rPr>
              <w:t xml:space="preserve">g Interests </w:t>
            </w:r>
            <w:r>
              <w:rPr>
                <w:rFonts w:ascii="Times New Roman" w:cs="Times New Roman" w:eastAsia="Times New Roman" w:hAnsi="Times New Roman"/>
                <w:sz w:val="24"/>
                <w:szCs w:val="24"/>
                <w:b w:val="1"/>
                <w:bCs w:val="1"/>
                <w:color w:val="auto"/>
                <w:w w:val="99"/>
                <w:vertAlign w:val="superscript"/>
              </w:rPr>
              <w:t>(c)</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1, 2024</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92,707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372,462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465,169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declared of $0.18 per Common OP Unit and distributions 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OP Units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(1,228 )</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June 30, 2024</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(2,292 )</w:t>
            </w:r>
          </w:p>
        </w:tc>
        <w:tc>
          <w:tcPr>
            <w:tcW w:w="0" w:type="dxa"/>
            <w:vAlign w:val="bottom"/>
          </w:tcPr>
          <w:p>
            <w:pPr>
              <w:spacing w:after="0"/>
              <w:rPr>
                <w:sz w:val="1"/>
                <w:szCs w:val="1"/>
                <w:color w:val="auto"/>
              </w:rPr>
            </w:pPr>
          </w:p>
        </w:tc>
      </w:tr>
      <w:tr>
        <w:trPr>
          <w:trHeight w:val="21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255,304 Common OP Units and 41,599 Series C Preferred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Units to Common Shares by limited partners of the Operating Partnership</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(6,427 )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(6,427 )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gain on valuation of swap</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of realized interest expense on swap agreements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(3,637 )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(3,687 )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City Point Loan accrued interest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(2,290 )</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call receivable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(7,960 )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(7,960 )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Long-term Incentive Plan Unit Awards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Reallocation of noncontrolling interests </w:t>
            </w:r>
            <w:r>
              <w:rPr>
                <w:rFonts w:ascii="Times New Roman" w:cs="Times New Roman" w:eastAsia="Times New Roman" w:hAnsi="Times New Roman"/>
                <w:sz w:val="24"/>
                <w:szCs w:val="24"/>
                <w:color w:val="auto"/>
                <w:vertAlign w:val="superscript"/>
              </w:rPr>
              <w:t>(d)</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(2,071 )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(2,071 )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85,683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371,538</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457,221</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40,874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shd w:val="clear" w:color="auto" w:fill="CFF0FC"/>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1, 2023</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103,219</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355,962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459,181</w:t>
            </w:r>
          </w:p>
        </w:tc>
        <w:tc>
          <w:tcPr>
            <w:tcW w:w="24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declared of $0.18 per Common OP Unit and distributions on</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OP Units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(1,341 )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(1,341 )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June 30, 2023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(6,130 )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(5,433 )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(1,091 )</w:t>
            </w:r>
          </w:p>
        </w:tc>
        <w:tc>
          <w:tcPr>
            <w:tcW w:w="0" w:type="dxa"/>
            <w:vAlign w:val="bottom"/>
          </w:tcPr>
          <w:p>
            <w:pPr>
              <w:spacing w:after="0"/>
              <w:rPr>
                <w:sz w:val="1"/>
                <w:szCs w:val="1"/>
                <w:color w:val="auto"/>
              </w:rPr>
            </w:pPr>
          </w:p>
        </w:tc>
      </w:tr>
      <w:tr>
        <w:trPr>
          <w:trHeight w:val="215"/>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54,040 Common OP Units to Common Shares by limited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partners of the Operating Partnership</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(901 )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(901 )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gain on valuation of swap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realized interest expense on swap agreements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(3,583 )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(3,637 )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Point Loan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(796 )</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City Point Loan accrued interest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(2,345 )</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 contributions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(5,492 )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(5,492 )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Long-term Incentive Plan Unit Awards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Reallocation of noncontrolling interests </w:t>
            </w:r>
            <w:r>
              <w:rPr>
                <w:rFonts w:ascii="Times New Roman" w:cs="Times New Roman" w:eastAsia="Times New Roman" w:hAnsi="Times New Roman"/>
                <w:sz w:val="24"/>
                <w:szCs w:val="24"/>
                <w:color w:val="auto"/>
                <w:vertAlign w:val="superscript"/>
              </w:rPr>
              <w:t>(d)</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(1,444 )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(1,444 )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103,813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348,624</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452,437</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shd w:val="clear" w:color="auto" w:fill="CFF0FC"/>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Borders>
              <w:bottom w:val="single" w:sz="8" w:color="auto"/>
            </w:tcBorders>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-3728085</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-3728085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-3728085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-1122045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-1122045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-1122045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Noncontrollin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88"/>
              </w:rPr>
              <w:t>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Interests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Interests in</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Partially-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Redeemable</w:t>
            </w:r>
          </w:p>
        </w:tc>
      </w:tr>
      <w:tr>
        <w:trPr>
          <w:trHeight w:val="196"/>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7"/>
                <w:szCs w:val="17"/>
                <w:color w:val="auto"/>
              </w:rPr>
            </w:pPr>
          </w:p>
        </w:tc>
        <w:tc>
          <w:tcPr>
            <w:tcW w:w="128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Noncontrollin</w:t>
            </w:r>
          </w:p>
        </w:tc>
      </w:tr>
      <w:tr>
        <w:trPr>
          <w:trHeight w:val="272"/>
        </w:trPr>
        <w:tc>
          <w:tcPr>
            <w:tcW w:w="5780" w:type="dxa"/>
            <w:vAlign w:val="bottom"/>
          </w:tcPr>
          <w:p>
            <w:pPr>
              <w:spacing w:after="0"/>
              <w:rPr>
                <w:sz w:val="23"/>
                <w:szCs w:val="23"/>
                <w:color w:val="auto"/>
              </w:rPr>
            </w:pPr>
          </w:p>
        </w:tc>
        <w:tc>
          <w:tcPr>
            <w:tcW w:w="1440" w:type="dxa"/>
            <w:vAlign w:val="bottom"/>
            <w:gridSpan w:val="3"/>
          </w:tcPr>
          <w:p>
            <w:pPr>
              <w:ind w:left="4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Partnership </w:t>
            </w:r>
            <w:r>
              <w:rPr>
                <w:rFonts w:ascii="Times New Roman" w:cs="Times New Roman" w:eastAsia="Times New Roman" w:hAnsi="Times New Roman"/>
                <w:sz w:val="24"/>
                <w:szCs w:val="24"/>
                <w:b w:val="1"/>
                <w:bCs w:val="1"/>
                <w:color w:val="auto"/>
                <w:vertAlign w:val="superscript"/>
              </w:rPr>
              <w:t>(a)</w:t>
            </w:r>
          </w:p>
        </w:tc>
        <w:tc>
          <w:tcPr>
            <w:tcW w:w="120" w:type="dxa"/>
            <w:vAlign w:val="bottom"/>
          </w:tcPr>
          <w:p>
            <w:pPr>
              <w:spacing w:after="0"/>
              <w:rPr>
                <w:sz w:val="23"/>
                <w:szCs w:val="23"/>
                <w:color w:val="auto"/>
              </w:rPr>
            </w:pPr>
          </w:p>
        </w:tc>
        <w:tc>
          <w:tcPr>
            <w:tcW w:w="1280" w:type="dxa"/>
            <w:vAlign w:val="bottom"/>
            <w:gridSpan w:val="2"/>
          </w:tcPr>
          <w:p>
            <w:pPr>
              <w:jc w:val="center"/>
              <w:ind w:right="360"/>
              <w:spacing w:after="0" w:line="272" w:lineRule="exact"/>
              <w:rPr>
                <w:sz w:val="20"/>
                <w:szCs w:val="20"/>
                <w:color w:val="auto"/>
              </w:rPr>
            </w:pPr>
            <w:r>
              <w:rPr>
                <w:rFonts w:ascii="Times New Roman" w:cs="Times New Roman" w:eastAsia="Times New Roman" w:hAnsi="Times New Roman"/>
                <w:sz w:val="18"/>
                <w:szCs w:val="18"/>
                <w:b w:val="1"/>
                <w:bCs w:val="1"/>
                <w:color w:val="auto"/>
                <w:w w:val="93"/>
              </w:rPr>
              <w:t xml:space="preserve">Affiliates </w:t>
            </w:r>
            <w:r>
              <w:rPr>
                <w:rFonts w:ascii="Times New Roman" w:cs="Times New Roman" w:eastAsia="Times New Roman" w:hAnsi="Times New Roman"/>
                <w:sz w:val="24"/>
                <w:szCs w:val="24"/>
                <w:b w:val="1"/>
                <w:bCs w:val="1"/>
                <w:color w:val="auto"/>
                <w:w w:val="93"/>
                <w:vertAlign w:val="superscript"/>
              </w:rPr>
              <w:t>(b)</w:t>
            </w:r>
          </w:p>
        </w:tc>
        <w:tc>
          <w:tcPr>
            <w:tcW w:w="240" w:type="dxa"/>
            <w:vAlign w:val="bottom"/>
          </w:tcPr>
          <w:p>
            <w:pPr>
              <w:spacing w:after="0"/>
              <w:rPr>
                <w:sz w:val="23"/>
                <w:szCs w:val="23"/>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3"/>
          </w:tcPr>
          <w:p>
            <w:pPr>
              <w:jc w:val="right"/>
              <w:ind w:right="200"/>
              <w:spacing w:after="0" w:line="272" w:lineRule="exact"/>
              <w:rPr>
                <w:sz w:val="20"/>
                <w:szCs w:val="20"/>
                <w:color w:val="auto"/>
              </w:rPr>
            </w:pPr>
            <w:r>
              <w:rPr>
                <w:rFonts w:ascii="Times New Roman" w:cs="Times New Roman" w:eastAsia="Times New Roman" w:hAnsi="Times New Roman"/>
                <w:sz w:val="18"/>
                <w:szCs w:val="18"/>
                <w:b w:val="1"/>
                <w:bCs w:val="1"/>
                <w:color w:val="auto"/>
                <w:w w:val="99"/>
              </w:rPr>
              <w:t xml:space="preserve">g Interests </w:t>
            </w:r>
            <w:r>
              <w:rPr>
                <w:rFonts w:ascii="Times New Roman" w:cs="Times New Roman" w:eastAsia="Times New Roman" w:hAnsi="Times New Roman"/>
                <w:sz w:val="24"/>
                <w:szCs w:val="24"/>
                <w:b w:val="1"/>
                <w:bCs w:val="1"/>
                <w:color w:val="auto"/>
                <w:w w:val="99"/>
                <w:vertAlign w:val="superscript"/>
              </w:rPr>
              <w:t>(c)</w:t>
            </w: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99,718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346,582</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446,300</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50,339</w:t>
            </w:r>
          </w:p>
        </w:tc>
        <w:tc>
          <w:tcPr>
            <w:tcW w:w="100" w:type="dxa"/>
            <w:vAlign w:val="bottom"/>
            <w:shd w:val="clear" w:color="auto" w:fill="CFF0FC"/>
          </w:tcPr>
          <w:p>
            <w:pPr>
              <w:spacing w:after="0"/>
              <w:rPr>
                <w:sz w:val="20"/>
                <w:szCs w:val="20"/>
                <w:color w:val="auto"/>
              </w:rPr>
            </w:pP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of $0.36 per Common OP Unit and distributions 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OP Units</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(2,681 )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(2,681 )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for the six months ended June 30, 2024</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(5,654 )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(5,141 )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(4,846 )</w:t>
            </w: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1,050,449 Common OP Units and 41,599 Series C Preferred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to Common Shares by limited partners of the Operating Partnership</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(19,341 )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(19,341 )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gain on valuation of swap</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realized interest expense on swap agreements</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(7,334 )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(7,438 )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City Point Loan accrued interest</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(4,613 )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call receivable</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 contributions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(13,425 )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(13,425 )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Long-term Incentive Plan Unit Awards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Reallocation of noncontrolling interests </w:t>
            </w:r>
            <w:r>
              <w:rPr>
                <w:rFonts w:ascii="Times New Roman" w:cs="Times New Roman" w:eastAsia="Times New Roman" w:hAnsi="Times New Roman"/>
                <w:sz w:val="24"/>
                <w:szCs w:val="24"/>
                <w:color w:val="auto"/>
                <w:vertAlign w:val="superscript"/>
              </w:rPr>
              <w:t>(d)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85,683</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371,538</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457,221</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40,874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6"/>
        </w:trPr>
        <w:tc>
          <w:tcPr>
            <w:tcW w:w="5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99,554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389,810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489,364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67,664</w:t>
            </w:r>
          </w:p>
        </w:tc>
        <w:tc>
          <w:tcPr>
            <w:tcW w:w="100" w:type="dxa"/>
            <w:vAlign w:val="bottom"/>
            <w:shd w:val="clear" w:color="auto" w:fill="CFF0FC"/>
          </w:tcPr>
          <w:p>
            <w:pPr>
              <w:spacing w:after="0"/>
              <w:rPr>
                <w:sz w:val="21"/>
                <w:szCs w:val="21"/>
                <w:color w:val="auto"/>
              </w:rPr>
            </w:pP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of $0.36 per Common OP Unit and distributions 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OP Units</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(2,684 )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for the six months ended June 30, 2023</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(3,166 )</w:t>
            </w: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91,433 Common OP Units to Common Shares by limited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of the Operating Partnership</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(1,533 )</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(1,533 )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gain on valuation of swap</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realized interest expense on swap agreements</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(6,258 )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(6,357 )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City Point Loan</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Point Loan accrued interest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(4,665 )</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 contributions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(76,360 )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(76,360 )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Long-term Incentive Plan Unit Awards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Reallocation of noncontrolling interests </w:t>
            </w:r>
            <w:r>
              <w:rPr>
                <w:rFonts w:ascii="Times New Roman" w:cs="Times New Roman" w:eastAsia="Times New Roman" w:hAnsi="Times New Roman"/>
                <w:sz w:val="24"/>
                <w:szCs w:val="24"/>
                <w:color w:val="auto"/>
                <w:vertAlign w:val="superscript"/>
              </w:rPr>
              <w:t>(d)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57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103,813</w:t>
            </w:r>
          </w:p>
        </w:tc>
        <w:tc>
          <w:tcPr>
            <w:tcW w:w="280" w:type="dxa"/>
            <w:vAlign w:val="bottom"/>
            <w:tcBorders>
              <w:top w:val="single" w:sz="8" w:color="CFF0FC"/>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348,624</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452,437</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59,833</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-2630805</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-2613660</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-2630805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-2613660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-2630805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-2613660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both"/>
        <w:ind w:left="1020" w:hanging="503"/>
        <w:spacing w:after="0" w:line="227"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interests in the Operating Partnership are comprised of (i) the limited partners’ 2,065,537 and 2,864,074 Common OP Units as of June 30, 2024 and 2023, respectively; (ii) 188 Series A Preferred OP Units as of both June 30, 2024 and 2023; (iii) 84,785 and 126,384 Series C Preferred OP Units as of June 30, 2024 and 2023, respectively; and (iv) 4,690,993 and 4,298,378 LTIP units as of June 30, 2024 and 2023, respectively, as discussed in the Amended and Restated 2020 Plan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Distributions declared for Preferred OP Units are reflected in net income (loss) in the table above.</w:t>
      </w:r>
    </w:p>
    <w:p>
      <w:pPr>
        <w:ind w:left="1020" w:hanging="503"/>
        <w:spacing w:after="0" w:line="221"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interests in partially-owned affiliates comprise third-party interests in Funds II, III, IV and V, and seven other subsidiaries.</w:t>
      </w:r>
    </w:p>
    <w:p>
      <w:pPr>
        <w:ind w:left="1020" w:hanging="503"/>
        <w:spacing w:after="0" w:line="221"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Redeemable noncontrolling interests comprise third-party interests that have been granted put rights, as further described below.</w:t>
      </w:r>
    </w:p>
    <w:p>
      <w:pPr>
        <w:ind w:left="1020" w:hanging="503"/>
        <w:spacing w:after="0" w:line="227"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reflects the difference between the fair value of the consideration received or paid and the book value of the Common Shares, Common OP Units, Preferred OP Units, and LTIP Units involving changes in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4711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1170" cy="8890"/>
                    </a:xfrm>
                    <a:prstGeom prst="rect">
                      <a:avLst/>
                    </a:prstGeom>
                    <a:noFill/>
                  </pic:spPr>
                </pic:pic>
              </a:graphicData>
            </a:graphic>
          </wp:anchor>
        </w:drawing>
        <w:drawing>
          <wp:anchor simplePos="0" relativeHeight="251657728" behindDoc="1" locked="0" layoutInCell="0" allowOverlap="1">
            <wp:simplePos x="0" y="0"/>
            <wp:positionH relativeFrom="column">
              <wp:posOffset>6770370</wp:posOffset>
            </wp:positionH>
            <wp:positionV relativeFrom="paragraph">
              <wp:posOffset>-480060</wp:posOffset>
            </wp:positionV>
            <wp:extent cx="3086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Williamsburg Portfolio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Williamsburg Portfolio acquisition in February 2022, the venture partner has a one-time right to put its 50.01% interest in the property to the Company for redemption at fair value at a future date (“Williamsburg NCI”). As it was unlikely as of the acquisition date that the venture partner would receive any consideration on redemption due to the Company’s preferential returns, the initial fair value of the Williamsburg NCI was determined to be zero. As of June 30, 2024, the Company determined there was no change in the fair value of the Williamsburg NCI.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City Point Loan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Company provided a loan to other Fund II investors in City Point to fund the investors' pro rata contribution necessary to complete the refinancing of the City Point debt, of which $65.9 million was funded at closing ("City Point Loan"). The City Point Loan is collateralized by the investors' equity in City Point ("City Point NCI"). The City Point Loan, net of a $0.7 million allowance for credit loss as of June 30, 2024, is presented as a reduction of the City Point NCI balance. In connection with the City Point Loan, each partner has a one-time right to put its City Point NCI to the Company for redemption in exchange for the settlement of its proportion of the City Point Loan amount. As of June 30, 2024, the Company determined that the carrying value of the City Point NCI exceeded the maximum redemption value and no adjustment was required.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8833 Beverly Boulevard</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limited partnership agreement to own and operate the 8833 Beverly Boulevard property. Following the formation of the partnership, the Company retained a 97.0% controlling interest. At a future point in time, either party may elect a buy-out right, where either the Company may purchase the venture partner’s interest, or the venture partner may sell its 3.0% interest in the partnership (the "8833 Beverly NCI") to the Company for fair value. As a result of these redemption rights, the 8833 Beverly NCI was initially recorded at fair value. As of June 30, 2024, the redemption value of the 8833 Beverly NCI was $0.1 million. As of June 30, 2024, the Company determined that the carrying value exceeded the maximum redemption value and no adjustment was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OP Units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2016, the Operating Partnership issued 442,478 Common OP Units and 141,593 Series C Preferred OP Units to a third party to acquire Gotham Plaza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The Series C Preferred OP Units have a value of $100.00 per unit and are entitled to a preferred quarterly distribution of $0.9375 per unit and are convertible into Common OP Units at a rate based on the share price at the time of conversion. If the share price is below $28.80 on the conversion date, each Series C Preferred OP Unit will be convertible into 3.4722 Common OP Units. If the share price is between $28.80 and $35.20 on the conversion date, each Series C Preferred OP Unit will be convertible into a number of Common OP Units equal to $100.00 divided by the closing share price. If the share price is above $35.20 on the conversion date, each Series C Preferred OP Unit will be convertible into 2.8409 Common OP Units. The Series C Preferred OP Units have a mandatory conversion date of December 31, 2025, at which time all units that have not been converted will automatically be converted into Common OP Units based on the same calculations. Through June 30, 2024, 56,808 Series C Preferred OP Units were converted into 197,053 Common OP Units and then into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-991235</wp:posOffset>
            </wp:positionV>
            <wp:extent cx="3079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1999, the Operating Partnership issued 1,580 Series A Preferred OP Units in connection with the acquisition of a property, which have a stated value of $1,000 per unit, and are entitled to a preferred quarterly distribution of the greater of (i) $22.50 (9% annually) per Series A Preferred OP Unit or (ii) the quarterly distribution attributable to a Series A Preferred OP Unit if such unit was converted into a Common OP Unit. Through June 30, 2024, 1,392 Series A Preferred OP Units were converted into 185,600 Common OP Units and then into Common Shares. The 188 remaining Series A Preferred OP Units are currently convertible into Common OP Units based on the stated value divided by $7.50. Either the Company or the holders can currently call for the conversion of the Series A Preferred OP Units at the lesser of $7.50 or the market price of the Common Shares as of the conversion date.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approximately 1,200 leases in the leasing of shopping centers and other retail properties that are either owned or, with respect to certain shopping centers, leased under long-term ground leases (see below) that expire at various dates through December 31, 2121, with renewal options. Certain leases may allow for the tenants to terminate the leases before the expiration of the lease term. Space in the properties is leased to tenants pursuant to agreements that generally provide for terms ranging from one month to sixty years and for additional rents based on certain operating expenses as well as tenants’ sales volumes.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rental revenue are as follows (in thousands):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7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lease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137,984</w:t>
            </w:r>
          </w:p>
        </w:tc>
        <w:tc>
          <w:tcPr>
            <w:tcW w:w="100" w:type="dxa"/>
            <w:vAlign w:val="bottom"/>
          </w:tcPr>
          <w:p>
            <w:pPr>
              <w:spacing w:after="0"/>
              <w:rPr>
                <w:sz w:val="20"/>
                <w:szCs w:val="20"/>
                <w:color w:val="auto"/>
              </w:rPr>
            </w:pPr>
          </w:p>
        </w:tc>
      </w:tr>
      <w:tr>
        <w:trPr>
          <w:trHeight w:val="24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168,878</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-505460</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-505460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-505460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774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scheduled future minimum rental revenues from rental properties under the terms of non-cancelable tenant leases greater than one year (assuming no new or renegotiated leases or option extensions for such premises) as of June 30, 2024, are summarized as follows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Minimum Rental</w:t>
            </w:r>
          </w:p>
        </w:tc>
      </w:tr>
      <w:tr>
        <w:trPr>
          <w:trHeight w:val="272"/>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2"/>
          </w:tcPr>
          <w:p>
            <w:pPr>
              <w:jc w:val="center"/>
              <w:ind w:right="320"/>
              <w:spacing w:after="0" w:line="272" w:lineRule="exact"/>
              <w:rPr>
                <w:sz w:val="20"/>
                <w:szCs w:val="20"/>
                <w:color w:val="auto"/>
              </w:rPr>
            </w:pPr>
            <w:r>
              <w:rPr>
                <w:rFonts w:ascii="Times New Roman" w:cs="Times New Roman" w:eastAsia="Times New Roman" w:hAnsi="Times New Roman"/>
                <w:sz w:val="18"/>
                <w:szCs w:val="18"/>
                <w:b w:val="1"/>
                <w:bCs w:val="1"/>
                <w:color w:val="auto"/>
                <w:w w:val="95"/>
              </w:rPr>
              <w:t xml:space="preserve">Revenues </w:t>
            </w:r>
            <w:r>
              <w:rPr>
                <w:rFonts w:ascii="Times New Roman" w:cs="Times New Roman" w:eastAsia="Times New Roman" w:hAnsi="Times New Roman"/>
                <w:sz w:val="24"/>
                <w:szCs w:val="24"/>
                <w:b w:val="1"/>
                <w:bCs w:val="1"/>
                <w:color w:val="auto"/>
                <w:w w:val="95"/>
                <w:vertAlign w:val="superscript"/>
              </w:rPr>
              <w:t>(a)</w:t>
            </w:r>
          </w:p>
        </w:tc>
      </w:tr>
      <w:tr>
        <w:trPr>
          <w:trHeight w:val="232"/>
        </w:trPr>
        <w:tc>
          <w:tcPr>
            <w:tcW w:w="9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122,128</w:t>
            </w:r>
          </w:p>
        </w:tc>
        <w:tc>
          <w:tcPr>
            <w:tcW w:w="100" w:type="dxa"/>
            <w:vAlign w:val="bottom"/>
          </w:tcPr>
          <w:p>
            <w:pPr>
              <w:spacing w:after="0"/>
              <w:rPr>
                <w:sz w:val="20"/>
                <w:szCs w:val="20"/>
                <w:color w:val="auto"/>
              </w:rPr>
            </w:pPr>
          </w:p>
        </w:tc>
      </w:tr>
      <w:tr>
        <w:trPr>
          <w:trHeight w:val="247"/>
        </w:trPr>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247,728</w:t>
            </w:r>
          </w:p>
        </w:tc>
        <w:tc>
          <w:tcPr>
            <w:tcW w:w="100" w:type="dxa"/>
            <w:vAlign w:val="bottom"/>
            <w:shd w:val="clear" w:color="auto" w:fill="CFF0FC"/>
          </w:tcPr>
          <w:p>
            <w:pPr>
              <w:spacing w:after="0"/>
              <w:rPr>
                <w:sz w:val="21"/>
                <w:szCs w:val="2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225,695</w:t>
            </w:r>
          </w:p>
        </w:tc>
        <w:tc>
          <w:tcPr>
            <w:tcW w:w="100" w:type="dxa"/>
            <w:vAlign w:val="bottom"/>
          </w:tcPr>
          <w:p>
            <w:pPr>
              <w:spacing w:after="0"/>
              <w:rPr>
                <w:sz w:val="20"/>
                <w:szCs w:val="20"/>
                <w:color w:val="auto"/>
              </w:rPr>
            </w:pPr>
          </w:p>
        </w:tc>
      </w:tr>
      <w:tr>
        <w:trPr>
          <w:trHeight w:val="247"/>
        </w:trPr>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201,243</w:t>
            </w:r>
          </w:p>
        </w:tc>
        <w:tc>
          <w:tcPr>
            <w:tcW w:w="100" w:type="dxa"/>
            <w:vAlign w:val="bottom"/>
            <w:shd w:val="clear" w:color="auto" w:fill="CFF0FC"/>
          </w:tcPr>
          <w:p>
            <w:pPr>
              <w:spacing w:after="0"/>
              <w:rPr>
                <w:sz w:val="21"/>
                <w:szCs w:val="2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171,544</w:t>
            </w:r>
          </w:p>
        </w:tc>
        <w:tc>
          <w:tcPr>
            <w:tcW w:w="100" w:type="dxa"/>
            <w:vAlign w:val="bottom"/>
          </w:tcPr>
          <w:p>
            <w:pPr>
              <w:spacing w:after="0"/>
              <w:rPr>
                <w:sz w:val="20"/>
                <w:szCs w:val="20"/>
                <w:color w:val="auto"/>
              </w:rPr>
            </w:pPr>
          </w:p>
        </w:tc>
      </w:tr>
      <w:tr>
        <w:trPr>
          <w:trHeight w:val="243"/>
        </w:trPr>
        <w:tc>
          <w:tcPr>
            <w:tcW w:w="9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1,639,158</w:t>
            </w:r>
          </w:p>
        </w:tc>
        <w:tc>
          <w:tcPr>
            <w:tcW w:w="100" w:type="dxa"/>
            <w:vAlign w:val="bottom"/>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760" w:type="dxa"/>
            <w:vAlign w:val="bottom"/>
            <w:tcBorders>
              <w:bottom w:val="single" w:sz="8" w:color="auto"/>
            </w:tcBorders>
          </w:tcPr>
          <w:p>
            <w:pPr>
              <w:spacing w:after="0"/>
              <w:rPr>
                <w:sz w:val="10"/>
                <w:szCs w:val="10"/>
                <w:color w:val="auto"/>
              </w:rPr>
            </w:pPr>
          </w:p>
        </w:tc>
        <w:tc>
          <w:tcPr>
            <w:tcW w:w="8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contractual lease maturities as of June 30, 2024 including any extension options that management determined were reasonably certain of exercise.</w:t>
      </w:r>
    </w:p>
    <w:p>
      <w:pPr>
        <w:spacing w:after="0" w:line="2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no single tenant or property collectively comprised more than 10% of the Company’s consolidated total revenues.</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properties in its portfolio that are currently owned by third parties. We also lease real estate for equipment and office space. We lease these properties pursuant to ground leases that provide us the right to operate each such property, and generally provide terms ranging from five months to 98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Minimum Rental Payments</w:t>
            </w: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30"/>
              <w:spacing w:after="0" w:line="187" w:lineRule="exact"/>
              <w:rPr>
                <w:sz w:val="20"/>
                <w:szCs w:val="20"/>
                <w:color w:val="auto"/>
              </w:rPr>
            </w:pPr>
            <w:r>
              <w:rPr>
                <w:rFonts w:ascii="Times New Roman" w:cs="Times New Roman" w:eastAsia="Times New Roman" w:hAnsi="Times New Roman"/>
                <w:sz w:val="18"/>
                <w:szCs w:val="18"/>
                <w:b w:val="1"/>
                <w:bCs w:val="1"/>
                <w:color w:val="auto"/>
              </w:rPr>
              <w:t>Finance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7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gridSpan w:val="2"/>
            <w:vMerge w:val="restart"/>
          </w:tcPr>
          <w:p>
            <w:pPr>
              <w:jc w:val="right"/>
              <w:ind w:right="56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24"/>
                <w:szCs w:val="24"/>
                <w:b w:val="1"/>
                <w:bCs w:val="1"/>
                <w:color w:val="auto"/>
                <w:vertAlign w:val="superscript"/>
              </w:rPr>
              <w:t>(a)</w:t>
            </w:r>
          </w:p>
        </w:tc>
        <w:tc>
          <w:tcPr>
            <w:tcW w:w="0" w:type="dxa"/>
            <w:vAlign w:val="bottom"/>
          </w:tcPr>
          <w:p>
            <w:pPr>
              <w:spacing w:after="0"/>
              <w:rPr>
                <w:sz w:val="1"/>
                <w:szCs w:val="1"/>
                <w:color w:val="auto"/>
              </w:rPr>
            </w:pPr>
          </w:p>
        </w:tc>
      </w:tr>
      <w:tr>
        <w:trPr>
          <w:trHeight w:val="203"/>
        </w:trPr>
        <w:tc>
          <w:tcPr>
            <w:tcW w:w="78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(a)</w:t>
            </w:r>
          </w:p>
        </w:tc>
        <w:tc>
          <w:tcPr>
            <w:tcW w:w="2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3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(8,061 )</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(129,788 )</w:t>
            </w:r>
          </w:p>
        </w:tc>
        <w:tc>
          <w:tcPr>
            <w:tcW w:w="0" w:type="dxa"/>
            <w:vAlign w:val="bottom"/>
          </w:tcPr>
          <w:p>
            <w:pPr>
              <w:spacing w:after="0"/>
              <w:rPr>
                <w:sz w:val="1"/>
                <w:szCs w:val="1"/>
                <w:color w:val="auto"/>
              </w:rPr>
            </w:pPr>
          </w:p>
        </w:tc>
      </w:tr>
      <w:tr>
        <w:trPr>
          <w:trHeight w:val="237"/>
        </w:trPr>
        <w:tc>
          <w:tcPr>
            <w:tcW w:w="784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3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tcBorders>
              <w:bottom w:val="single" w:sz="8" w:color="auto"/>
            </w:tcBorders>
          </w:tcPr>
          <w:p>
            <w:pPr>
              <w:spacing w:after="0"/>
              <w:rPr>
                <w:sz w:val="10"/>
                <w:szCs w:val="10"/>
                <w:color w:val="auto"/>
              </w:rPr>
            </w:pPr>
          </w:p>
        </w:tc>
        <w:tc>
          <w:tcPr>
            <w:tcW w:w="6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-599440</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-282575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1020" w:right="100" w:hanging="503"/>
        <w:spacing w:after="0" w:line="261"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rental payments include $8.1 million of interest related to operating leases and $129.8 million related to finance leases and exclude options or renewals not reasonably certain of exercise.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leases as lessee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27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5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1,303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2,238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5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-1576705</wp:posOffset>
            </wp:positionV>
            <wp:extent cx="774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-1576705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-1576705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-942340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-925195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-1105535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-942340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-925195</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-1105535</wp:posOffset>
            </wp:positionV>
            <wp:extent cx="77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-942340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-925195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-1105535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Core Portfolio, Investment Management, and Structured Financing. The Company’s Core Portfolio segment consists primarily of high-quality retail properties located primarily in high-barrier-to-entry, densely-populated metropolitan areas with a long-term investment horizon. The Company’s Investment Management segment holds primarily retail real estate in which the Company co-invests with high-quality institutional investors. The Company’s Structured Financing segment consists of earnings and expenses related to notes and mortgages receivable which are held within the Core Portfolio or Investment Management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Fees earned by the Company as the general partner or managing member of the Funds are eliminated in the Company’s condensed consolidated financial statements and are not presented in the Company’s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-168910</wp:posOffset>
            </wp:positionV>
            <wp:extent cx="3162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spacing w:after="0" w:line="16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renamed its historical Funds segment as the Investment Management segment. No prior period information was recast and the designation change did not impact the Company’s condensed consolidated financial statements. Refer to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-24765</wp:posOffset>
            </wp:positionV>
            <wp:extent cx="3079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certain segment information for the Company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9"/>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 30, 2024</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87,254</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(17,966 )</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(16,315 )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(34,281 )</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(10,179 )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(10,179 )</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 other operating and real estate taxes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(14,379 )</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(11,383 )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(25,762 )</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disposition of properties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(2,213 )</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FF0FC"/>
          </w:tcPr>
          <w:p>
            <w:pPr>
              <w:spacing w:after="0"/>
              <w:rPr>
                <w:sz w:val="21"/>
                <w:szCs w:val="2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(10,179 )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0"/>
                <w:szCs w:val="20"/>
                <w:color w:val="auto"/>
              </w:rPr>
            </w:pPr>
          </w:p>
        </w:tc>
      </w:tr>
      <w:tr>
        <w:trPr>
          <w:trHeight w:val="21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and unrealized holding (losses) gains on investments and</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(2,155 )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(2,364 )</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(9,940 )</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(13,641 )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(23,581 )</w:t>
            </w:r>
          </w:p>
        </w:tc>
      </w:tr>
      <w:tr>
        <w:trPr>
          <w:trHeight w:val="20"/>
        </w:trPr>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(10,179 )</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(155 )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0"/>
        </w:trPr>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(10,334 )</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(2,237 )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(2,431 )</w:t>
            </w: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(10,334 )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(20,035 )</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(14,021 )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(34,056 )</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(10,643 )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(10,643 )</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 other operating and real estate taxes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(15,055 )</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(10,536 )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(25,591 )</w:t>
            </w:r>
          </w:p>
        </w:tc>
      </w:tr>
      <w:tr>
        <w:trPr>
          <w:trHeight w:val="241"/>
        </w:trPr>
        <w:tc>
          <w:tcPr>
            <w:tcW w:w="5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2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(1,437 )</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holding gains (losses) on investments and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0"/>
                <w:szCs w:val="20"/>
                <w:color w:val="auto"/>
              </w:rPr>
            </w:pPr>
          </w:p>
        </w:tc>
      </w:tr>
      <w:tr>
        <w:trPr>
          <w:trHeight w:val="24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(10,990 )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(11,099 )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(22,089 )</w:t>
            </w: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(4,445 )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(10,643 )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(165 )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(4,445 )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(10,808 )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(735 )</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 shareholders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(10,808 )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shd w:val="clear" w:color="auto" w:fill="CFF0FC"/>
          </w:tcPr>
          <w:p>
            <w:pPr>
              <w:spacing w:after="0"/>
              <w:rPr>
                <w:sz w:val="24"/>
                <w:szCs w:val="24"/>
                <w:color w:val="auto"/>
              </w:rPr>
            </w:pPr>
          </w:p>
        </w:tc>
      </w:tr>
      <w:tr>
        <w:trPr>
          <w:trHeight w:val="417"/>
        </w:trPr>
        <w:tc>
          <w:tcPr>
            <w:tcW w:w="5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5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-5905500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-5905500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-5905500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-5905500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-4199890</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-4199890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-4199890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-4199890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-2656840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-2656840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-2656840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-2656840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-1739265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-1739265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-1739265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-1739265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-1422400</wp:posOffset>
            </wp:positionV>
            <wp:extent cx="768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-1422400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-1422400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-1422400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-788035</wp:posOffset>
            </wp:positionV>
            <wp:extent cx="768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-770890</wp:posOffset>
            </wp:positionV>
            <wp:extent cx="768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-788035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-770890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-788035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-770890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-788035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-770890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10"/>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or for the Six Months Ended June 30, 2024</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178,610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(36,232 )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(32,989 )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(69,221 )</w:t>
            </w: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(19,947 )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(19,947 )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operating expenses, other operating and real estate taxes</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(32,298 )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(24,906 )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(57,204 )</w:t>
            </w:r>
          </w:p>
        </w:tc>
      </w:tr>
      <w:tr>
        <w:trPr>
          <w:trHeight w:val="243"/>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on disposition of properties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(441 )</w:t>
            </w:r>
          </w:p>
        </w:tc>
      </w:tr>
      <w:tr>
        <w:trPr>
          <w:trHeight w:val="20"/>
        </w:trPr>
        <w:tc>
          <w:tcPr>
            <w:tcW w:w="760" w:type="dxa"/>
            <w:vAlign w:val="bottom"/>
            <w:shd w:val="clear" w:color="auto" w:fill="CFF0FC"/>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(19,947 )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100" w:type="dxa"/>
            <w:vAlign w:val="bottom"/>
          </w:tcPr>
          <w:p>
            <w:pPr>
              <w:spacing w:after="0"/>
              <w:rPr>
                <w:sz w:val="20"/>
                <w:szCs w:val="20"/>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tcPr>
          <w:p>
            <w:pPr>
              <w:spacing w:after="0"/>
              <w:rPr>
                <w:sz w:val="20"/>
                <w:szCs w:val="20"/>
                <w:color w:val="auto"/>
              </w:rPr>
            </w:pPr>
          </w:p>
        </w:tc>
      </w:tr>
      <w:tr>
        <w:trPr>
          <w:trHeight w:val="215"/>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and unrealized holding (losses) gains on investments and</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(397 )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(4,415 )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(19,977 )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(27,313 )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(47,290 )</w:t>
            </w: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(5,838 )</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(19,947 )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(5,089 )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(5,838 )</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(20,133 )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(5,275 )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20"/>
                <w:szCs w:val="20"/>
                <w:color w:val="auto"/>
              </w:rPr>
            </w:pPr>
          </w:p>
        </w:tc>
      </w:tr>
      <w:tr>
        <w:trPr>
          <w:trHeight w:val="243"/>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FF0FC"/>
          </w:tcPr>
          <w:p>
            <w:pPr>
              <w:spacing w:after="0"/>
              <w:rPr>
                <w:sz w:val="21"/>
                <w:szCs w:val="21"/>
                <w:color w:val="auto"/>
              </w:rPr>
            </w:pPr>
          </w:p>
        </w:tc>
      </w:tr>
      <w:tr>
        <w:trPr>
          <w:trHeight w:val="20"/>
        </w:trPr>
        <w:tc>
          <w:tcPr>
            <w:tcW w:w="760" w:type="dxa"/>
            <w:vAlign w:val="bottom"/>
            <w:shd w:val="clear" w:color="auto" w:fill="CFF0FC"/>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(20,133 )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0" w:type="dxa"/>
            <w:vAlign w:val="bottom"/>
            <w:shd w:val="clear" w:color="auto" w:fill="CFF0FC"/>
          </w:tcPr>
          <w:p>
            <w:pPr>
              <w:spacing w:after="0"/>
              <w:rPr>
                <w:sz w:val="19"/>
                <w:szCs w:val="19"/>
                <w:color w:val="auto"/>
              </w:rPr>
            </w:pPr>
          </w:p>
        </w:tc>
        <w:tc>
          <w:tcPr>
            <w:tcW w:w="4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Real estate at cost </w:t>
            </w:r>
            <w:r>
              <w:rPr>
                <w:rFonts w:ascii="Times New Roman" w:cs="Times New Roman" w:eastAsia="Times New Roman" w:hAnsi="Times New Roman"/>
                <w:sz w:val="24"/>
                <w:szCs w:val="24"/>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2,616,224</w:t>
            </w:r>
          </w:p>
        </w:tc>
        <w:tc>
          <w:tcPr>
            <w:tcW w:w="80" w:type="dxa"/>
            <w:vAlign w:val="bottom"/>
          </w:tcPr>
          <w:p>
            <w:pPr>
              <w:spacing w:after="0"/>
              <w:rPr>
                <w:sz w:val="21"/>
                <w:szCs w:val="21"/>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1,804,484</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4,420,708</w:t>
            </w:r>
          </w:p>
        </w:tc>
        <w:tc>
          <w:tcPr>
            <w:tcW w:w="1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60" w:type="dxa"/>
            <w:vAlign w:val="bottom"/>
            <w:tcBorders>
              <w:bottom w:val="single" w:sz="8" w:color="CFF0FC"/>
            </w:tcBorders>
            <w:gridSpan w:val="2"/>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4"/>
                <w:szCs w:val="24"/>
                <w:color w:val="auto"/>
                <w:vertAlign w:val="superscript"/>
              </w:rPr>
              <w:t>(a)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2,543,067</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1,581,318</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4,251,038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development and property improvement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0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0"/>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or for the Six Months Ended June 30,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w:t>
            </w: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2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18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2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171,787</w:t>
            </w:r>
          </w:p>
        </w:tc>
        <w:tc>
          <w:tcPr>
            <w:tcW w:w="100" w:type="dxa"/>
            <w:vAlign w:val="bottom"/>
          </w:tcPr>
          <w:p>
            <w:pPr>
              <w:spacing w:after="0"/>
              <w:rPr>
                <w:sz w:val="20"/>
                <w:szCs w:val="20"/>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(38,694 )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(28,535 )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(67,229 )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(20,589 )</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(20,589 )</w:t>
            </w: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operating expenses, other operating and real estate taxes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(31,164 )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(21,039 )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(52,203 )</w:t>
            </w:r>
          </w:p>
        </w:tc>
      </w:tr>
      <w:tr>
        <w:trPr>
          <w:trHeight w:val="23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tcPr>
          <w:p>
            <w:pPr>
              <w:spacing w:after="0"/>
              <w:rPr>
                <w:sz w:val="20"/>
                <w:szCs w:val="20"/>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(4,131 )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(1,408 )</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20"/>
                <w:szCs w:val="20"/>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and unrealized holding gains on investments and other</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(21,660 )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(22,016 )</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(43,676 )</w:t>
            </w: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(20,589 )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25,042</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(288 )</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(20,877 )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20"/>
                <w:szCs w:val="20"/>
                <w:color w:val="auto"/>
              </w:rPr>
            </w:pPr>
          </w:p>
        </w:tc>
      </w:tr>
      <w:tr>
        <w:trPr>
          <w:trHeight w:val="243"/>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(3,647 )</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(5,284 )</w:t>
            </w:r>
          </w:p>
        </w:tc>
      </w:tr>
      <w:tr>
        <w:trPr>
          <w:trHeight w:val="20"/>
        </w:trPr>
        <w:tc>
          <w:tcPr>
            <w:tcW w:w="760" w:type="dxa"/>
            <w:vAlign w:val="bottom"/>
            <w:shd w:val="clear" w:color="auto" w:fill="CFF0FC"/>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(20,877 )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0" w:type="dxa"/>
            <w:vAlign w:val="bottom"/>
            <w:shd w:val="clear" w:color="auto" w:fill="CFF0FC"/>
          </w:tcPr>
          <w:p>
            <w:pPr>
              <w:spacing w:after="0"/>
              <w:rPr>
                <w:sz w:val="19"/>
                <w:szCs w:val="19"/>
                <w:color w:val="auto"/>
              </w:rPr>
            </w:pPr>
          </w:p>
        </w:tc>
        <w:tc>
          <w:tcPr>
            <w:tcW w:w="4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Real estate at cost </w:t>
            </w:r>
            <w:r>
              <w:rPr>
                <w:rFonts w:ascii="Times New Roman" w:cs="Times New Roman" w:eastAsia="Times New Roman" w:hAnsi="Times New Roman"/>
                <w:sz w:val="24"/>
                <w:szCs w:val="24"/>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2,613,206</w:t>
            </w:r>
          </w:p>
        </w:tc>
        <w:tc>
          <w:tcPr>
            <w:tcW w:w="80" w:type="dxa"/>
            <w:vAlign w:val="bottom"/>
          </w:tcPr>
          <w:p>
            <w:pPr>
              <w:spacing w:after="0"/>
              <w:rPr>
                <w:sz w:val="21"/>
                <w:szCs w:val="21"/>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1,669,773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4,282,979</w:t>
            </w:r>
          </w:p>
        </w:tc>
        <w:tc>
          <w:tcPr>
            <w:tcW w:w="1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160" w:type="dxa"/>
            <w:vAlign w:val="bottom"/>
            <w:tcBorders>
              <w:bottom w:val="single" w:sz="8" w:color="CFF0FC"/>
            </w:tcBorders>
            <w:gridSpan w:val="2"/>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4"/>
                <w:szCs w:val="24"/>
                <w:color w:val="auto"/>
                <w:vertAlign w:val="superscript"/>
              </w:rPr>
              <w:t>(a)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2,580,565</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1,499,692</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4,204,159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development and property improvement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w:t>
            </w:r>
          </w:p>
        </w:tc>
        <w:tc>
          <w:tcPr>
            <w:tcW w:w="8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10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
        </w:trPr>
        <w:tc>
          <w:tcPr>
            <w:tcW w:w="760" w:type="dxa"/>
            <w:vAlign w:val="bottom"/>
            <w:tcBorders>
              <w:bottom w:val="single" w:sz="8" w:color="auto"/>
            </w:tcBorders>
          </w:tcPr>
          <w:p>
            <w:pPr>
              <w:spacing w:after="0"/>
              <w:rPr>
                <w:sz w:val="3"/>
                <w:szCs w:val="3"/>
                <w:color w:val="auto"/>
              </w:rPr>
            </w:pPr>
          </w:p>
        </w:tc>
        <w:tc>
          <w:tcPr>
            <w:tcW w:w="4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-6488430</wp:posOffset>
            </wp:positionV>
            <wp:extent cx="768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-6488430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-6488430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-6488430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-6488430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-4782820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-4782820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-4782820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-4782820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-4105275</wp:posOffset>
            </wp:positionV>
            <wp:extent cx="768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-4088130</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-4105275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-4088130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-4105275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-4088130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-4105275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-4088130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-925195</wp:posOffset>
            </wp:positionV>
            <wp:extent cx="768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-925195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-925195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-925195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-247650</wp:posOffset>
            </wp:positionV>
            <wp:extent cx="768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-230505</wp:posOffset>
            </wp:positionV>
            <wp:extent cx="768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-230505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-230505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-230505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for the Investment Management segment include $549.3 million and $672.7 million related to Fund II’s City Point property as of June 30, 2024 and 2023,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Incentive and Other Compensation</w:t>
      </w:r>
    </w:p>
    <w:p>
      <w:pPr>
        <w:sectPr>
          <w:pgSz w:w="11900" w:h="16838" w:orient="portrait"/>
          <w:cols w:equalWidth="0" w:num="1">
            <w:col w:w="11240"/>
          </w:cols>
          <w:pgMar w:left="320" w:top="765" w:right="339" w:bottom="109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09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and May of 2020, respectively, the Board and the Company’s shareholders, approved the 2020 Share Incentive Plan (the “2020 Plan”), which increased the number of Common Shares authorized for issuance by 2,650,000 shares to an aggregate of 2,829,953 shares. On March 22, 2023 and May 4, 2023, respectively, the Board and the Company’s shareholders approved the Amended and Restated 2020 Share Incentive Plan (the "Amended and Restated 2020 Plan") which further increased the number of Common Shares authorized for issuance by 3,100,000 to an aggregate of 3,883,564 shares. In this report, references to issuances, compensation arrangements and expenses under the Amended and Restated 2020 Plan include issuances, compensation arrangements and expenses under the originally adopted 2020 Plan, as applicable. The 2020 Plan and the Amended and Restated 2020 Plan authorize the Company to issue options, Restricted Shares, LTIP Units and other securities (collectively “Awards”) to, among others, the Company’s officers, trustees, and employees. As of June 30, 2024 a total of 3,048,027 shares remained available to be issued under the Amended and Restated 2020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unvested Restricted Shares and LTIP Units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Restricted Shares and LTIP Units</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LTIP Units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December 31, 2022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92,735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1,465,398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70,629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780,193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(41,268 )</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(354,343 )</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(8,187 )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(92,589 )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0"/>
                <w:szCs w:val="20"/>
                <w:color w:val="auto"/>
              </w:rPr>
            </w:pPr>
          </w:p>
        </w:tc>
      </w:tr>
      <w:tr>
        <w:trPr>
          <w:trHeight w:val="24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December 31, 2023</w:t>
            </w: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113,909</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2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1,798,659</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766,508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(55,947 )</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(373,844 )</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(62,502 )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0"/>
                <w:szCs w:val="20"/>
                <w:color w:val="auto"/>
              </w:rPr>
            </w:pPr>
          </w:p>
        </w:tc>
      </w:tr>
      <w:tr>
        <w:trPr>
          <w:trHeight w:val="278"/>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June 30, 2024</w:t>
            </w: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107,416</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2,128,821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weighted-average grant date fair value for Restricted Shares and LTIP Units granted for the six months ended June 30, 2024 and the year ended December 31, 2023 were $16.24 and $14.93, respectively. As of June 30, 2024, there was $22.7 million of total unrecognized compensation cost related to unvested share-based compensation arrangements granted under the Amended and Restated 2020 Plan. That cost is expected to be recognized over a weighted-average period of 1.6 years. The total fair value of Restricted Shares that vested during the six months ended June 30, 2024 and the year ended December 31, 2023, was $1.0 million and $0.8 million, respectively. The total fair value of LTIP Units that vested (LTIP units vest primarily during the first quarter) during the six months ended June 30, 2024 and the year ended December 31, 2023, was $7.2 million and $7.2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 and LTIP Units - Employees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727,429 LTIP Units and 26,308 restricted share units (“Restricted Share Units”), to employees of the Company pursuant to the Amended and Restated 2020 Plan. These awards were measured at their fair value on the grant date, incorporating the following factors:</w:t>
      </w:r>
    </w:p>
    <w:p>
      <w:pPr>
        <w:spacing w:after="0" w:line="68" w:lineRule="exact"/>
        <w:rPr>
          <w:sz w:val="20"/>
          <w:szCs w:val="20"/>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these annual equity awards is granted in performance-based Restricted Share Units or LTIP Units that may be earned based on the Company’s attainment of specified relative total shareholder returns (“Relative TSR”) hurdles or specified same-property net operating income growth ("Absolute SSNOI Growth").</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Relative TSR percentile falls between the 25th percentile and the 50th percentile, the Relative TSR vesting percentage is determined using a straight-line linear interpolation between 50% and 100% and in the event that the Relative TSR percentile falls between the 50th percentile and 75th percentile, the Relative TSR vesting percentage is determined using a straight-line linear interpolation between 100% and 200%.</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performance-based LTIP Units will vest based on the Company’s total shareholder return (“TSR”) for the three-year forward-looking performance period relative to the constituents of the National Association of Real Estate Investment Trusts (“NAREIT”) Shopping Center Property Subsector and twenty five percent (25%) on the Company’s TSR for the three-year forward-looking performance period as compared to the constituents of the NAREIT Retail Property Sector (both on a non-weighted basis).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performance-based LTIP Units will vest based on the Company's same-property net operating income ("SSNOI") growth for the three-year forward-looking performance period. If the Company achieves annualized SSNOI growth between 2% and</w:t>
      </w:r>
    </w:p>
    <w:p>
      <w:pPr>
        <w:ind w:left="760"/>
        <w:spacing w:after="0"/>
        <w:rPr>
          <w:sz w:val="20"/>
          <w:szCs w:val="20"/>
          <w:color w:val="auto"/>
        </w:rPr>
      </w:pPr>
      <w:r>
        <w:rPr>
          <w:rFonts w:ascii="Times New Roman" w:cs="Times New Roman" w:eastAsia="Times New Roman" w:hAnsi="Times New Roman"/>
          <w:sz w:val="18"/>
          <w:szCs w:val="18"/>
          <w:color w:val="auto"/>
        </w:rPr>
        <w:t>3%, the Absolute SSNOI Growth vesting percentage is determined using a straight-line linear interpolation between 50% and</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100% and in the event that the Company achieves annualized SSNOI growth between 3% and 4%, the Absolute SSNOI Growth vesting percentage is determined using a straight-line linear interpolation between 100% and 200%.</w:t>
      </w:r>
    </w:p>
    <w:p>
      <w:pPr>
        <w:spacing w:after="0" w:line="121"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performance fails to achieve the aforementioned hurdles at the culmination of the three-year performance period, all performance-based shares will be forfeited. Any earned performance-based shares vest in accordance with the applicable award agreements.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valuation of the 2024 and 2023 Performance Shares, a Monte Carlo simulation was used to estimate the fair values of the Relative TSR portion based on probability of satisfying the market conditions and the projected share prices at the time of payments, discounted to the valuation dates over the three-year performance periods. The assumptions include volatility (43.0% and 48.0%) and risk-free interest rates of (4.8% and 4.3%) for 2024 and 2023, respectively. The total fair value of the 2024 and 2023 Performance Shares will be expensed over the vesting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the above Restricted Share Units and LTIP Units as of the grant date was $12.1 million for the six months ended June 30, 2024 and $11.5 million for the year ended December 31, 2023. Total long-term incentive compensation expense, including the expense related to the Amended and Restated 2020 Plan, was $2.4 million and $2.8 million for the three months ended June 30, 2024, and 2023, respectively, and $4.5 million and $5.7 million for the six months ended June 30, 2024 and 2023, respectively, and is recorded in General and administrative in the Condensed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 and LTIP Units - Board of Trustees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members of the Board have been issued shares and units under the Amended and Restated 2020 Plan. During the six months ended June 30, 2024, the Company issued 39,079 LTIP Units and 23,448 Restricted Share Units to Trustees of the Company. The Restricted Share Units do not carry voting rights or other rights of Common Shares until vesting and may not be transferred, assigned or pledged until the recipients have a vested non-forfeitable right to such shares. Dividends are not paid currently on unvested Restricted Shares but are paid cumulatively from the issuance date through the applicable vesting date of such Restricted Shares. Total trustee fee expense, including the expense related to the Amended and Restated 2020 Plan, was $0.5 million and $0.5 million for the three months ended June 30, 2024 and 2023, respectively, and $0.8 million and $1.1 million for the six months ended June 30, 2024 and 2023, respectively, and is recorded in General and administrative in the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Investment Alignment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2009, the Company adopted the Long-Term Investment Alignment Program (the “Program”) pursuant to which the Company may grant awards to employees, entitling them to receive up to 25% of any potential future payments of Promote to the Operating Partnership from Funds III, IV and V. The Company has granted such awards to employees representing 25% of the potential Promote payments from Fund III to the Operating Partnership, 23.1% of the potential Promote payments from Fund IV to the Operating Partnership and 21.3% of the potential Promote payments from Fund V to the Operating Partnership. Payments to senior executives under the Program require further Board approval at the time any potential payments are due pursuant to these grants. Compensation relating to these awards will be recognized in each reporting period in which Board approval is granted.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payments to other employees are not subject to further Board approval, compensation relating to these awards will be recorded based on the estimated fair value as of each reporting period in accordance with ASC Topic 718, </w:t>
      </w:r>
      <w:r>
        <w:rPr>
          <w:rFonts w:ascii="Times New Roman" w:cs="Times New Roman" w:eastAsia="Times New Roman" w:hAnsi="Times New Roman"/>
          <w:sz w:val="18"/>
          <w:szCs w:val="18"/>
          <w:i w:val="1"/>
          <w:iCs w:val="1"/>
          <w:color w:val="auto"/>
        </w:rPr>
        <w:t>Compensation– Stock Compensation.</w:t>
      </w:r>
      <w:r>
        <w:rPr>
          <w:rFonts w:ascii="Times New Roman" w:cs="Times New Roman" w:eastAsia="Times New Roman" w:hAnsi="Times New Roman"/>
          <w:sz w:val="18"/>
          <w:szCs w:val="18"/>
          <w:color w:val="auto"/>
        </w:rPr>
        <w:t xml:space="preserve"> The awards in connection with Fund IV were determined to have no intrinsic value as of June 30, 2024 or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the Company did not recognize any compensation expense under the Program related to Funds III and V. For the six months ended June 30, 2023, the Company recognized $0.2 million of compensation expense under the Program related to Funds III and V.</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 combined basis, the Company incurred a total of $0.3 million of compensation expense related to the following employee benefit plans for each of the six months ended June 30,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Acadia Realty Trust Employee Share Purchase Plan (the “Purchase Plan”) allows eligible employees of the Company to purchase Common Shares through payroll deductions for a maximum aggregate issuance of 200,000 Common Shares. The Purchase Plan provides for employees to purchase Common Shares on a quarterly basis at a 15% discount to the closing price of the Company’s Common Shares on either the first day or the last day of the quarter, whichever is lower. A participant may not purchase more than $25,000 in Common Shares per year. Compensation expense will be recognized by the Company to the extent of the above discount to the closing price of the Common Shares with respect to the applicable quarter. A total of 7,811 and 8,114 Common Shares were purchased by employees under the Purchase Plan for the six months ended June 30, 2024 and 2023, respectively, and 167,655 shares remained available to be issued under the Purchase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Share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Trustee Deferral and Distribution Election program, under which the participating Trustees earn deferred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401(k) Plan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maintains a 401(k) plan for employees under which the Company currently matches 50% of a plan participant’s contribution up to 6% of the employee’s annual salary. A plan participant may contribute up to a maximum of 15% of their compensation, up to $23,000, for the year ending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Common Shareholders by the weighted-average Common Shares outstanding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During the periods presented, the Company had unvested LTIP Units which provide for non-forfeitable rights to dividend equivalent payments. Accordingly, these unvested LTIP Units are considered participating securities and are included in the computation of basic earnings per Common Share pursuant to the two-class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-311150</wp:posOffset>
            </wp:positionV>
            <wp:extent cx="3651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Common Share reflects the potential dilution of the conversion of obligations and the assumed exercises of securities including the effects of Restricted Share Units issued under the Company’s Amended and Restated 2020 Plan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The effect of such shares is excluded from the calculation of earnings per share when anti-dilutive as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-175895</wp:posOffset>
            </wp:positionV>
            <wp:extent cx="3651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the conversion of Common OP Units is not reflected in the computation of basic and diluted earnings per share, as they are exchangeable for Common Shares on a one-for-one basis. The income allocable to such units is allocated on this same basis and reflected as noncontrolling interests in the accompanying condensed consolidated financial statements. As such, the assumed conversion of these units would have no net impact on the determination of diluted earnings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1"/>
                <w:szCs w:val="21"/>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earnings attributable to unvested participating securities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(290 )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income attributable to participating</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for basic earnings per share</w:t>
            </w:r>
          </w:p>
        </w:tc>
        <w:tc>
          <w:tcPr>
            <w:tcW w:w="1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earnings per share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103,592,238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95,259,924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102,859,977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95,224,901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Preferred OP Units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unvested restricted shares</w:t>
            </w: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earnings per share</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103,592,238</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95,259,924</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102,859,977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95,224,901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from continuing operations attributable to</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Acadia</w:t>
            </w: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Diluted earnings per Common Share from continuing operations attributable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Acadia</w:t>
            </w:r>
          </w:p>
        </w:tc>
        <w:tc>
          <w:tcPr>
            <w:tcW w:w="1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Shares Excluded from Denominator:</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Preferred OP Units</w:t>
            </w:r>
          </w:p>
        </w:tc>
        <w:tc>
          <w:tcPr>
            <w:tcW w:w="1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OP Units - Common share equivalent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 Preferred OP Units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C Preferred OP Units - Common share equivalent</w:t>
            </w: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294,390</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438,831</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-4379595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-4379595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-4379595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-2990850</wp:posOffset>
            </wp:positionV>
            <wp:extent cx="774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-2973705</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-3154045</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-2990850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-2973705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-3154045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-2990850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-2973705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-3154045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-2545080</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-2527935</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-2545080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-2527935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-2545080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-2527935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-1765300</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-1748155</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-1765300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-1748155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-1765300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-1748155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7747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774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-1071245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Variable Interest Entities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GAAP consolidation guidance, the Company consolidates certain VIEs for which the Company is the primary beneficiary. As of June 30, 2024 and December 31, 2023, the Company has identified seven consolidated VIEs, including the Operating Partnership and the Funds. Excluding the Operating Partnership and the Funds, the VIEs consisted of three in-service core properties: the Williamsburg Portfolio, 239 Greenwich Avenue, and 8833 Beverly Boulevard. The Operating Partnership is considered a VIE in which the Company is the primary beneficiary because the limited partners do not have substantive kick-out or participating rights. The Company consolidates these VIEs because it is the primary beneficiary in which the Company has (i) the power to direct the activities of the entity that most significantly impact the entity's economic performance, and (ii) the obligation to absorb the entity's losses or receive benefits from the entity that could potentially be significant to the entity. The third parties’ interests in these consolidated entities are reflected as noncontrolling interests and redeemable noncontrolling interests in the accompanying condensed consolidated financial statements and in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6908165</wp:posOffset>
            </wp:positionH>
            <wp:positionV relativeFrom="paragraph">
              <wp:posOffset>-168275</wp:posOffset>
            </wp:positionV>
            <wp:extent cx="2222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1143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operations of these VIEs are funded with fees earned from investment opportunities or cash flows generated from the properties. The Company has not provided financial support to any of these VIEs that it was not previously contractually required to provide, which consists primarily of funding any capital commitments and capital expenditures, which are deemed necessary to continue to operate the entity and any operating cash shortfalls the entity may experience.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Company conducts its business through and substantially all of its interests are held by the Operating Partnership, substantially all of the assets and liabilities on the Condensed Consolidated Balance Sheets represent the assets and liabilities of the Operating Partnership. As of June 30, 2024 and December 31, 2023, the Condensed Consolidated Balance Sheets include the following assets and liabilities of the consolidated VIEs of the Operating Partnership:</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1"/>
                <w:szCs w:val="21"/>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VIE ASSETS</w:t>
            </w:r>
          </w:p>
        </w:tc>
        <w:tc>
          <w:tcPr>
            <w:tcW w:w="2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real estate,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1,654,533</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1,679,779</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and advances to unconsolidated affiliates</w:t>
            </w:r>
          </w:p>
        </w:tc>
        <w:tc>
          <w:tcPr>
            <w:tcW w:w="26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91,070</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101,679</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 operating leases, net</w:t>
            </w:r>
          </w:p>
        </w:tc>
        <w:tc>
          <w:tcPr>
            <w:tcW w:w="26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Rents receivable, net</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Pr>
          <w:p>
            <w:pPr>
              <w:spacing w:after="0"/>
              <w:rPr>
                <w:sz w:val="20"/>
                <w:szCs w:val="20"/>
                <w:color w:val="auto"/>
              </w:rPr>
            </w:pPr>
          </w:p>
        </w:tc>
      </w:tr>
      <w:tr>
        <w:trPr>
          <w:trHeight w:val="281"/>
        </w:trPr>
        <w:tc>
          <w:tcPr>
            <w:tcW w:w="710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Total VIE assets </w:t>
            </w:r>
            <w:r>
              <w:rPr>
                <w:rFonts w:ascii="Times New Roman" w:cs="Times New Roman" w:eastAsia="Times New Roman" w:hAnsi="Times New Roman"/>
                <w:sz w:val="24"/>
                <w:szCs w:val="24"/>
                <w:color w:val="auto"/>
                <w:vertAlign w:val="superscript"/>
              </w:rPr>
              <w:t>(a)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1,923,470</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1,944,485</w:t>
            </w:r>
          </w:p>
        </w:tc>
        <w:tc>
          <w:tcPr>
            <w:tcW w:w="100" w:type="dxa"/>
            <w:vAlign w:val="bottom"/>
            <w:shd w:val="clear" w:color="auto" w:fill="CFF0FC"/>
          </w:tcPr>
          <w:p>
            <w:pPr>
              <w:spacing w:after="0"/>
              <w:rPr>
                <w:sz w:val="24"/>
                <w:szCs w:val="24"/>
                <w:color w:val="auto"/>
              </w:rPr>
            </w:pPr>
          </w:p>
        </w:tc>
      </w:tr>
      <w:tr>
        <w:trPr>
          <w:trHeight w:val="223"/>
        </w:trPr>
        <w:tc>
          <w:tcPr>
            <w:tcW w:w="71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VIE LIABILITIES</w:t>
            </w:r>
          </w:p>
        </w:tc>
        <w:tc>
          <w:tcPr>
            <w:tcW w:w="26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notes payable,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800,269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764,614</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26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80,473</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128,053</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127,162</w:t>
            </w:r>
          </w:p>
        </w:tc>
        <w:tc>
          <w:tcPr>
            <w:tcW w:w="10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 operating leases, net</w:t>
            </w:r>
          </w:p>
        </w:tc>
        <w:tc>
          <w:tcPr>
            <w:tcW w:w="2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10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Total VIE liabilities </w:t>
            </w:r>
            <w:r>
              <w:rPr>
                <w:rFonts w:ascii="Times New Roman" w:cs="Times New Roman" w:eastAsia="Times New Roman" w:hAnsi="Times New Roman"/>
                <w:sz w:val="24"/>
                <w:szCs w:val="24"/>
                <w:color w:val="auto"/>
                <w:vertAlign w:val="superscript"/>
              </w:rPr>
              <w:t>(a)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930,626</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974,462</w:t>
            </w:r>
          </w:p>
        </w:tc>
        <w:tc>
          <w:tcPr>
            <w:tcW w:w="10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-1139190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-1122045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1020" w:hanging="503"/>
        <w:spacing w:after="0" w:line="231"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and December 31, 2023, includes total VIE assets of $712.5 million and $721.2 million, respectively, and total VIE liabilities of $236.9 million and $234.7 million, respectively, related to third-party mortgages that are collateralized by the real estate assets of City Point, a Fund II property, and 27 East 61st Street, 801 Madison Avenue, and 1035 Third Avenue, all Fund IV properties, of which $72.5 million is guaranteed by the Operating Partnership (</w:t>
      </w:r>
      <w:r>
        <w:rPr>
          <w:rFonts w:ascii="Times New Roman" w:cs="Times New Roman" w:eastAsia="Times New Roman" w:hAnsi="Times New Roman"/>
          <w:sz w:val="14"/>
          <w:szCs w:val="14"/>
          <w:u w:val="single" w:color="auto"/>
          <w:color w:val="0000FF"/>
        </w:rPr>
        <w:t>Note 9</w:t>
      </w:r>
      <w:r>
        <w:rPr>
          <w:rFonts w:ascii="Times New Roman" w:cs="Times New Roman" w:eastAsia="Times New Roman" w:hAnsi="Times New Roman"/>
          <w:sz w:val="14"/>
          <w:szCs w:val="14"/>
          <w:color w:val="auto"/>
        </w:rPr>
        <w:t>). The remaining VIE assets are generally encumbered by third-party non-recourse mortgage debt and are collateral under the respective mortgages and are therefore restricted and can only be used to settle the corresponding liabilities of the VIE. The remaining VIE assets may only be used to settle obligations of these consolidated VIEs and the remaining VIE liabilities are only the obligations of these consolidated VIEs and they do not have recourse to the Operating Partnership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-300990</wp:posOffset>
            </wp:positionV>
            <wp:extent cx="24574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VIEs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holds variable interests in certain VIEs which are not consolidated. While the Company may be responsible for managing the day-to-day operations of these investees, it is not the primary beneficiary of these VIEs, as the Company does not hold unilateral power over activities that, when taken together, most significantly impact the respective VIE's economic performance. The Company accounts for investments in these entities under the equity method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As of June 30, 2024, the Company has determined that the following entities are unconsolidated VIEs: 1238 Wisconsin Avenue and the Georgetown Portfolio. The Company's involvement with these entities is in the form of direct and indirect equity interests and fee arrangements. The maximum exposure to loss in these entities is limited to: (i) the amount of the Company's equity investment and (ii) debt guarantees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The Company's aggregate investment in the unconsolidated VIEs assets was $44.6 million and $45.8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-434975</wp:posOffset>
            </wp:positionV>
            <wp:extent cx="30797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6510655</wp:posOffset>
            </wp:positionH>
            <wp:positionV relativeFrom="paragraph">
              <wp:posOffset>-160655</wp:posOffset>
            </wp:positionV>
            <wp:extent cx="3251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251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ACADIA REALTY TRUST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respectively. The Company's aggregate investment in unconsolidated VIEs liabilities was $39.3 million and $40.1 million as of June 30, 2024 and December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3, 2024, the Company acquired a shopping center, the Walk at Highwoods Preserve, located in Tampa, Florida for approximately $30.7 million, inclusive of transaction costs.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30, 2024, the Company declared a cash dividend of $0.19 per Common Share, which is payable on October 15, 2024 to stockholders of record as of September 30, 2024.</w:t>
      </w:r>
    </w:p>
    <w:p>
      <w:pPr>
        <w:spacing w:after="0" w:line="162" w:lineRule="exact"/>
        <w:rPr>
          <w:sz w:val="20"/>
          <w:szCs w:val="20"/>
          <w:color w:val="auto"/>
        </w:rPr>
      </w:pPr>
    </w:p>
    <w:p>
      <w:pPr>
        <w:jc w:val="center"/>
        <w:ind w:right="140"/>
        <w:spacing w:after="0" w:line="282" w:lineRule="auto"/>
        <w:rPr>
          <w:sz w:val="20"/>
          <w:szCs w:val="20"/>
          <w:color w:val="auto"/>
        </w:rPr>
      </w:pPr>
      <w:r>
        <w:rPr>
          <w:rFonts w:ascii="Times New Roman" w:cs="Times New Roman" w:eastAsia="Times New Roman" w:hAnsi="Times New Roman"/>
          <w:sz w:val="18"/>
          <w:szCs w:val="18"/>
          <w:color w:val="auto"/>
        </w:rPr>
        <w:t>On July 30, 2024, the Company entered an agreement to sell $100 million in aggregate principal amount of senior unsecured notes in a private placement.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Acadia Realty Trust (the “Trust”, collectively with its consolidated subsidiaries, the “Company”), a Maryland real estate investment trust (“REIT”), is a fully-integrated equity REIT focused on the ownership, acquisition, development, and management of retail properties located primarily in high-barrier-to-entry, supply-constrained, densely populated metropolitan areas in the United States. All of the Company’s assets are held by, and all of its operations are conducted through, Acadia Realty Limited Partnership (the “Operating Partnership”) and entities in which the Operating Partnership owns an interest. As of June 30, 2024 and December 31, 2023, the Trust controlled approximately 96% and 95%, respectively, of the Operating Partnership as the sole general partner and is entitled to share, in proportion to its percentage interest, in the cash distributions and profits and losses of the Operating Partnership.</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operate a high-quality core real estate portfolio ("Core" or "Core Portfolio") in the nation's most dynamic retail corridors, along with an investment management platform (“Investment Management”). As part of the Investment Management platform, we have active investments through the following opportunity funds, including: Acadia Strategic Opportunity Fund II, LLC (“Fund II”), Acadia Strategic Opportunity Fund III LLC (“Fund III”), Acadia Strategic Opportunity Fund IV LLC (“Fund IV”), and Acadia Strategic Opportunity Fund V LLC (“Fund V” and, collectively with Fund II, Fund III and Fund IV, “the Funds”).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we focus on the following strategies to enhance the value of our Company and provide long-term, profitable growth:</w:t>
      </w:r>
    </w:p>
    <w:p>
      <w:pPr>
        <w:spacing w:after="0" w:line="117"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internal growth of the Core Portfolio through constant optimization of tenant mix, time-sensitive and cost-effective re-tenanting, and active management of our properties;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accretive acquisition opportunities for the Core Portfolio with a focus on high-growth, residentially-dense and destination urban retail shopping corridors;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accretive development/redevelopment opportunities and re-tenanting activities in order to maximize the value of Core properties;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Investment Management, pursue a wide range of investments in various co-investment vehicles while matching individual investments and return profiles with strategic institutional partners;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and flexible balance sheet to support our business activities through conservative financial practices while ensuring access to sufficient capital to fund future growth.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2024, we own or have an ownership interest in 199 properties held through our Core Portfolio and Investment Management platform. Our Core Portfolio consists of those properties either 100% owned, or partially owned through joint venture interests, by the Operating Partnership, or subsidiaries thereof, not including those properties owned through the Investment Management platform. These properties primarily consist of street and urban retail, and suburban shopping centers. The Investment Management platform consists of investment vehicles through which our Operating Partnership and outside institutional investors invest in primarily opportunistic and value-add retail real estate. The majority of our operating income is derived from rental revenues from operating properties, including expense recoveries from tenants, offset by operating and overhead expenses.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 summary of our wholly-owned and partially-owned retail properties and their physical occupancies as of June 30, 2024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31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Number of Properties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Operating Properties</w:t>
            </w:r>
          </w:p>
        </w:tc>
      </w:tr>
      <w:tr>
        <w:trPr>
          <w:trHeight w:val="207"/>
        </w:trPr>
        <w:tc>
          <w:tcPr>
            <w:tcW w:w="4620" w:type="dxa"/>
            <w:vAlign w:val="bottom"/>
          </w:tcPr>
          <w:p>
            <w:pPr>
              <w:spacing w:after="0"/>
              <w:rPr>
                <w:sz w:val="18"/>
                <w:szCs w:val="18"/>
                <w:color w:val="auto"/>
              </w:rPr>
            </w:pPr>
          </w:p>
        </w:tc>
        <w:tc>
          <w:tcPr>
            <w:tcW w:w="1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Development or</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Redevelopment</w:t>
            </w:r>
          </w:p>
        </w:tc>
        <w:tc>
          <w:tcPr>
            <w:tcW w:w="2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GLA</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Occupancy</w:t>
            </w:r>
          </w:p>
        </w:tc>
        <w:tc>
          <w:tcPr>
            <w:tcW w:w="160" w:type="dxa"/>
            <w:vAlign w:val="bottom"/>
            <w:gridSpan w:val="2"/>
          </w:tcPr>
          <w:p>
            <w:pPr>
              <w:spacing w:after="0"/>
              <w:rPr>
                <w:sz w:val="21"/>
                <w:szCs w:val="21"/>
                <w:color w:val="auto"/>
              </w:rPr>
            </w:pPr>
          </w:p>
        </w:tc>
      </w:tr>
      <w:tr>
        <w:trPr>
          <w:trHeight w:val="243"/>
        </w:trPr>
        <w:tc>
          <w:tcPr>
            <w:tcW w:w="6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Core Portfolio:</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Metro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576,799</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84.3 %</w:t>
            </w:r>
          </w:p>
        </w:tc>
      </w:tr>
      <w:tr>
        <w:trPr>
          <w:trHeight w:val="23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Metro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294,729</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90.9 %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Angeles Metro</w:t>
            </w:r>
          </w:p>
        </w:tc>
        <w:tc>
          <w:tcPr>
            <w:tcW w:w="16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 Metro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Dallas Metro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121,386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89.3 %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 Metro</w:t>
            </w:r>
          </w:p>
        </w:tc>
        <w:tc>
          <w:tcPr>
            <w:tcW w:w="16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357,842</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 Metro</w:t>
            </w:r>
          </w:p>
        </w:tc>
        <w:tc>
          <w:tcPr>
            <w:tcW w:w="16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Suburban</w:t>
            </w:r>
          </w:p>
        </w:tc>
        <w:tc>
          <w:tcPr>
            <w:tcW w:w="15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3,906,516</w:t>
            </w:r>
          </w:p>
        </w:tc>
        <w:tc>
          <w:tcPr>
            <w:tcW w:w="2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93.2 %</w:t>
            </w: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Portfolio</w:t>
            </w:r>
          </w:p>
        </w:tc>
        <w:tc>
          <w:tcPr>
            <w:tcW w:w="1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5,282,079</w:t>
            </w:r>
          </w:p>
        </w:tc>
        <w:tc>
          <w:tcPr>
            <w:tcW w:w="2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91.4 %</w:t>
            </w: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Acadia Share of Total Core Portfolio</w:t>
            </w:r>
          </w:p>
        </w:tc>
        <w:tc>
          <w:tcPr>
            <w:tcW w:w="1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4,916,634</w:t>
            </w:r>
          </w:p>
        </w:tc>
        <w:tc>
          <w:tcPr>
            <w:tcW w:w="2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41"/>
        </w:trPr>
        <w:tc>
          <w:tcPr>
            <w:tcW w:w="46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Management: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II</w:t>
            </w:r>
          </w:p>
        </w:tc>
        <w:tc>
          <w:tcPr>
            <w:tcW w:w="16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536,055</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76.8 %</w:t>
            </w:r>
          </w:p>
        </w:tc>
      </w:tr>
      <w:tr>
        <w:trPr>
          <w:trHeight w:val="23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III</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77.6 %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IV</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526,390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V</w:t>
            </w:r>
          </w:p>
        </w:tc>
        <w:tc>
          <w:tcPr>
            <w:tcW w:w="16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7,763,428</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99,837</w:t>
            </w:r>
          </w:p>
        </w:tc>
        <w:tc>
          <w:tcPr>
            <w:tcW w:w="2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Management</w:t>
            </w:r>
          </w:p>
        </w:tc>
        <w:tc>
          <w:tcPr>
            <w:tcW w:w="1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8,930,347</w:t>
            </w:r>
          </w:p>
        </w:tc>
        <w:tc>
          <w:tcPr>
            <w:tcW w:w="2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91.5 %</w:t>
            </w: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Acadia Share of Total Investment Management</w:t>
            </w:r>
          </w:p>
        </w:tc>
        <w:tc>
          <w:tcPr>
            <w:tcW w:w="1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1,932,495</w:t>
            </w:r>
          </w:p>
        </w:tc>
        <w:tc>
          <w:tcPr>
            <w:tcW w:w="2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89.9 %</w:t>
            </w:r>
          </w:p>
        </w:tc>
      </w:tr>
      <w:tr>
        <w:trPr>
          <w:trHeight w:val="241"/>
        </w:trPr>
        <w:tc>
          <w:tcPr>
            <w:tcW w:w="46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Core and Investment Management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14,212,426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91.5 %</w:t>
            </w:r>
          </w:p>
        </w:tc>
      </w:tr>
      <w:tr>
        <w:trPr>
          <w:trHeight w:val="20"/>
        </w:trPr>
        <w:tc>
          <w:tcPr>
            <w:tcW w:w="4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Acadia Share of Total Core and Investment Management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6,849,129</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0"/>
        </w:trPr>
        <w:tc>
          <w:tcPr>
            <w:tcW w:w="4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154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154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54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54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54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1631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62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631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THE SIX MONTHS ENDED JUNE 30, 2024 AND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We renamed our historical Funds segment as the Investment Management segment. No prior period information was recast and the designation change did not impact our condensed consolidated financial statements.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-48260</wp:posOffset>
            </wp:positionV>
            <wp:extent cx="3651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deconsolidated one Core property, two consolidated Investment Management properties and one outparcel, and one unconsolidated investment, as follows:</w:t>
      </w:r>
    </w:p>
    <w:p>
      <w:pPr>
        <w:spacing w:after="0" w:line="54" w:lineRule="exact"/>
        <w:rPr>
          <w:sz w:val="20"/>
          <w:szCs w:val="20"/>
          <w:color w:val="auto"/>
        </w:rPr>
      </w:pPr>
    </w:p>
    <w:p>
      <w:pPr>
        <w:jc w:val="both"/>
        <w:ind w:left="1020" w:right="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Fund IV sold its consolidated 2207 and 2208-2216 Fillmore Street properties for a total sales price of $14.1 million and repaid the related $6.4 million of debt at closing. Fund IV recognized a gain of $2.4 million, of which the Company’s proportionate share was $0.5 million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2024, we sold a 95% interest in the Shops at Grand property for a total of $48.3 million and retained a 5% ownership interest through an investment in a newly formed joint venture which was fair valued at $2.4 million. As we now have a noncontrolling interest, we recognized a loss on deconsolidation of $2.2 million related to transaction costs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Fund V sold an outparcel at Canton Marketplace for $2.2 million and recognized a gain of $0.6 million, of which the Company’s proportionate share was $0.1 million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Fund IV sold its unconsolidated Paramus Plaza property for a total of $36.8 million and repaid the related debt of $27.9 million. Fund IV recognized a gain of $4.1 million, of which the Company’s proportionate share was $1.0 million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-1190625</wp:posOffset>
            </wp:positionV>
            <wp:extent cx="3079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4354195</wp:posOffset>
            </wp:positionH>
            <wp:positionV relativeFrom="paragraph">
              <wp:posOffset>-710565</wp:posOffset>
            </wp:positionV>
            <wp:extent cx="30797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-367665</wp:posOffset>
            </wp:positionV>
            <wp:extent cx="30797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-24765</wp:posOffset>
            </wp:positionV>
            <wp:extent cx="3079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Company acquired a shopping center, the Walk at Highwoods Preserve, located in Tampa, Florida for $30.7 million, inclusive of transaction costs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-48260</wp:posOffset>
            </wp:positionV>
            <wp:extent cx="3651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Operating Partnership entered into a Third Amended and Restated Credit Agreement, with Bank of America, N.A., as administrative agent, to amend its existing senior unsecured credit facility (the “Amended Credit Facility”). The Amended Credit Facility provides for an increase in the existing unsecured revolving credit facility from $300.0 million to $350.0 million, which includes the capacity to issue letters of credit in an amount up to $60.0 million, and the extension of the term from June 29, 2025 to April 15, 2028, with two additional six-month extension options. The Amended Credit Facility also provides for the extension of the term on the existing $400.0 million unsecured term loan from June 29, 2026 to April 15, 2028, with two additional six-month extension options. The Amended Credit Facility has an accordion feature to increase its capacity up to $900 million at the option of the Operating Partnership, subject to customary conditions. Borrowings under the revolving credit facility and the term loan will accrue interest at a floating rate based on SOFR with margins based on leverage or credit rating.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we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-7620</wp:posOffset>
            </wp:positionV>
            <wp:extent cx="30797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9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a Core mortgage loan totaling $7.3 million at maturity;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Core mortgage loan of $60.0 million (excluding principal reductions of $2.5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the Fund V subscription line totaling $80.6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Investment Management mortgage loan of $43.4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two consolidated Investment Management mortgage loans of $6.4 million upon disposition of the properties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a portion of one consolidated Investment Management mortgage loan of $1.5 million in connect with an outparcel disposition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two Investment Management mortgage loans totaling $67.7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one unconsolidated Investment Management mortgage loan of $27.9 million upon disposition of the property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scheduled principal payments totaling $6.1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-967740</wp:posOffset>
            </wp:positionV>
            <wp:extent cx="3079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6912610</wp:posOffset>
            </wp:positionH>
            <wp:positionV relativeFrom="paragraph">
              <wp:posOffset>-762000</wp:posOffset>
            </wp:positionV>
            <wp:extent cx="22225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-624840</wp:posOffset>
            </wp:positionV>
            <wp:extent cx="571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-213360</wp:posOffset>
            </wp:positionV>
            <wp:extent cx="3079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Structured Financing Investments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originated one Core note receivable of $7.6 million to a related party, which is collateralized by the borrower’s equity interest in various partnerships, bears interest at 12% and matures on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sold 1,739,288 Common Shares under our ATM Program generating $29.9 million of net proceeds after related issuance costs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-48260</wp:posOffset>
            </wp:positionV>
            <wp:extent cx="3651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Other Considerations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inflation levels were elevated resulting in increased costs for certain goods and services and cost of borrowing. Inflation began to decrease in the second quarter of 2023 but still remains at elevated levels compared to the years preceding 2021. Most of our leases include contractual rent escalations and require tenants to pay their share of operating expenses, including common area maintenance, real estate taxes and insurance, thereby reducing our exposure to increases in costs and operating expenses resulting from inflation. We believe we manage our properties in a cost-conscious manner to minimize recurring operational expenses and utilize multi-year contracts to alleviate the impact of inflation on our business and our tenants. We also continue to see rising consumer confidence and we expect to continue to add value to our portfolio by executing on our current leasing momentum, our active development and redevelopment projects, and leasing pipeline.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the rising rate of inflation, the Federal Reserve raised benchmark interest rates, resulting in an increase in the cost of borrowing, which could remain at elevated levels in the near-term and long-term. The rate hikes enacted by the Federal Reserve have had a significant impact on interest rate indexes such as SOFR and the Prime Rate and cost of borrowing. We manage our exposure to fluctuations in interest rates primarily through the use of fixed-rate debt and interest rate swap and cap agreements, which qualify for, and are designated as, hedging instruments. Except for increased interest costs, we have not experienced any material negative impacts at this time, and we intend to actively manage our business to respond to the ongoing economic and social impact from such events.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in the Notes to Condensed Consolidated Financial Statements for an overview of our three reportable segments: Core Portfolio (“Core”), Investment Management (“IM”) and Structured Financing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-185420</wp:posOffset>
            </wp:positionV>
            <wp:extent cx="3733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June 30, 2024 to the Three Months Ended June 30, 2023</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by reportable segment for the three months ended June 30, 2024 compared to the three months ended June 30, 2023 are summarized in the table below (in millions, totals may not add due to rounding):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SF</w:t>
            </w: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Core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SF</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5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SF</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(18.0 )</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(34.3 )</w:t>
            </w: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Property operating expenses and real estate taxes</w:t>
            </w:r>
          </w:p>
        </w:tc>
        <w:tc>
          <w:tcPr>
            <w:tcW w:w="120" w:type="dxa"/>
            <w:vAlign w:val="bottom"/>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(14.4 )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(25.8 )</w:t>
            </w:r>
          </w:p>
        </w:tc>
        <w:tc>
          <w:tcPr>
            <w:tcW w:w="120" w:type="dxa"/>
            <w:vAlign w:val="bottom"/>
          </w:tcPr>
          <w:p>
            <w:pPr>
              <w:spacing w:after="0"/>
              <w:rPr>
                <w:sz w:val="12"/>
                <w:szCs w:val="12"/>
                <w:color w:val="auto"/>
              </w:rPr>
            </w:pP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(15.1 )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gain on disposition of properties</w:t>
            </w:r>
          </w:p>
        </w:tc>
        <w:tc>
          <w:tcPr>
            <w:tcW w:w="1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Realized and unrealized holding (losses) gains on</w:t>
            </w:r>
          </w:p>
        </w:tc>
        <w:tc>
          <w:tcPr>
            <w:tcW w:w="120" w:type="dxa"/>
            <w:vAlign w:val="bottom"/>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(0.2 )</w:t>
            </w:r>
          </w:p>
        </w:tc>
        <w:tc>
          <w:tcPr>
            <w:tcW w:w="16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and other</w:t>
            </w: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(9.9 )</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(11.0 )</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Income (loss) from continuing operations before</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(0.2 )</w:t>
            </w:r>
          </w:p>
        </w:tc>
        <w:tc>
          <w:tcPr>
            <w:tcW w:w="1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loss attributable to redeemable noncontrolling</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120" w:type="dxa"/>
            <w:vAlign w:val="bottom"/>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2"/>
                <w:szCs w:val="12"/>
                <w:color w:val="auto"/>
              </w:rPr>
            </w:pP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(0.7 )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Acadia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-1088390</wp:posOffset>
            </wp:positionV>
            <wp:extent cx="768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-1088390</wp:posOffset>
            </wp:positionV>
            <wp:extent cx="768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-1088390</wp:posOffset>
            </wp:positionV>
            <wp:extent cx="768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-1088390</wp:posOffset>
            </wp:positionV>
            <wp:extent cx="774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-1088390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-1088390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-1088390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-1088390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-1088390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-1088390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-1088390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-762000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-762000</wp:posOffset>
            </wp:positionV>
            <wp:extent cx="768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-762000</wp:posOffset>
            </wp:positionV>
            <wp:extent cx="768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-762000</wp:posOffset>
            </wp:positionV>
            <wp:extent cx="774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-762000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-762000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-762000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-762000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-762000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-762000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-762000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-24765</wp:posOffset>
            </wp:positionV>
            <wp:extent cx="768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768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-24765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Portfolio</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our Core Portfolio segment are depicted in the table above under the headings labeled “Core.” Segment net income attributable to Acadia for our Core Portfolio decreased $9.6 million for the three months ended June 30, 2024 compared to the prior year period as a result of the changes further described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our Core Portfolio decreased $7.5 million for the three months ended June 30, 2024 compared to the prior year period primarily due to the accelerated amortization of a below market lease for a bankrupt tenant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our Core Portfolio decreased $2.0 million for the three months ended June 30, 2024 compared to the prior year period primarily due to the acceleration of in-place lease intangible assets for a bankrupt tenant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disposition of property for our Core Portfolio relates to the deconsolidation of the Shops at Grand property in 2024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-7620</wp:posOffset>
            </wp:positionV>
            <wp:extent cx="30797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and unrealized holding (losses) gains on investments and other for our Core Portfolio decreased $4.0 million for the three months ended June 30, 2024 compared to the prior year period primarily due to a change in the mark-to-market adjustment on the Investment in Albertsons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-48260</wp:posOffset>
            </wp:positionV>
            <wp:extent cx="30797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our Core Portfolio decreased $1.1 million for the three months ended June 30, 2024 compared to the prior year period primarily due to lower average outstanding borrowings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Management (all amounts below are consolidated amounts and are not representative of our proportionate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our Investment Management segment are depicted in the table above under the headings labeled “IM.” Segment net income attributable to Acadia for Investment Management increased $1.1 million for the three months ended June 30, 2024 compared to the prior year period as a result of the changes described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Investment Management increased $4.8 million for the three months ended June 30, 2024 compared to the prior year period primarily due to property acquisitions in the second half of 2023.</w:t>
      </w: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Investment Management increased $2.3 million for the three months ended June 30, 2024 compared to the prior year period primarily due to property acquisitions in the second half of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on disposition of properties for Investment Management increased $3.0 million for the three months ended June 30, 2024 compared to the prior year period due to the sale of two properties at Fund IV and an outparcel at Fund V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-48260</wp:posOffset>
            </wp:positionV>
            <wp:extent cx="30797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(losses) of unconsolidated affiliates for Investment Management increased $6.2 million for the three months ended June 30, 2024 compared to the prior year period primarily due to the gain on sale of Paramus Plaza in 2024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-48260</wp:posOffset>
            </wp:positionV>
            <wp:extent cx="30797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Investment Management increased $2.5 million for the three months ended June 30, 2024 compared to the prior year period primarily due to higher average interest rates in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loss attributable to noncontrolling interests for Investment Management decreased $8.4 million for the three months ended June 30, 2024 compared to the prior year period based on the noncontrolling interests’ share of the variances discussed above. Net income attributable to noncontrolling interests in Investment Management includes asset management fees earned by the Company of $2.4 million and $2.3 million for the three months ended June 30,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allocate general and administrative expenses and income taxes to its reportable segments. These unallocated amounts are depicted in the table above under the headings labeled “Total.”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Six Months Ended June 30, 2024 to the Six Months Ended June 30,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by reportable segment for the six months ended June 30, 2024 compared to the six months ended June 30, 2023 are summarized in the table below (in millions, totals may not add due to rounding):</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Core</w:t>
            </w:r>
          </w:p>
        </w:tc>
        <w:tc>
          <w:tcPr>
            <w:tcW w:w="10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SF</w:t>
            </w: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SF</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5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IM</w:t>
            </w:r>
          </w:p>
        </w:tc>
        <w:tc>
          <w:tcPr>
            <w:tcW w:w="10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SF</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76.2</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178.</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(36.2 )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(69.2 )</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Property operating expenses and real estate taxes</w:t>
            </w:r>
          </w:p>
        </w:tc>
        <w:tc>
          <w:tcPr>
            <w:tcW w:w="120" w:type="dxa"/>
            <w:vAlign w:val="bottom"/>
          </w:tcPr>
          <w:p>
            <w:pPr>
              <w:spacing w:after="0"/>
              <w:rPr>
                <w:sz w:val="12"/>
                <w:szCs w:val="12"/>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(57.2 )</w:t>
            </w:r>
          </w:p>
        </w:tc>
        <w:tc>
          <w:tcPr>
            <w:tcW w:w="120" w:type="dxa"/>
            <w:vAlign w:val="bottom"/>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(19.9 )</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gain on disposition of properties</w:t>
            </w:r>
          </w:p>
        </w:tc>
        <w:tc>
          <w:tcPr>
            <w:tcW w:w="1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(0.4 )</w:t>
            </w:r>
          </w:p>
        </w:tc>
        <w:tc>
          <w:tcPr>
            <w:tcW w:w="1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5"/>
                <w:szCs w:val="15"/>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Realized and unrealized holding (losses) gains on</w:t>
            </w:r>
          </w:p>
        </w:tc>
        <w:tc>
          <w:tcPr>
            <w:tcW w:w="120" w:type="dxa"/>
            <w:vAlign w:val="bottom"/>
          </w:tcPr>
          <w:p>
            <w:pPr>
              <w:spacing w:after="0"/>
              <w:rPr>
                <w:sz w:val="12"/>
                <w:szCs w:val="12"/>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(0.4 )</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tcPr>
          <w:p>
            <w:pPr>
              <w:spacing w:after="0"/>
              <w:rPr>
                <w:sz w:val="12"/>
                <w:szCs w:val="12"/>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18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and other</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(47.3 )</w:t>
            </w: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(21.7 )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Income (loss) from continuing operations before</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(30.1 )</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loss attributable to redeemable noncontrolling</w:t>
            </w:r>
          </w:p>
        </w:tc>
        <w:tc>
          <w:tcPr>
            <w:tcW w:w="1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Acadia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-1002665</wp:posOffset>
            </wp:positionV>
            <wp:extent cx="7683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-1002665</wp:posOffset>
            </wp:positionV>
            <wp:extent cx="768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-1002665</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-1002665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-1002665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-1002665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-1002665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-1002665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-1002665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-1002665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-1002665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-676910</wp:posOffset>
            </wp:positionV>
            <wp:extent cx="768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-676910</wp:posOffset>
            </wp:positionV>
            <wp:extent cx="768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-676910</wp:posOffset>
            </wp:positionV>
            <wp:extent cx="768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-676910</wp:posOffset>
            </wp:positionV>
            <wp:extent cx="7747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-676910</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-676910</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-676910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-676910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-676910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-676910</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-676910</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-25400</wp:posOffset>
            </wp:positionV>
            <wp:extent cx="768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-8255</wp:posOffset>
            </wp:positionV>
            <wp:extent cx="768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7683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7683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683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774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Portfolio</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our Core Portfolio segment are depicted in the table above under the headings labeled “Core.” Segment net income attributable to Acadia for our Core Portfolio decreased $9.2 million for the six months ended June 30, 2024 compared to the prior year period as a result of the changes further described below.</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Revenues for our Core Portfolio decreased $3.8 million for the six months ended June 30, 2024 compared to the prior year period primarily due to $7.8 million accelerated amortization of a below market lease for a bankrupt tenant in 2023, offset by $3.5 million for the recognition of a forfeited deposit within Other revenues in the Condensed Consolidated Statements of Operations for a property previously under contract for sale in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our Core Portfolio decreased $2.5 million for the six months ended June 30, 2024 compared to the prior year period primarily due to the write-off of in-place lease intangible assets for a bankrupt tenant in 2023.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operating expenses and real estate taxes for our Core Portfolio increased $1.1 million for the six months ended June 30, 2024 compared to the prior year period primarily due to increased legal expense reserves in the current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disposition of property for our Core Portfolio relates to the deconsolidation of the Shops at Grand property in 2024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-7620</wp:posOffset>
            </wp:positionV>
            <wp:extent cx="30797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and unrealized holding (losses) gains on investments and other for our Core Portfolio decreased $7.4 million for the six months ended June 30, 2024 compared to the prior year period primarily due to a change in the mark-to-market adjustment on the Investment in Albertsons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our Core Portfolio decreased $1.7 million for the six months ended June 30, 2024 compared to the prior year period due to lower average outstanding borrowings in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for our Core Portfolio increased $1.0 million for the six months ended June 30, 2024 compared to the prior year period based on the noncontrolling interests’ share of the variances discussed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Management (all amounts below are consolidated amounts and are not representative of our proportionate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our Investment Management segment are depicted in the table above under the headings labeled “IM.” Segment net income attributable to Acadia for Investment Management decreased $9.7 million for the six months ended June 30, 2024 compared to the prior year period as a result of the changes described below.</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for Investment Management increased $10.6 million for the six months ended June 30, 2024 compared to the prior year period primarily due to (i) $9.6 million from acquisitions in 2023, and (ii) $1.7 million from new tenant lease-up within Investment Management in 2023 and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Investment Management increased $4.5 million for the six months ended June 30, 2024 compared to the prior year period primarily due to property acquisitions in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operating expenses and real estate taxes for Investment Management increased $3.9 million for the six months ended June 30, 2024 compared to the prior year period primarily due to property acquisitions in 2023 and non-recurring property operating expenses within Investment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gain on disposition of property for Investment Management increased $1.8 million for the six months ended June 30, 2024 compared to the prior year period due to the $3.0 million gain on disposition of two properties at Fund IV and an outparcel at Fund V, offset by a $1.2 million loss related to a previously disposed property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(losses) of unconsolidated affiliates for Investment Management increased $5.5 million for the six months ended June 30, 2024 compared to the prior year period primarily due to the gain on disposition of Paramus Plaza in 2024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and unrealized holding (losses) gains on investments and other for the Investment Management decreased $25.0 million for the six months ended June 30, 2024 compared to the prior year period primarily due to a $28.2 million increase in dividend income from Albertsons in 2023 offset by a $2.0 million mark-to-market loss in 2023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-38735</wp:posOffset>
            </wp:positionV>
            <wp:extent cx="30797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Investment Management increased $5.3 million for the six months ended June 30, 2024 compared to the prior year period primarily due to higher average interest rates in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redeemable noncontrolling interests for Investment Management increased $1.6 million for the six months ended June 30, 2024 compared to the prior year period due to the receipt of past due rents for a tenant in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net income attributable to Acadia for Investment Management decreased $9.7 million for the six months ended June 30, 2024 compared to the prior year period as a result of the changes described below. Net loss attributable to noncontrolling interests in Investment Management includes asset management fees earned by the Company of $4.7 million and $4.8 million for the six months ended June 30,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allocate general and administrative expenses and income taxes to its reportable segments. These unallocated amounts are depicted in the table above under the headings labeled “Total.”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Property Operating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net property operating income (“NOI”) and rent spreads on new and renewal leases includes the activity from both our consolidated and our pro-rata share of unconsolidated properties within our Core Portfolio. Investment Management invests primarily in properties that typically require significant leasing and development. Given that Investment Management is primarily comprised of finite-life investment vehicles, these properties are sold following stabilization. For these reasons, we believe NOI and rent spreads are not meaningful measures for our Investment Management investments.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NOI represents property revenues less property expenses. We consider NOI and rent spreads on new and renewal leases for our Core Portfolio to be appropriate supplemental disclosures of portfolio operating performance due to their widespread acceptance and use within the REIT investor and analyst communities. NOI and rent spreads on new and renewal leases are presented to assist investors in analyzing our property performance, however, our method of calculating these may be different from methods used by other REITs and, accordingly, may not be comparable to such other REITs.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consolidated operating income to net operating income - Core Portfolio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spacing w:after="0"/>
              <w:rPr>
                <w:sz w:val="21"/>
                <w:szCs w:val="21"/>
                <w:color w:val="auto"/>
              </w:rPr>
            </w:pPr>
          </w:p>
        </w:tc>
        <w:tc>
          <w:tcPr>
            <w:tcW w:w="26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1"/>
                <w:szCs w:val="21"/>
                <w:color w:val="auto"/>
              </w:rPr>
            </w:pPr>
          </w:p>
        </w:tc>
        <w:tc>
          <w:tcPr>
            <w:tcW w:w="2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41"/>
        </w:trPr>
        <w:tc>
          <w:tcPr>
            <w:tcW w:w="6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7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2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tcPr>
          <w:p>
            <w:pPr>
              <w:spacing w:after="0"/>
              <w:rPr>
                <w:sz w:val="24"/>
                <w:szCs w:val="24"/>
                <w:color w:val="auto"/>
              </w:rPr>
            </w:pPr>
          </w:p>
        </w:tc>
      </w:tr>
      <w:tr>
        <w:trPr>
          <w:trHeight w:val="250"/>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100" w:type="dxa"/>
            <w:vAlign w:val="bottom"/>
            <w:shd w:val="clear" w:color="auto" w:fill="CFF0FC"/>
          </w:tcPr>
          <w:p>
            <w:pPr>
              <w:spacing w:after="0"/>
              <w:rPr>
                <w:sz w:val="21"/>
                <w:szCs w:val="21"/>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disposition of properties</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(757 )</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Above/below-market rent, straight-line rent and other adjustments </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(2,869 )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(13,088 )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(7,477 )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(15,330 )</w:t>
            </w:r>
          </w:p>
        </w:tc>
      </w:tr>
      <w:tr>
        <w:trPr>
          <w:trHeight w:val="232"/>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NOI</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58,623</w:t>
            </w: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113,929</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104,254</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in consolidated NOI</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(1,381 )</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(1,182 )</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(2,422 )</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(2,399 )</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 in consolidated NOI</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(18,322 )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(13,730 )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(35,253 )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(28,205 )</w:t>
            </w:r>
          </w:p>
        </w:tc>
      </w:tr>
      <w:tr>
        <w:trPr>
          <w:trHeight w:val="21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Operating Partnership's interest in Investment Management NOI included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(6,132 )</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(4,765 )</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(11,473 )</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(9,802 )</w:t>
            </w:r>
          </w:p>
        </w:tc>
      </w:tr>
      <w:tr>
        <w:trPr>
          <w:trHeight w:val="250"/>
        </w:trPr>
        <w:tc>
          <w:tcPr>
            <w:tcW w:w="6100" w:type="dxa"/>
            <w:vAlign w:val="bottom"/>
            <w:tcBorders>
              <w:bottom w:val="single" w:sz="8" w:color="CFF0FC"/>
            </w:tcBorders>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Add: Operating Partnership's share of unconsolidated joint ventures NOI </w:t>
            </w:r>
            <w:r>
              <w:rPr>
                <w:rFonts w:ascii="Times New Roman" w:cs="Times New Roman" w:eastAsia="Times New Roman" w:hAnsi="Times New Roman"/>
                <w:sz w:val="24"/>
                <w:szCs w:val="24"/>
                <w:color w:val="auto"/>
                <w:vertAlign w:val="superscript"/>
              </w:rPr>
              <w:t>(b)</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Portfolio NOI</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-187960</wp:posOffset>
            </wp:positionV>
            <wp:extent cx="7683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straight-line rent reserves. See </w:t>
      </w:r>
      <w:r>
        <w:rPr>
          <w:rFonts w:ascii="Times New Roman" w:cs="Times New Roman" w:eastAsia="Times New Roman" w:hAnsi="Times New Roman"/>
          <w:sz w:val="14"/>
          <w:szCs w:val="14"/>
          <w:u w:val="single" w:color="auto"/>
          <w:color w:val="0000FF"/>
        </w:rPr>
        <w:t>Note 11</w:t>
      </w:r>
      <w:r>
        <w:rPr>
          <w:rFonts w:ascii="Times New Roman" w:cs="Times New Roman" w:eastAsia="Times New Roman" w:hAnsi="Times New Roman"/>
          <w:sz w:val="14"/>
          <w:szCs w:val="14"/>
          <w:color w:val="auto"/>
        </w:rPr>
        <w:t xml:space="preserve"> for additional information about straight-line rent reserves and adjustments for the periods presented.</w:t>
      </w:r>
    </w:p>
    <w:p>
      <w:pPr>
        <w:spacing w:after="0" w:line="2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the Operating Partnership’s share of NOI from unconsolidated joint ventures within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4711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-121285</wp:posOffset>
            </wp:positionV>
            <wp:extent cx="2882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8290"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Same-Property NOI includes Core Portfolio properties that we owned for both the current and prior periods presented, but excludes those properties that we acquired, sold or expected to sell, redeveloped and developed during these periods. The following table summarizes Same-Property NOI for our Core Portfolio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1"/>
                <w:szCs w:val="21"/>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Core Portfolio NOI</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100" w:type="dxa"/>
            <w:vAlign w:val="bottom"/>
            <w:shd w:val="clear" w:color="auto" w:fill="CFF0FC"/>
          </w:tcPr>
          <w:p>
            <w:pPr>
              <w:spacing w:after="0"/>
              <w:rPr>
                <w:sz w:val="20"/>
                <w:szCs w:val="20"/>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properties excluded from Same-Property NOI</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(2,961 )</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(5,335 )</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(6,887 )</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(11,235 )</w:t>
            </w: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Same-Property NOI</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Percent change from prior year period</w:t>
            </w:r>
          </w:p>
        </w:tc>
        <w:tc>
          <w:tcPr>
            <w:tcW w:w="12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24"/>
        </w:trPr>
        <w:tc>
          <w:tcPr>
            <w:tcW w:w="57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Same-Property NOI:</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Same-Property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45,613</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87,057</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Same-Property Operating Expenses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(13,535 )</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(12,877 )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(27,650 )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(26,344 )</w:t>
            </w:r>
          </w:p>
        </w:tc>
      </w:tr>
      <w:tr>
        <w:trPr>
          <w:trHeight w:val="237"/>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Same-Property NOI</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64,106</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60,713</w:t>
            </w:r>
          </w:p>
        </w:tc>
        <w:tc>
          <w:tcPr>
            <w:tcW w:w="100" w:type="dxa"/>
            <w:vAlign w:val="bottom"/>
            <w:tcBorders>
              <w:top w:val="single" w:sz="8" w:color="CFF0FC"/>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-1165225</wp:posOffset>
            </wp:positionV>
            <wp:extent cx="7747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-1165225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-1165225</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-831215</wp:posOffset>
            </wp:positionV>
            <wp:extent cx="7747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-814070</wp:posOffset>
            </wp:positionV>
            <wp:extent cx="7747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-831215</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-814070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Spreads on Core Portfolio New and Renewal Leases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rent spreads on both a cash basis and straight-line basis for new and renewal leases based on leases executed within our Core Portfolio for the periods presented. Cash basis represents a comparison of rent most recently paid on the previous lease as compared to the initial rent paid on the new lease. Straight-line basis represents a comparison of rents as adjusted for contractual escalations, abated rent, and lease incentives for the same comparable leases. The table below includes embedded option renewals for which the renewed rent was equal to or approximated existing base rent.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5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07"/>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Straight-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Straight-</w:t>
            </w:r>
          </w:p>
        </w:tc>
        <w:tc>
          <w:tcPr>
            <w:tcW w:w="160" w:type="dxa"/>
            <w:vAlign w:val="bottom"/>
            <w:gridSpan w:val="2"/>
          </w:tcPr>
          <w:p>
            <w:pPr>
              <w:spacing w:after="0"/>
              <w:rPr>
                <w:sz w:val="18"/>
                <w:szCs w:val="18"/>
                <w:color w:val="auto"/>
              </w:rPr>
            </w:pPr>
          </w:p>
        </w:tc>
      </w:tr>
      <w:tr>
        <w:trPr>
          <w:trHeight w:val="245"/>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Core Portfolio New and Renewal Leases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Line Basis</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Line Basis</w:t>
            </w:r>
          </w:p>
        </w:tc>
        <w:tc>
          <w:tcPr>
            <w:tcW w:w="160" w:type="dxa"/>
            <w:vAlign w:val="bottom"/>
            <w:gridSpan w:val="2"/>
          </w:tcPr>
          <w:p>
            <w:pPr>
              <w:spacing w:after="0"/>
              <w:rPr>
                <w:sz w:val="21"/>
                <w:szCs w:val="21"/>
                <w:color w:val="auto"/>
              </w:rPr>
            </w:pPr>
          </w:p>
        </w:tc>
      </w:tr>
      <w:tr>
        <w:trPr>
          <w:trHeight w:val="243"/>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new and renewal leases executed</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GLA commencing</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base rent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Expiring base 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growth in base rent</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23.0 %</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7.7 %</w:t>
            </w: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68"/>
        </w:trPr>
        <w:tc>
          <w:tcPr>
            <w:tcW w:w="536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Average cost per square foot </w:t>
            </w:r>
            <w:r>
              <w:rPr>
                <w:rFonts w:ascii="Times New Roman" w:cs="Times New Roman" w:eastAsia="Times New Roman" w:hAnsi="Times New Roman"/>
                <w:sz w:val="24"/>
                <w:szCs w:val="24"/>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lease term (years)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47117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14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The average cost per square foot includes tenant improvement costs, leasing commissions and tenant allowances.</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funds from operations (“FFO”) as defined by the National Association of Real Estate Investment Trusts (“NAREIT”) to be an appropriate supplemental disclosure of operating performance due to its widespread acceptance and use within the REIT investor and analyst communities. FFO is presented to assist investors in analyzing our performance. It is helpful as it excludes various items included in net income that are not indicative of the operating performance, such as gains (losses) from sales of depreciated property, depreciation and amortization, and impairment of real estate. Our method of calculating FFO may be different from methods used by other REITs and, accordingly, may not be comparable to such other REITs. FFO does not represent cash generated from operations as defined by GAAP and is not indicative of cash available to fund all cash needs, including distributions. It should not be considered as an alternative to net income for the purpose of evaluating our performance or to cash flows as a measure of liquidity. Consistent with the NAREIT definition, we define FFO as net income (computed in accordance with GAAP), excluding gains (losses) from sales of depreciated property and impairment of depreciable real estate, plus depreciation and amortization, and after adjustments for unconsolidated partnerships and joint ventures. Also consistent with NAREIT’s definition of FFO, the Company has elected to include gains and losses incidental to its main business (including those related to its RCP investments, such as Albertsons) in FFO. A reconciliation of net income (loss) attributable to Acadia to FFO follows (dollars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Acadia</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real estate and amortization of leasing costs (net of</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 share)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disposition of property (net of noncontrolling interests' share)</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OP Unit holders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 Preferred OP Units</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Funds from operations attributable to Common Shareholders and</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38,221</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OP Unit holders - Basic and Diluted</w:t>
            </w:r>
          </w:p>
        </w:tc>
        <w:tc>
          <w:tcPr>
            <w:tcW w:w="4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per Share - Diluted</w:t>
            </w:r>
          </w:p>
        </w:tc>
        <w:tc>
          <w:tcPr>
            <w:tcW w:w="3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 GAAP earnings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103,592,238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95,259,924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102,859,977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95,224,901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OP Units outstanding</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7,226,475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6,918,443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7,525,197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6,835,840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and OP Units outstanding, FFO</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110,818,713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102,178,367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110,385,174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102,060,741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Assumed conversion of Preferred OP Units to Common Shares</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463,898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conversion of LTIP units and Restricted Share Units to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698,490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686,088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4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Diluted weighted-average number of Common Shares and Common</w:t>
            </w: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111,836,660</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102,642,265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111,096,329</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102,524,639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 Units outstanding, FFO</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Funds from operations, per Common Share and Common OP Unit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4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-2922270</wp:posOffset>
            </wp:positionV>
            <wp:extent cx="774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-2922270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-2922270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-2005330</wp:posOffset>
            </wp:positionV>
            <wp:extent cx="7747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-2005330</wp:posOffset>
            </wp:positionV>
            <wp:extent cx="685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-1130935</wp:posOffset>
            </wp:positionV>
            <wp:extent cx="774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-1113790</wp:posOffset>
            </wp:positionV>
            <wp:extent cx="7747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-1113790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-1130935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-1113790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-796290</wp:posOffset>
            </wp:positionV>
            <wp:extent cx="7747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-779145</wp:posOffset>
            </wp:positionV>
            <wp:extent cx="7747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6858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-779145</wp:posOffset>
            </wp:positionV>
            <wp:extent cx="6858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-796290</wp:posOffset>
            </wp:positionV>
            <wp:extent cx="685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-779145</wp:posOffset>
            </wp:positionV>
            <wp:extent cx="6858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Uses of Liquidity and Cash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our principal uses of liquidity are (i) distributions to our shareholders and OP unit holders, (ii) investments, which include the funding of our capital committed to the Funds in our Investment Management platform and property acquisitions and development/re-tenanting activities within our Core Portfolio, (iii) distributions to our Fund investors, (iv) debt service and loan repayments and (v) share repurchases.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qualify as a REIT for federal income tax purposes, we must distribute at least 90% of our taxable income to our shareholders. During the six months ended June 30, 2024, we paid dividends and distributions on our Common Shares and Preferred OP Units totaling $37.5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2024, through Investment Management, we acquired a shopping center, the Walk at Highwoods Preserve, located in Tampa, Florida for $30.7 million, inclusive of transaction costs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-48260</wp:posOffset>
            </wp:positionV>
            <wp:extent cx="36512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Financing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originated one Core note receivable of $7.6 million to a related party, which is secured by the borrower’s equity interest in the Renaissance Portfolio, 1238 Wisconsin Avenue, and another Georgetown property, bears interest at 12% and matures on December 31, 2025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wp:posOffset>
            </wp:positionV>
            <wp:extent cx="30797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we made capital contributions aggregating $11.1 million to our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our share of the remaining capital commitments to our Funds aggregated $18.1 million as follows:</w:t>
      </w:r>
    </w:p>
    <w:p>
      <w:pPr>
        <w:spacing w:after="0" w:line="117"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to Fund III – Fund III was launched in May 2007 with total committed capital of $450.0 million, of which our original share was $89.6 million. During 2015, we acquired an additional interest, which had an original capital commitment of $20.9 million.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to Fund IV – Fund IV was launched in May 2012 with total committed capital of $530.0 million, of which our original share was $122.5 million.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to Fund V – Fund V was launched in August 2016 with total committed capital of $520.0 million, of which our original share was $104.5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capitalized costs associated with development activities totaled $7 million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As of June 30, 2024, we had a total of 13 consolidated projects under development or redevelopment, for which the estimated total cost to complete these projects through 2025 was $35.0 million to $61.2 million, and our estimated share was approximately $18.9 million to $33.7 million. Substantially all remaining development and redevelopment costs are discretionary, and could be affected by various risks and uncertainties, including, but not limited to, the effects of the current inflationary environment, rising interest rates, and other risks detailed in Part I, Item 1A. Risk Factors of our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-707390</wp:posOffset>
            </wp:positionV>
            <wp:extent cx="30797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our consolidated debt, which includes the full amount of Fund related obligations and excludes our pro rata share of debt at our unconsolidated subsidiaries,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 Fixed and Effectively Fixed Rate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1,379,807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1,454,707</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 Variable Rate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327,851</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426,380</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1,707,658</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1,881,087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unamortized debt issuance costs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(12,053 )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(11,186 )</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premium</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Indebtedness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1,695,828</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1,870,141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our consolidated indebtedness aggregated $1,707.7 million, excluding unamortized premium of $0.2 million and net unamortized loan costs of $12.1 million, and was collateralized by 31 properties and related tenant leases. Stated interest rates on our outstanding indebtedness ranged from 3.99% to SOFR + 3.75% with maturities that ranged from July 8, 2024 to April 15, 2035, without regard to available extension options. With respect to the debt maturing in 2024, we are actively pursuing refinancing the remaining obligations, though there can be no assurance that we can refinance such obligations on favorable terms or at all. Taking into consideration $1,188.3 million of notional principal under variable to fixed-rate swap agreements currently in effect, $1,379.8 million of the portfolio debt, or 80.8%, was fixed at a 4.74% weighted average interest rate and $327.9 million, or 19.2%%, was floating at a 8.10% weighted average interest rate as of June 30, 2024. Our variable-rate debt includes $151.2 million of debt subject to interest rate caps.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Without regard to available extension options, as of June 30, 2024, we had $211.8 million of debt maturing in 2024 at a weighted-average interest rate of 4.18%; $2.8 million of scheduled principal amortization due in the remainder of 2024; and our share of scheduled remaining 2024 principal payments and maturities on our unconsolidated debt was $59.6 million. In addition, $373.6 million of our total consolidated debt and $57.7 million of our pro-rata share of unconsolidated debt will come due by June 30, 2025. With respect to the debt maturing in 2024 and 2025, we have options to extend consolidated debt aggregating $40.0 million and $327.3 million as of June 30, 2024 and; however, there can be no assurance that the Company will be able to successfully execute any or all of its available extension options. For the remaining indebtedness, we may not have sufficient cash on hand to repay such indebtedness, and, therefore, we expect to refinance at least a portion of this indebtedness or select other alternatives based on market conditions as these loans mature; however, there can be no assurance that we will be able to obtain financing on acceptable terms or at all. Our ability to obtain financing could be affected by various risks and uncertainties, including, but not limited to, the effects of the current inflationary environment, rising interest rates, and other risks detailed in Part I, Item 1A. Risk Factors of our Annual Report on Form 10-K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share repurchase program under which $122.5 million remains available as of June 30, 2024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We did not repurchase any shares under this program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5091430</wp:posOffset>
            </wp:positionH>
            <wp:positionV relativeFrom="paragraph">
              <wp:posOffset>-185420</wp:posOffset>
            </wp:positionV>
            <wp:extent cx="36512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capital for funding our short-term (less than 12 months) and long-term (12 months and longer) liquidity needs include (i) the issuance of both public equity and OP Units, (ii) the issuance of both secured and unsecured debt, (iii) unfunded capital commitments from noncontrolling interests within Investment Management, (iv) future sales of existing properties, (v) repayments of structured financing investments, (vi) liquidation of marketable securities, and (vii) cash on hand and future cash flow from operating activities. Our cash on hand in our consolidated subsidiaries as of June 30, 2024 totaled $31.9 million. Our remaining sources of liquidity are described further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the Company completed an underwritten offering of 6,900,000 Common Shares (inclusive of the underwriters’ option to purchase 900,000 additional shares) for net proceeds of $113.0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an ATM Program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that provides us with an efficient and low-cost vehicle for raising capital through public equity issuances on an as-we-go basis to fund our capital needs. Through this program, we have been able to effectively “match-fund” the required capital for our Core Portfolio and our share of Investment Management acquisitions through the issuance of Common Shares over extended periods employing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-298450</wp:posOffset>
            </wp:positionV>
            <wp:extent cx="36512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a price averaging strategy. In addition, from time to time, we have issued and may issue, equity in follow-on offerings separate from our ATM Program. Net proceeds raised through our ATM Program and follow-on offerings are primarily used for acquisitions, both for our Core Portfolio and our pro-rata share of Investment Management acquisitions, and for general corporate purposes. The Company sold 1,739,288 Common Shares under its ATM Program during the six months ended June 30, 2024 generating $29.9 million of net proceeds after related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Fund V called for capital contributions of $52.2 million, of which our aggregate share was $11.1 million. As of June 30, 2024, unfunded capital commitments from noncontrolling interests within Funds II, III, IV and V were $0, $1.4 million, $18.5 million and $48.3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 and Other Transactions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deconsolidated one Core property, two consolidated Investment Management properties and one outparcel, and one unconsolidated investment, as follows:</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Fund IV sold its consolidated 2207 and 2208-2216 Fillmore Street properties for a total sales price of $14.1 million and repaid the related $6.4 million of debt at closing. Fund IV recognized a gain of $2.4 million, of which the Company’s proportionate share was $0.5 million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2024, we sold a 95% interest in the Shops at Grand for a total of $48.3 million and retained a 5% ownership interest through an investment in a newly formed joint venture which was fair valued at $2.4 million. As we now have a noncontrolling interest, we recognized a loss on deconsolidation of $2.2 million related to transaction costs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Fund V sold an outparcel at Canton Marketplace for $2.2 million and recognized a gain of $0.6 million, of which the Company’s proportionate share was $0.1 million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Fund IV sold its unconsolidated Paramus Plaza property for a total of $36.8 million and repaid the related debt of $27.9 million. Fund IV recognized a gain of $4.1 million, of which the Company’s proportionate share was $1.0 million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-1214120</wp:posOffset>
            </wp:positionV>
            <wp:extent cx="30797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-734060</wp:posOffset>
            </wp:positionV>
            <wp:extent cx="30797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-391160</wp:posOffset>
            </wp:positionV>
            <wp:extent cx="30797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-48260</wp:posOffset>
            </wp:positionV>
            <wp:extent cx="30797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sold 350,000 shares of Albertsons, generating net proceeds of $7.6 million. As of June 30, 2024, we held 1.1 million shares with a fair value of $21.7 million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In addition, during the six months ended June 30, 2024, we recognized dividend income of $0.3 million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-175895</wp:posOffset>
            </wp:positionV>
            <wp:extent cx="30797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07975" cy="8890"/>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-38735</wp:posOffset>
            </wp:positionV>
            <wp:extent cx="30797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Financing Repayments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received full payment on a $6.0 million Core Portfolio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Debt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we had $253.6 million of capacity under existing Core Portfolio debt facilities. In addition, as of that date within our Core Portfolio and Investment Management, we had 91 unleveraged consolidated properties with an aggregate carrying value of approximately $1.8 billion, although there can be no assurance that we would be able to obtain financing for these properties at favorable terms, if at all.</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compares the historical cash flow for the six months ended June 30, 2024 with the cash flow for the six months ended June 30, 2023 (in millions, totals may not add due to rounding):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20"/>
                <w:szCs w:val="20"/>
                <w:color w:val="auto"/>
              </w:rPr>
            </w:pPr>
          </w:p>
        </w:tc>
      </w:tr>
      <w:tr>
        <w:trPr>
          <w:trHeight w:val="47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(31.5 )</w:t>
            </w:r>
          </w:p>
        </w:tc>
      </w:tr>
      <w:tr>
        <w:trPr>
          <w:trHeight w:val="25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(26.7 )</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(48.2 )</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132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4"/>
                <w:szCs w:val="24"/>
                <w:color w:val="auto"/>
              </w:rPr>
            </w:pPr>
          </w:p>
        </w:tc>
      </w:tr>
      <w:tr>
        <w:trPr>
          <w:trHeight w:val="413"/>
        </w:trPr>
        <w:tc>
          <w:tcPr>
            <w:tcW w:w="530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-796925</wp:posOffset>
            </wp:positionV>
            <wp:extent cx="7747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-779145</wp:posOffset>
            </wp:positionV>
            <wp:extent cx="7747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-796925</wp:posOffset>
            </wp:positionV>
            <wp:extent cx="6858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-779145</wp:posOffset>
            </wp:positionV>
            <wp:extent cx="685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cash inflows from rental revenue, and cash outflows for property operating expenses, general and administrative expenses and interest and debt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$31.5 million less cash for the six months ended June 30, 2024 as compared to the three months ended June 30, 2023, primarily due to the $28.2 million dividend received from our investment in Albertsons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is impacted by our investments in and advances to unconsolidated affiliates, the timing and extent of our real estate development, capital improvements, and acquisition and disposition activities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investing activities provided $46.7 million more cash for the six months ended June 30, 2024 as compared to the six months ended June 30, 2023, primarily due to (i) $58.7 million more cash received form the disposition of properties in 2024, (ii) $22.8 million less cash used in our investments in and advances to unconsolidated affiliates, (iii) $7.6 million more cash received from the sale of marketable securities, and (iv) $6.0 million more received from the payment of a note receivable. These sources of cash were offset by (i) $33.4 million less cash received from return of capital of unconsolidated affiliates, (ii) $7.9 million more cash used to originate a note receivable, and (iii) $6.8 million more cash used for development, construction and property improvement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is impacted by the timing and extent of issuances of debt and equity securities, distributions paid to common shareholders and unitholders of the Operating Partnership, as well as principal and other payments associated with our outstanding indebtedness.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financing activities used $17.3 million less cash during the six months ended June 30, 2024 as compared to the six months ended June 30, 2023, primarily from (i) $142.1 million more cash provided by the sale of Common Shares, (ii) $13.7 million less cash distributed to noncontrolling interests, and</w:t>
      </w:r>
    </w:p>
    <w:p>
      <w:pPr>
        <w:ind w:firstLine="8"/>
        <w:spacing w:after="0" w:line="250" w:lineRule="auto"/>
        <w:tabs>
          <w:tab w:leader="none" w:pos="3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more cash provided by contributions from noncontrolling interests. These increases were offset by (i) $142.6 million more cash used to repay debt, (ii) $6.8 million more used for payment of deferred financing fees, and (iii) $1.5 million more used to pay dividends.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the following investments made through joint ventures (that may include, among others, tenancy-in common and other similar investments) for the purpose of investing in operating properties. We account for these investments using the equity method of accounting. As such, our financial statements reflect our investment and our share of income and loss from, but not the individual assets and liabilities, of these joint ventures.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in the Notes to Condensed Consolidated Financial Statements, for a discussion of our unconsolidated investments. The Operating Partnership’s pro-rata share of unconsolidated non-recourse debt related to those investments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-185420</wp:posOffset>
            </wp:positionV>
            <wp:extent cx="30797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Operating Partnership</w:t>
            </w:r>
          </w:p>
        </w:tc>
        <w:tc>
          <w:tcPr>
            <w:tcW w:w="220" w:type="dxa"/>
            <w:vAlign w:val="bottom"/>
          </w:tcPr>
          <w:p>
            <w:pPr>
              <w:spacing w:after="0"/>
              <w:rPr>
                <w:sz w:val="21"/>
                <w:szCs w:val="21"/>
                <w:color w:val="auto"/>
              </w:rPr>
            </w:pPr>
          </w:p>
        </w:tc>
        <w:tc>
          <w:tcPr>
            <w:tcW w:w="3340" w:type="dxa"/>
            <w:vAlign w:val="bottom"/>
            <w:tcBorders>
              <w:bottom w:val="single" w:sz="8" w:color="auto"/>
            </w:tcBorders>
            <w:gridSpan w:val="3"/>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187"/>
        </w:trPr>
        <w:tc>
          <w:tcPr>
            <w:tcW w:w="7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ind w:left="360"/>
              <w:spacing w:after="0" w:line="187"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Pro-rata Share of</w:t>
            </w:r>
          </w:p>
        </w:tc>
        <w:tc>
          <w:tcPr>
            <w:tcW w:w="220" w:type="dxa"/>
            <w:vAlign w:val="bottom"/>
          </w:tcPr>
          <w:p>
            <w:pPr>
              <w:spacing w:after="0"/>
              <w:rPr>
                <w:sz w:val="16"/>
                <w:szCs w:val="16"/>
                <w:color w:val="auto"/>
              </w:rPr>
            </w:pPr>
          </w:p>
        </w:tc>
        <w:tc>
          <w:tcPr>
            <w:tcW w:w="176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b w:val="1"/>
                <w:bCs w:val="1"/>
                <w:color w:val="auto"/>
                <w:w w:val="99"/>
              </w:rPr>
              <w:t>Effective Interest</w:t>
            </w:r>
          </w:p>
        </w:tc>
        <w:tc>
          <w:tcPr>
            <w:tcW w:w="1580" w:type="dxa"/>
            <w:vAlign w:val="bottom"/>
          </w:tcPr>
          <w:p>
            <w:pPr>
              <w:spacing w:after="0"/>
              <w:rPr>
                <w:sz w:val="16"/>
                <w:szCs w:val="16"/>
                <w:color w:val="auto"/>
              </w:rPr>
            </w:pPr>
          </w:p>
        </w:tc>
      </w:tr>
      <w:tr>
        <w:trPr>
          <w:trHeight w:val="272"/>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20" w:type="dxa"/>
            <w:vAlign w:val="bottom"/>
          </w:tcPr>
          <w:p>
            <w:pPr>
              <w:spacing w:after="0"/>
              <w:rPr>
                <w:sz w:val="23"/>
                <w:szCs w:val="23"/>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3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Mortgage Debt</w:t>
            </w:r>
          </w:p>
        </w:tc>
        <w:tc>
          <w:tcPr>
            <w:tcW w:w="220" w:type="dxa"/>
            <w:vAlign w:val="bottom"/>
          </w:tcPr>
          <w:p>
            <w:pPr>
              <w:spacing w:after="0"/>
              <w:rPr>
                <w:sz w:val="23"/>
                <w:szCs w:val="23"/>
                <w:color w:val="auto"/>
              </w:rPr>
            </w:pPr>
          </w:p>
        </w:tc>
        <w:tc>
          <w:tcPr>
            <w:tcW w:w="150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1"/>
              </w:rPr>
              <w:t xml:space="preserve">Rate </w:t>
            </w:r>
            <w:r>
              <w:rPr>
                <w:rFonts w:ascii="Times New Roman" w:cs="Times New Roman" w:eastAsia="Times New Roman" w:hAnsi="Times New Roman"/>
                <w:sz w:val="24"/>
                <w:szCs w:val="24"/>
                <w:b w:val="1"/>
                <w:bCs w:val="1"/>
                <w:color w:val="auto"/>
                <w:w w:val="91"/>
                <w:vertAlign w:val="superscript"/>
              </w:rPr>
              <w:t>(a)</w:t>
            </w:r>
          </w:p>
        </w:tc>
        <w:tc>
          <w:tcPr>
            <w:tcW w:w="260" w:type="dxa"/>
            <w:vAlign w:val="bottom"/>
          </w:tcPr>
          <w:p>
            <w:pPr>
              <w:spacing w:after="0"/>
              <w:rPr>
                <w:sz w:val="23"/>
                <w:szCs w:val="23"/>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37"/>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Eden Square</w:t>
            </w:r>
          </w:p>
        </w:tc>
        <w:tc>
          <w:tcPr>
            <w:tcW w:w="122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7.60 %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 2024</w:t>
            </w:r>
          </w:p>
        </w:tc>
      </w:tr>
      <w:tr>
        <w:trPr>
          <w:trHeight w:val="239"/>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Gotham Plaza</w:t>
            </w:r>
          </w:p>
        </w:tc>
        <w:tc>
          <w:tcPr>
            <w:tcW w:w="1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49.0 %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9.33 %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 2024</w:t>
            </w:r>
          </w:p>
        </w:tc>
      </w:tr>
      <w:tr>
        <w:trPr>
          <w:trHeight w:val="247"/>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Crossroads Shopping Center</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49.0 %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 2024</w:t>
            </w:r>
          </w:p>
        </w:tc>
      </w:tr>
      <w:tr>
        <w:trPr>
          <w:trHeight w:val="243"/>
        </w:trPr>
        <w:tc>
          <w:tcPr>
            <w:tcW w:w="44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Tri-City Plaza</w:t>
            </w:r>
            <w:r>
              <w:rPr>
                <w:rFonts w:ascii="Times New Roman" w:cs="Times New Roman" w:eastAsia="Times New Roman" w:hAnsi="Times New Roman"/>
                <w:sz w:val="24"/>
                <w:szCs w:val="24"/>
                <w:color w:val="auto"/>
                <w:vertAlign w:val="superscript"/>
              </w:rPr>
              <w:t>(b)</w:t>
            </w:r>
          </w:p>
        </w:tc>
        <w:tc>
          <w:tcPr>
            <w:tcW w:w="12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 2024</w:t>
            </w:r>
          </w:p>
        </w:tc>
      </w:tr>
      <w:tr>
        <w:trPr>
          <w:trHeight w:val="243"/>
        </w:trPr>
        <w:tc>
          <w:tcPr>
            <w:tcW w:w="440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Frederick Crossing</w:t>
            </w:r>
            <w:r>
              <w:rPr>
                <w:rFonts w:ascii="Times New Roman" w:cs="Times New Roman" w:eastAsia="Times New Roman" w:hAnsi="Times New Roman"/>
                <w:sz w:val="24"/>
                <w:szCs w:val="24"/>
                <w:color w:val="auto"/>
                <w:vertAlign w:val="superscript"/>
              </w:rPr>
              <w:t>(b)</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3.27 %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 2024</w:t>
            </w:r>
          </w:p>
        </w:tc>
      </w:tr>
      <w:tr>
        <w:trPr>
          <w:trHeight w:val="243"/>
        </w:trPr>
        <w:tc>
          <w:tcPr>
            <w:tcW w:w="44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Frederick County Square</w:t>
            </w:r>
            <w:r>
              <w:rPr>
                <w:rFonts w:ascii="Times New Roman" w:cs="Times New Roman" w:eastAsia="Times New Roman" w:hAnsi="Times New Roman"/>
                <w:sz w:val="24"/>
                <w:szCs w:val="24"/>
                <w:color w:val="auto"/>
                <w:vertAlign w:val="superscript"/>
              </w:rPr>
              <w:t>(b)</w:t>
            </w:r>
          </w:p>
        </w:tc>
        <w:tc>
          <w:tcPr>
            <w:tcW w:w="12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5.67 %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2025</w:t>
            </w:r>
          </w:p>
        </w:tc>
      </w:tr>
      <w:tr>
        <w:trPr>
          <w:trHeight w:val="243"/>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650 Bald Hill Rd</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20.8 %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3.75 %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 2026</w:t>
            </w:r>
          </w:p>
        </w:tc>
      </w:tr>
      <w:tr>
        <w:trPr>
          <w:trHeight w:val="243"/>
        </w:trPr>
        <w:tc>
          <w:tcPr>
            <w:tcW w:w="44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Renaissance Portfolio</w:t>
            </w:r>
            <w:r>
              <w:rPr>
                <w:rFonts w:ascii="Times New Roman" w:cs="Times New Roman" w:eastAsia="Times New Roman" w:hAnsi="Times New Roman"/>
                <w:sz w:val="24"/>
                <w:szCs w:val="24"/>
                <w:color w:val="auto"/>
                <w:vertAlign w:val="superscript"/>
              </w:rPr>
              <w:t>(c)</w:t>
            </w:r>
          </w:p>
        </w:tc>
        <w:tc>
          <w:tcPr>
            <w:tcW w:w="12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20.0 %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 2026</w:t>
            </w:r>
          </w:p>
        </w:tc>
      </w:tr>
      <w:tr>
        <w:trPr>
          <w:trHeight w:val="243"/>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840 N. Michigan</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91.9 %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6.50 %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 2026</w:t>
            </w:r>
          </w:p>
        </w:tc>
      </w:tr>
      <w:tr>
        <w:trPr>
          <w:trHeight w:val="243"/>
        </w:trPr>
        <w:tc>
          <w:tcPr>
            <w:tcW w:w="44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3104 M Street</w:t>
            </w:r>
            <w:r>
              <w:rPr>
                <w:rFonts w:ascii="Times New Roman" w:cs="Times New Roman" w:eastAsia="Times New Roman" w:hAnsi="Times New Roman"/>
                <w:sz w:val="24"/>
                <w:szCs w:val="24"/>
                <w:color w:val="auto"/>
                <w:vertAlign w:val="superscript"/>
              </w:rPr>
              <w:t>(c)</w:t>
            </w:r>
          </w:p>
        </w:tc>
        <w:tc>
          <w:tcPr>
            <w:tcW w:w="12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20.0 %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8.50 %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2027</w:t>
            </w:r>
          </w:p>
        </w:tc>
      </w:tr>
      <w:tr>
        <w:trPr>
          <w:trHeight w:val="243"/>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Wood Ridge Plaza</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7.27 %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 2027</w:t>
            </w:r>
          </w:p>
        </w:tc>
      </w:tr>
      <w:tr>
        <w:trPr>
          <w:trHeight w:val="239"/>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 Frontera</w:t>
            </w:r>
          </w:p>
        </w:tc>
        <w:tc>
          <w:tcPr>
            <w:tcW w:w="1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 2027</w:t>
            </w:r>
          </w:p>
        </w:tc>
      </w:tr>
      <w:tr>
        <w:trPr>
          <w:trHeight w:val="247"/>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Riverdale FC</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18.0 %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7.27 %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 2027</w:t>
            </w:r>
          </w:p>
        </w:tc>
      </w:tr>
      <w:tr>
        <w:trPr>
          <w:trHeight w:val="239"/>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Georgetown Portfolio</w:t>
            </w:r>
          </w:p>
        </w:tc>
        <w:tc>
          <w:tcPr>
            <w:tcW w:w="1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50.0 %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 2027</w:t>
            </w:r>
          </w:p>
        </w:tc>
      </w:tr>
      <w:tr>
        <w:trPr>
          <w:trHeight w:val="247"/>
        </w:trPr>
        <w:tc>
          <w:tcPr>
            <w:tcW w:w="4400" w:type="dxa"/>
            <w:vAlign w:val="bottom"/>
            <w:gridSpan w:val="3"/>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Shoppes at South Hills</w:t>
            </w:r>
            <w:r>
              <w:rPr>
                <w:rFonts w:ascii="Times New Roman" w:cs="Times New Roman" w:eastAsia="Times New Roman" w:hAnsi="Times New Roman"/>
                <w:sz w:val="24"/>
                <w:szCs w:val="24"/>
                <w:color w:val="auto"/>
                <w:vertAlign w:val="superscript"/>
              </w:rPr>
              <w:t>(b)</w:t>
            </w:r>
          </w:p>
        </w:tc>
        <w:tc>
          <w:tcPr>
            <w:tcW w:w="12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5.95 %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 2028</w:t>
            </w:r>
          </w:p>
        </w:tc>
      </w:tr>
      <w:tr>
        <w:trPr>
          <w:trHeight w:val="239"/>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Mohawk Commons</w:t>
            </w:r>
          </w:p>
        </w:tc>
        <w:tc>
          <w:tcPr>
            <w:tcW w:w="1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18.1 %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5.80 %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 2028</w:t>
            </w:r>
          </w:p>
        </w:tc>
      </w:tr>
      <w:tr>
        <w:trPr>
          <w:trHeight w:val="247"/>
        </w:trPr>
        <w:tc>
          <w:tcPr>
            <w:tcW w:w="760" w:type="dxa"/>
            <w:vAlign w:val="bottom"/>
            <w:tcBorders>
              <w:bottom w:val="single" w:sz="8" w:color="CFF0FC"/>
            </w:tcBorders>
            <w:shd w:val="clear" w:color="auto" w:fill="CFF0FC"/>
          </w:tcPr>
          <w:p>
            <w:pPr>
              <w:spacing w:after="0"/>
              <w:rPr>
                <w:sz w:val="21"/>
                <w:szCs w:val="21"/>
                <w:color w:val="auto"/>
              </w:rPr>
            </w:pPr>
          </w:p>
        </w:tc>
        <w:tc>
          <w:tcPr>
            <w:tcW w:w="3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spacing w:after="0"/>
              <w:rPr>
                <w:sz w:val="21"/>
                <w:szCs w:val="21"/>
                <w:color w:val="auto"/>
              </w:rPr>
            </w:pPr>
          </w:p>
        </w:tc>
      </w:tr>
      <w:tr>
        <w:trPr>
          <w:trHeight w:val="237"/>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-281940</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interest rates incorporate the effect of interest rate swaps and caps that were in effect as of June 30, 2024, where applicable.</w:t>
      </w:r>
    </w:p>
    <w:p>
      <w:pPr>
        <w:spacing w:after="0" w:line="3" w:lineRule="exact"/>
        <w:rPr>
          <w:rFonts w:ascii="Times New Roman" w:cs="Times New Roman" w:eastAsia="Times New Roman" w:hAnsi="Times New Roman"/>
          <w:sz w:val="14"/>
          <w:szCs w:val="14"/>
          <w:color w:val="auto"/>
        </w:rPr>
      </w:pPr>
    </w:p>
    <w:p>
      <w:pPr>
        <w:ind w:left="1020" w:hanging="503"/>
        <w:spacing w:after="0" w:line="221"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has one available 12-month extension option.</w:t>
      </w:r>
    </w:p>
    <w:p>
      <w:pPr>
        <w:ind w:left="1020" w:hanging="503"/>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has two available 12-month extension options.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condensed consolidated financial statements, which have been prepared in accordance with GAAP. The preparation of condensed consolidated financial statements requires management to make estimates and judgments that affect the reported amounts of assets, liabilities, revenues and expenses. We base our estimates on historical experience and assumptions that are believed to be reasonable under the circumstances, the results of which form the basis for making judgments about carrying value of assets and liabilities that are not readily apparent from other sources. Actual results may differ from these estimates under different assumptions or conditions. We believe there have been no material changes to the items that we disclosed as our critical accounting policies under Item 7, “Management’s Discussion and Analysis of Financial Condition and Results of Operations,” in our 2023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Reference is made to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in the Notes to Condensed Consolidated Financial Statements for information about 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-185420</wp:posOffset>
            </wp:positionV>
            <wp:extent cx="34226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265" cy="8890"/>
                    </a:xfrm>
                    <a:prstGeom prst="rect">
                      <a:avLst/>
                    </a:prstGeom>
                    <a:noFill/>
                  </pic:spPr>
                </pic:pic>
              </a:graphicData>
            </a:graphic>
          </wp:anchor>
        </w:drawing>
      </w:r>
    </w:p>
    <w:p>
      <w:pPr>
        <w:spacing w:after="0" w:line="16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as of June 30,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primary market risk exposure is to changes in interest rates related to our mortgage and other debt.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in the Notes to Condensed Consolidated Financial Statements, for certain quantitative details related to our mortgage and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-161925</wp:posOffset>
            </wp:positionV>
            <wp:extent cx="30797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Currently, we manage our exposure to fluctuations in interest rates primarily through the use of fixed-rate debt and interest rate swap and cap agreements. As of June 30, 2024, we had total mortgage and other notes payable of $1,707.7 million, excluding the unamortized premium of $0.2 million and net unamortized debt issuance costs of $12.1 million, of which $1,379.8 million, or 80.8% was fixed-rate, inclusive of debt with rates fixed through the use of derivative financial instruments, and $327.9 million, or 19.2%, was variable-rate based upon LIBOR, SOFR or Prime rates plus certain spreads. As of June 30, 2024, we were party to 36 interest rate swaps and four interest rate cap agreements to hedge our exposure to changes in interest rates with respect to $1,188.3 million and $151.2 million of variable-rate debt, respectively. For a discussion of the risks associated with the discontinuation of LIBOR, see Item 1A. “Risk Factors—Risks Related to Our Liquidity and Indebtedness on our Annual Report on Form 10-K for the year ended December 31, 2023 — If we decided to employ higher leverage levels, we would be subject to increased debt service requirements and a higher risk of default on our debt obligations, which could adversely affect our financial conditions, cash flows and ability to make distributions to our shareholders. In addition, increases or changes in interest rates could cause our borrowing costs to rise and may limit our ability to refinance debt.”</w:t>
      </w:r>
    </w:p>
    <w:p>
      <w:pPr>
        <w:spacing w:after="0" w:line="19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June 30, 2024 concerning our long-term debt obligations, including principal cash flows by scheduled maturity (without regard to available extension options) and weighted average effective interest rates of maturing amounts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Core Consolidated Mortgage and Other Debt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0"/>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5"/>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gridSpan w:val="2"/>
          </w:tcPr>
          <w:p>
            <w:pPr>
              <w:spacing w:after="0"/>
              <w:rPr>
                <w:sz w:val="21"/>
                <w:szCs w:val="2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2"/>
        </w:trPr>
        <w:tc>
          <w:tcPr>
            <w:tcW w:w="428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60" w:type="dxa"/>
            <w:vAlign w:val="bottom"/>
            <w:shd w:val="clear" w:color="auto" w:fill="CFF0FC"/>
          </w:tcPr>
          <w:p>
            <w:pPr>
              <w:spacing w:after="0"/>
              <w:rPr>
                <w:sz w:val="23"/>
                <w:szCs w:val="23"/>
                <w:color w:val="auto"/>
              </w:rPr>
            </w:pPr>
          </w:p>
        </w:tc>
        <w:tc>
          <w:tcPr>
            <w:tcW w:w="14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444"/>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Fund Consolidated Mortgage and Other Debt</w:t>
            </w: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450"/>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34"/>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2"/>
        </w:trPr>
        <w:tc>
          <w:tcPr>
            <w:tcW w:w="42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54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54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5430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-1885315</wp:posOffset>
            </wp:positionV>
            <wp:extent cx="7683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-1868170</wp:posOffset>
            </wp:positionV>
            <wp:extent cx="768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-1885315</wp:posOffset>
            </wp:positionV>
            <wp:extent cx="685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-1868170</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-1885315</wp:posOffset>
            </wp:positionV>
            <wp:extent cx="685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-1868170</wp:posOffset>
            </wp:positionV>
            <wp:extent cx="6858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Debt in Unconsolidated Partnerships (at our Pro-Rata Share)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5"/>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gridSpan w:val="2"/>
          </w:tcPr>
          <w:p>
            <w:pPr>
              <w:spacing w:after="0"/>
              <w:rPr>
                <w:sz w:val="21"/>
                <w:szCs w:val="2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2"/>
        </w:trPr>
        <w:tc>
          <w:tcPr>
            <w:tcW w:w="4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6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Without regard to available extension options, in the remainder of 2024, $214.6 million of our total consolidated debt and $59.6 million of our pro-rata share of unconsolidated outstanding debt will become due. In addition, $412.9 million of our total consolidated debt and $10.5 million of our pro-rata share of unconsolidated debt will become due in 2025. As it relates to the aforementioned maturing debt in 2024 and 2025, we</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have options to extend consolidated debt aggregating $40.0 million and $327.3 million, respectively; however, there can be no assurance that the Company will be able successfully execute any or all of its available extension options. As we intend on refinancing some or all of such debt at the then-existing market interest rates, which may be greater than the current interest rates, our interest expense would increase by approximately $6.9 million annually if the interest rate on the refinanced debt increased by 100 basis points. After giving effect to noncontrolling interests, our share of this increase would be $2.4 million. Interest expense on our variable-rate debt of $327.9 million, net of variable to fixed-rate swap agreements currently in effect, as of June 30, 2024, would increase $3.3 million if corresponding rate indices increased by 100 basis points. After giving effect to noncontrolling interests, our share of this increase would be $1.0 million. We may seek additional variable-rate financing if and when pricing and other commercial and financial terms warrant. As such, we would consider hedging against the interest rate risk related to such additional variable-rate debt through interest rate swaps and protection agreements, or other means.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outstanding debt balances as of June 30, 2024, the fair value of our total consolidated outstanding debt would decrease by approximately $7.1 million if interest rates increased by 1%. Conversely, if interest rates decreased by 1%, the fair value of our total outstanding debt would increase by approximately $6.6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we had consolidated notes receivable of $126.7 million and $124.9 million, respectively. We determined the estimated fair value of our notes receivable by discounting future cash receipts utilizing a discount rate equivalent to the rate at which similar notes receivable would be originated under conditions then existing.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outstanding notes receivable balances as of June 30, 2024, the fair value of our total outstanding notes receivable would decrease by approximately $0.7 million if interest rates increased by 1%. Conversely, if interest rates decreased by 1%, the fair value of our total outstanding notes receivable would increase by approximately $0.7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Information as of December 31, 2023</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total mortgage and other notes payable of $1,881.1 million, excluding the unamortized premium of $0.2 million and unamortized debt issuance costs of $11.2 million, of which $1,454.7 million, or 77.3%, was fixed-rate, inclusive of debt with rates fixed through the use of derivative financial instruments, and $426.4 million, or 22.7%, was variable-rate based upon LIBOR rates plus certain spreads. As of December 31, 2023, we were party to 36 interest rate swap and three interest rate cap agreements to hedge our exposure to changes in interest rates with respect to $1,249.8 million and $151.4 million of LIBOR or SOFR-based variable-rate debt,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our variable-rate debt of $426.4 million as of December 31, 2023, would have increased $4.3 million if corresponding rate indices increased by 100 basis points. Based on our outstanding debt balances as of December 31, 2023, the fair value of our total outstanding debt would have decreased by approximately $6.9 million if interest rates increased by 1%. Conversely, if interest rates decreased by 1%, the fair value of our total outstanding debt would have increased by approximately $6.6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Risk Exposures from December 31, 2023 to June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interest rate risk exposure from December 31, 2023, to June 30, 2024, has decreased on an absolute basis, as the $426.4 million of variable-rate debt as of December 31, 2023 has decreased to $327.9 million as of June 30, 2024. As a percentage of our overall debt, our interest rate exposure has decreased as our variable-rate debt accounted for 22.7% of our consolidated debt as of December 31, 2023 compared to 19.2% as of June 30, 2024.</w:t>
      </w:r>
    </w:p>
    <w:p>
      <w:pPr>
        <w:spacing w:after="0" w:line="1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include internal controls and other procedures designed to provide reasonable assurance that information required to be disclosed in this and other reports filed under the Exchange Act, is recorded, processed, summarized, and reported within the required time periods specified in the SEC’s rules and forms; and that such information is accumulated and communicated to management, including our chief executive officer and chief financial officer, to allow timely decisions regarding required disclosures. It should be noted that no system of controls can provide complete assurance of achieving a company’s objectives and that future events may impact the effectiveness of a system of controls. Our chief executive officer and chief financial officer, after conducting an evaluation, together with members of our management, of the effectiveness of the design and operation of our disclosure controls and procedures as of June 30, 2024, have concluded that our disclosure controls and procedures (as defined in Rule 13a-15(e) under the Exchange Act) were effective as of June 30, 2024, at a reasonable level of assurance.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recently completed fiscal quarter that have materially affected, or are reasonably likely to materially affect, our internal controls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claims or regulatory inquiries and investigations arising out of, or incident to, our ordinary course of business. While we are unable to predict with certainty the outcome of any particular matter, management does not expect, when such matters are resolved, that our resulting exposure to loss contingencies, if any, will have a material adverse effect on our consolidated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to the extent additional factual information disclosed elsewhere in this Report relates to such risk factors (including, without limitation, the matters discussed in Part I, “</w:t>
      </w:r>
      <w:r>
        <w:rPr>
          <w:rFonts w:ascii="Times New Roman" w:cs="Times New Roman" w:eastAsia="Times New Roman" w:hAnsi="Times New Roman"/>
          <w:sz w:val="18"/>
          <w:szCs w:val="18"/>
          <w:u w:val="single" w:color="auto"/>
          <w:color w:val="0000FF"/>
        </w:rPr>
        <w:t>Item 2. Management’s Discussion and Analysis of Financial Condition and Results of Operations</w:t>
      </w:r>
      <w:r>
        <w:rPr>
          <w:rFonts w:ascii="Times New Roman" w:cs="Times New Roman" w:eastAsia="Times New Roman" w:hAnsi="Times New Roman"/>
          <w:sz w:val="18"/>
          <w:szCs w:val="18"/>
          <w:color w:val="auto"/>
        </w:rPr>
        <w:t>”), there were no material changes to the risk factors disclosed in Part I, “Item 1A. Risk Factors” of our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-175895</wp:posOffset>
            </wp:positionV>
            <wp:extent cx="44780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478020" cy="8255"/>
                    </a:xfrm>
                    <a:prstGeom prst="rect">
                      <a:avLst/>
                    </a:prstGeom>
                    <a:noFill/>
                  </pic:spPr>
                </pic:pic>
              </a:graphicData>
            </a:graphic>
          </wp:anchor>
        </w:drawing>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officers or trustees (as defined in Rule 16a-1(f) of the Exchange Act) adopted, terminated, or modified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index to all exhibits including (i) those filed with this Quarterly Report on Form 10-Q and (ii) those incorporated by reference herein:</w:t>
      </w:r>
    </w:p>
    <w:p>
      <w:pPr>
        <w:spacing w:after="0" w:line="262" w:lineRule="exact"/>
        <w:rPr>
          <w:sz w:val="20"/>
          <w:szCs w:val="20"/>
          <w:color w:val="auto"/>
        </w:rPr>
      </w:pPr>
    </w:p>
    <w:p>
      <w:pPr>
        <w:ind w:left="20"/>
        <w:spacing w:after="0"/>
        <w:tabs>
          <w:tab w:leader="none" w:pos="1360" w:val="left"/>
          <w:tab w:leader="none" w:pos="79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gridSpan w:val="2"/>
          </w:tcPr>
          <w:p>
            <w:pPr>
              <w:jc w:val="right"/>
              <w:ind w:right="460"/>
              <w:spacing w:after="0"/>
              <w:rPr>
                <w:rFonts w:ascii="Times New Roman" w:cs="Times New Roman" w:eastAsia="Times New Roman" w:hAnsi="Times New Roman"/>
                <w:sz w:val="18"/>
                <w:szCs w:val="18"/>
                <w:color w:val="0000FF"/>
                <w:w w:val="95"/>
              </w:rPr>
            </w:pPr>
            <w:hyperlink r:id="rId79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Third Amended and Restated Credit Agreement, dated April 15, 2024, by and among</w:t>
            </w:r>
          </w:p>
        </w:tc>
      </w:tr>
      <w:tr>
        <w:trPr>
          <w:trHeight w:val="218"/>
        </w:trPr>
        <w:tc>
          <w:tcPr>
            <w:tcW w:w="3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Acadia Realty Limited Partnership, Acadia Realty Trust, Bank of America, N.A., as</w:t>
            </w: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administrative agent, Wells Fargo Bank, National Association, Truist Bank, and PNC</w:t>
            </w:r>
          </w:p>
        </w:tc>
      </w:tr>
      <w:tr>
        <w:trPr>
          <w:trHeight w:val="234"/>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Bank, National Association, as syndication agents, BofA Securities, Inc. and Wells Fargo</w:t>
            </w:r>
          </w:p>
        </w:tc>
      </w:tr>
    </w:tbl>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Securities, LLC, as joint bookrunners, and BofA Securities, Inc., Wells Fargo Securities, LLC, Truist Securities, Inc. and PNC Capital Markets LLC, as joint lead arrangers, and the lenders and letter of credit issuers party thereto.</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Incorporated by reference to the Company’s Current Report on Form 8-K filed on April 16, 2024</w:t>
      </w:r>
    </w:p>
    <w:p>
      <w:pPr>
        <w:spacing w:after="0" w:line="1053" w:lineRule="exact"/>
        <w:rPr>
          <w:sz w:val="20"/>
          <w:szCs w:val="20"/>
          <w:color w:val="auto"/>
        </w:rPr>
      </w:pPr>
    </w:p>
    <w:p>
      <w:pPr>
        <w:sectPr>
          <w:pgSz w:w="11900" w:h="16838" w:orient="portrait"/>
          <w:cols w:equalWidth="0" w:num="2">
            <w:col w:w="7760" w:space="140"/>
            <w:col w:w="3340"/>
          </w:cols>
          <w:pgMar w:left="320" w:top="981" w:right="3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Long-Term Incentive Plan Award Agreement (Time- and Performance- Based)  Filed herewith</w:t>
            </w:r>
          </w:p>
        </w:tc>
      </w:tr>
      <w:tr>
        <w:trPr>
          <w:trHeight w:val="232"/>
        </w:trPr>
        <w:tc>
          <w:tcPr>
            <w:tcW w:w="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(SVP/EVP)</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56</w:t>
            </w:r>
          </w:p>
        </w:tc>
      </w:tr>
      <w:tr>
        <w:trPr>
          <w:trHeight w:val="763"/>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6" w:name="page57"/>
    <w:bookmarkEnd w:id="56"/>
    <w:tbl>
      <w:tblPr>
        <w:tblLayout w:type="fixed"/>
        <w:tblInd w:w="2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3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c>
          <w:tcPr>
            <w:tcW w:w="14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Oxley Act of 2002</w:t>
            </w:r>
          </w:p>
        </w:tc>
        <w:tc>
          <w:tcPr>
            <w:tcW w:w="1460" w:type="dxa"/>
            <w:vAlign w:val="bottom"/>
          </w:tcPr>
          <w:p>
            <w:pPr>
              <w:spacing w:after="0"/>
              <w:rPr>
                <w:sz w:val="20"/>
                <w:szCs w:val="20"/>
                <w:color w:val="auto"/>
              </w:rPr>
            </w:pPr>
          </w:p>
        </w:tc>
      </w:tr>
      <w:tr>
        <w:trPr>
          <w:trHeight w:val="35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3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c>
          <w:tcPr>
            <w:tcW w:w="14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Oxley Act of 2002</w:t>
            </w:r>
          </w:p>
        </w:tc>
        <w:tc>
          <w:tcPr>
            <w:tcW w:w="1460" w:type="dxa"/>
            <w:vAlign w:val="bottom"/>
          </w:tcPr>
          <w:p>
            <w:pPr>
              <w:spacing w:after="0"/>
              <w:rPr>
                <w:sz w:val="20"/>
                <w:szCs w:val="20"/>
                <w:color w:val="auto"/>
              </w:rPr>
            </w:pPr>
          </w:p>
        </w:tc>
      </w:tr>
      <w:tr>
        <w:trPr>
          <w:trHeight w:val="35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237"/>
        </w:trPr>
        <w:tc>
          <w:tcPr>
            <w:tcW w:w="32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460" w:type="dxa"/>
            <w:vAlign w:val="bottom"/>
          </w:tcPr>
          <w:p>
            <w:pPr>
              <w:spacing w:after="0"/>
              <w:rPr>
                <w:sz w:val="20"/>
                <w:szCs w:val="20"/>
                <w:color w:val="auto"/>
              </w:rPr>
            </w:pPr>
          </w:p>
        </w:tc>
      </w:tr>
      <w:tr>
        <w:trPr>
          <w:trHeight w:val="35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237"/>
        </w:trPr>
        <w:tc>
          <w:tcPr>
            <w:tcW w:w="32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460" w:type="dxa"/>
            <w:vAlign w:val="bottom"/>
          </w:tcPr>
          <w:p>
            <w:pPr>
              <w:spacing w:after="0"/>
              <w:rPr>
                <w:sz w:val="20"/>
                <w:szCs w:val="20"/>
                <w:color w:val="auto"/>
              </w:rPr>
            </w:pPr>
          </w:p>
        </w:tc>
      </w:tr>
      <w:tr>
        <w:trPr>
          <w:trHeight w:val="373"/>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146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Document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Definitions Document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Labels Document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Document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222222"/>
              </w:rPr>
              <w:t>Cover Page Interactive Data File (formatted as inline XBRL and contained in Exhibit</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222222"/>
              </w:rPr>
              <w:t>101)</w:t>
            </w:r>
          </w:p>
        </w:tc>
        <w:tc>
          <w:tcPr>
            <w:tcW w:w="146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compensation plan or arrangement.</w:t>
      </w:r>
    </w:p>
    <w:p>
      <w:pPr>
        <w:spacing w:after="0" w:line="27" w:lineRule="exact"/>
        <w:rPr>
          <w:sz w:val="20"/>
          <w:szCs w:val="20"/>
          <w:color w:val="auto"/>
        </w:rPr>
      </w:pPr>
    </w:p>
    <w:p>
      <w:pPr>
        <w:ind w:firstLine="8"/>
        <w:spacing w:after="0" w:line="250"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was previously filed as Exhibit 10.2 to our Quarterly Report on Form 10-Q for the quarter ended March 30, 2024, filed with the SEC on April 30, 2024, and has been amended to correct a scrivener’s error.</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9" w:right="51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thereto duly authorized.</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16"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Kenneth F. Bernstein</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Trustee</w:t>
      </w:r>
    </w:p>
    <w:p>
      <w:pPr>
        <w:spacing w:after="0" w:line="212"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Gottfried</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2"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Richard Hartmann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Richard Hartmann</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ACADIA REALTY TRUST</w:t>
      </w:r>
    </w:p>
    <w:p>
      <w:pPr>
        <w:spacing w:after="0" w:line="18" w:lineRule="exact"/>
        <w:rPr>
          <w:sz w:val="20"/>
          <w:szCs w:val="20"/>
          <w:color w:val="auto"/>
        </w:rPr>
      </w:pPr>
    </w:p>
    <w:p>
      <w:pPr>
        <w:ind w:left="4500" w:right="3740" w:hanging="748"/>
        <w:spacing w:after="0" w:line="258" w:lineRule="auto"/>
        <w:tabs>
          <w:tab w:leader="none" w:pos="4101"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LONG-TERM INCENTIVE PLAN AWARD AGREEMENT</w:t>
      </w:r>
    </w:p>
    <w:p>
      <w:pPr>
        <w:spacing w:after="0" w:line="200" w:lineRule="exact"/>
        <w:rPr>
          <w:sz w:val="20"/>
          <w:szCs w:val="20"/>
          <w:color w:val="auto"/>
        </w:rPr>
      </w:pPr>
    </w:p>
    <w:p>
      <w:pPr>
        <w:spacing w:after="0" w:line="225" w:lineRule="exact"/>
        <w:rPr>
          <w:sz w:val="20"/>
          <w:szCs w:val="20"/>
          <w:color w:val="auto"/>
        </w:rPr>
      </w:pPr>
    </w:p>
    <w:p>
      <w:pPr>
        <w:jc w:val="both"/>
        <w:ind w:firstLine="757"/>
        <w:spacing w:after="0" w:line="241" w:lineRule="auto"/>
        <w:tabs>
          <w:tab w:leader="none" w:pos="1091"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 LONG-TERM INCENTIVE PLAN AWARD AGREEMENT </w:t>
      </w:r>
      <w:r>
        <w:rPr>
          <w:rFonts w:ascii="Times New Roman" w:cs="Times New Roman" w:eastAsia="Times New Roman" w:hAnsi="Times New Roman"/>
          <w:sz w:val="22"/>
          <w:szCs w:val="22"/>
          <w:color w:val="auto"/>
        </w:rPr>
        <w:t>made as of the date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Acadia Realty Trust, a Maryland real estate investment trust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its subsidiary Acadia Realty Limited Partnership, a Delaware limited partnership and the entity through which the Company conducts substantially all of its operations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xml:space="preserve">”), and the party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ind w:firstLine="757"/>
        <w:spacing w:after="0" w:line="258"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a key employee of the Company or one of its Subsidiaries or affiliates and provides services to the Partnership.</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adopted the [ ] Long-Term Incentive Plan (the “LTIP”) pursuant to the Acadia Realty Trust Amended and Restated 2020 Share Incentive Plan (the “Plan”), to provide certain key employees of the Company or its Subsidiaries and affiliates, including the Grantee, in connection with their employment with the long-term incentive compensation described in this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thereby provide additional incentive for them to promote the progress and success of the business of the Company and its Subsidiaries and affiliates, including the Partnership, while increasing the total return to the Company’s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The LTIP Units (as defined herein) may, under certain circumstances, become exchangeable for shares of beneficial ownership of the Company reserved for issuance under the Plan, or any successor equity plan. This Agreement evidences an award to the Grantee under the LTIP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which is subject to the terms and conditions set forth herein.</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was selected to receive this Award as an employee who, through the effective execution of his or her assigned duties and responsibilities, is in a position to have a direct and measurable impact on the Company’s long-term financial results. Effective as of the grant date specified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the Grantee was issued the number of LTIP Units (as defined herein)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Company, the Partnership and the Grantee agree as follows: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Section 1.Administration</w:t>
      </w:r>
      <w:r>
        <w:rPr>
          <w:rFonts w:ascii="Times New Roman" w:cs="Times New Roman" w:eastAsia="Times New Roman" w:hAnsi="Times New Roman"/>
          <w:sz w:val="22"/>
          <w:szCs w:val="22"/>
          <w:color w:val="auto"/>
        </w:rPr>
        <w:t>. The LTIP and all awards thereunder, including this Award, shall be administered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of the Board of Trustees of the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which in the administration of the LTIP shall have all the powers and authority it has in the administration of the Plan, as set forth in the Plan. The Committee may from time to time adopt any rules or procedures it deems necessary or desirable for the proper and efficient administration of the LTIP, consistent with the terms hereof and of the Plan. The Committee’s determinations and interpretations with respect to the LTIP and this Agreement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9" w:name="page60"/>
    <w:bookmarkEnd w:id="59"/>
    <w:p>
      <w:pPr>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2.Definitions</w:t>
      </w:r>
      <w:r>
        <w:rPr>
          <w:rFonts w:ascii="Times New Roman" w:cs="Times New Roman" w:eastAsia="Times New Roman" w:hAnsi="Times New Roman"/>
          <w:sz w:val="22"/>
          <w:szCs w:val="22"/>
          <w:color w:val="auto"/>
        </w:rPr>
        <w:t>. Capitalized terms used herein without definitions shall have the meanings given to those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In addition, as used herein: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LTIP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right="74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Grantee has: (A) deliberately made a misrepresentation in connection with, or willfully failed to cooperate with, a bona fide internal investigation or an investigation by regulatory or law enforcement authorities, after being instructed by the Company to cooperate, or willfully destroyed or failed to preserve documents or other materials known to be relevant to such investigation, or willfully induced others to fail to cooperate or to produce documents or other materials; (B) materially breached (other than as a result of the Grantee’s incapacity due to physical or mental illness or death) his/her material duties hereunder, which breach is demonstrably willful and deliberate on the Grantee’s part, is committed in bad faith or without reasonable belief that such breach is in the best interests of the Company and such breach is not cured within a reasonable period of time after written notice from the Company specifying such Breach (but in any event, no less than ninety (90) days thereafter) in which Grantee is diligently pursuing cure; (C) engaged in conduct constituting a material act of willful misconduct in connection with the performance of his/her duties, including, without limitation, misappropriation of funds or property of the Company other than the occasional customary and de minimis use of Company property for personal purposes; (D) materially violated a material Company policy, including but not limited to a policy set forth in the Company’s employee handbook; (E) disparaged the Company, its officers, trustees, employees or partners; (F) committed a felony or misdemeanor involving moral turpitude, deceit, dishonesty or fraud.</w:t>
      </w:r>
    </w:p>
    <w:p>
      <w:pPr>
        <w:spacing w:after="0" w:line="191" w:lineRule="exact"/>
        <w:rPr>
          <w:sz w:val="20"/>
          <w:szCs w:val="20"/>
          <w:color w:val="auto"/>
        </w:rPr>
      </w:pPr>
    </w:p>
    <w:p>
      <w:pPr>
        <w:jc w:val="both"/>
        <w:ind w:left="760" w:right="74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means that any of the following events has occurred: (A) any Person or “group” of Persons, as such terms are used in Sections 13 and 14 of the Exchange Act, other than any employee benefit plan sponsored by the Company, becomes the “beneficial owner,” as such term is used in Section 13 of the Exchange Act (irrespective of any vesting or waiting periods) of (i) the Company’s Common Shares in an amount equal to thirty percent (30%) or more of the sum total of the Common Shares issued and outstanding immediately prior to such acquisition as if they were a single class and disregarding any equity raise in connection with the financing of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determining whether a Change of Control has occurred, Common Shares which are acquired in an acquisition by (i) the Company or any of its subsidiaries or (ii) an employee benefit plan (or a trust forming a part thereof) maintained by the Company or any of its subsidiaries shall not constitute an acquisition which can cause a Change of Control; or (B) the approval of the dissolution or liquidation of the Company by the Board of Trustees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(C) the approval of the sale or other disposition of all or substantially all of its assets in one or more transactions (including, without limitation, the approval of a transaction or series of transactions to sell or dispose of all or substantially all of the assets in the Company’s core business line to any Person or “group” of Persons, as such terms are used in Sections 13 and 14 of the Exchange Act); or (D) a turnover, during any two-year</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period, of the majority of the members of the Board, without the consent of the majority of the members of the Board as to the appointment of the new Board members.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xml:space="preserve"> ” means shares of beneficial ownership of the Company, par value $0.001 per share, either currently existing or authorized hereafter.</w:t>
      </w:r>
    </w:p>
    <w:p>
      <w:pPr>
        <w:spacing w:after="0" w:line="15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means (i) if the Grantee is a party to a Service Agreement (as defined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below), and “Disability” is defined therein, such definition, or (ii) if the Grantee is not party to a Service Agreement that defines “Disability,” a reasonable determination by the Company that the Grantee has become physically or mentally incapable of performing his duties to the Company and/or Partnership and such disability has disabled the Grantee for a cumulative period of one hundred eighty (180) days within a twelve (12) month period.</w:t>
      </w:r>
    </w:p>
    <w:p>
      <w:pPr>
        <w:spacing w:after="0" w:line="164" w:lineRule="exact"/>
        <w:rPr>
          <w:sz w:val="20"/>
          <w:szCs w:val="20"/>
          <w:color w:val="auto"/>
        </w:rPr>
      </w:pPr>
    </w:p>
    <w:p>
      <w:pPr>
        <w:ind w:left="760"/>
        <w:spacing w:after="0"/>
        <w:tabs>
          <w:tab w:leader="none" w:pos="31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left="760" w:right="2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means, as of a particular date, the “Fair Market Value” (as defined in the Plan) of one Common Share;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such date is the date of a Public Announcement with respect to a Change of Control, then the fair market value shall be, as determined by the Board, t</w:t>
      </w:r>
    </w:p>
    <w:p>
      <w:pPr>
        <w:spacing w:after="0" w:line="173"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he total consideration payable for one Common Share in the transaction that ultimately results in a Change of Control.</w:t>
      </w:r>
    </w:p>
    <w:p>
      <w:pPr>
        <w:spacing w:after="0" w:line="158" w:lineRule="exact"/>
        <w:rPr>
          <w:sz w:val="20"/>
          <w:szCs w:val="20"/>
          <w:color w:val="auto"/>
        </w:rPr>
      </w:pPr>
    </w:p>
    <w:p>
      <w:pPr>
        <w:jc w:val="both"/>
        <w:ind w:left="760" w:right="2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Grantee shall have the right to terminate his/her employment within the 90-day period following the Company’s failure to cure any of the following events that shall constitute “Good Reason” if not cured within the 30-day period following written notice of such default to the Company by the Grantee (the “</w:t>
      </w:r>
      <w:r>
        <w:rPr>
          <w:rFonts w:ascii="Times New Roman" w:cs="Times New Roman" w:eastAsia="Times New Roman" w:hAnsi="Times New Roman"/>
          <w:sz w:val="22"/>
          <w:szCs w:val="22"/>
          <w:u w:val="single" w:color="auto"/>
          <w:color w:val="auto"/>
        </w:rPr>
        <w:t>Good Reason Cure Period</w:t>
      </w:r>
      <w:r>
        <w:rPr>
          <w:rFonts w:ascii="Times New Roman" w:cs="Times New Roman" w:eastAsia="Times New Roman" w:hAnsi="Times New Roman"/>
          <w:sz w:val="22"/>
          <w:szCs w:val="22"/>
          <w:color w:val="auto"/>
        </w:rPr>
        <w:t>”): (A) upon the occurrence of any material breach of this Agreement by the Company; (B) without the Grantee’s consent, a material, adverse alteration in the nature of the Grantee’s duties, responsibilities or authority, or in the 18-month period following a Change of Control only, upon the determination by the Grantee (which determination will be conclusive and binding upon the parties hereto provided it has been made in good faith and in all events will be presumed to have been made in good faith unless otherwise shown clear and convincing evidence) that a material negative change in circumstances has occurred following a Change of Control; (C) without the Grantee’s consent, upon a reduction in the Grantee’s base salary or a reduction of ten percent (10%) or greater in Grantee’s other compensation and employee benefits (which includes a ten percent (10%) or greater reduction in target cash and equity bonus, or a ten percent (10%) or greater reduction in total bonus opportunity, but in all cases excludes any grants made under the Long-Term Incentive Alignment Program); or (D) if the Company relocates the Grantee’s office requiring the Grantee to increase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08" w:right="1079" w:bottom="1440" w:gutter="0" w:footer="0" w:header="0"/>
        </w:sectPr>
      </w:pPr>
    </w:p>
    <w:bookmarkStart w:id="61" w:name="page62"/>
    <w:bookmarkEnd w:id="61"/>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his/her commuting time by more than one hour, or in the 18-month period following a Change of Control only, upon the Company requiring the Grantee to travel away from the Grantee’s office in the course of discharging the Grantee’s responsibilities or duties hereunder at least twenty percent (20%) more than was required of the Grantee in any of the three (3) full years immediately prior to the Change of Control, without, in either case, the Grantee’s prior written consent. Any notice hereunder by the Grantee must be made within ninety (90) days after the Grantee first knows or has reason to know about the occurrence of the event alleged to be Good Reason.</w:t>
      </w:r>
    </w:p>
    <w:p>
      <w:pPr>
        <w:spacing w:after="0" w:line="18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LTIP Units</w:t>
      </w:r>
      <w:r>
        <w:rPr>
          <w:rFonts w:ascii="Times New Roman" w:cs="Times New Roman" w:eastAsia="Times New Roman" w:hAnsi="Times New Roman"/>
          <w:sz w:val="22"/>
          <w:szCs w:val="22"/>
          <w:color w:val="auto"/>
        </w:rPr>
        <w:t>” means units of limited partnership interest of the Partnership designated as “LTIP Units” in the Partnership Agreement awarded under the LTIP, having the rights, voting powers, restrictions, limitations as to distributions, qualifications and terms and conditions of redemption set forth in the Partnership Agreement.</w:t>
      </w:r>
    </w:p>
    <w:p>
      <w:pPr>
        <w:spacing w:after="0" w:line="17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means the Second Amended and Restated Limited Partnership Agreement of the Partnership, effective as of December 31, 2018, among the Company, as general partner, and the limited partners who are parties thereto, as amended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the period beginning on the Effective Date and ending on the Valuation Date.</w:t>
      </w:r>
    </w:p>
    <w:p>
      <w:pPr>
        <w:spacing w:after="0" w:line="20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limited liability company, joint venture, association, trust, unincorporated organization, other entity or “group” (as defined in the Exchange Act).</w:t>
      </w:r>
    </w:p>
    <w:p>
      <w:pPr>
        <w:spacing w:after="0" w:line="158"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xml:space="preserve">” means, with respect to a Change of Control, the earliest press release, filing with the Securities and Exchange Commission, or other publicly available or widely disseminated communication issued by the Company or another Person who is a party to such transaction which discloses the consideration payable in connection with and other material terms of the transaction that ultimately results in the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consideration is subsequently increased or decreased, then the term “Public Announcement” shall be deemed to refer to the most recent such press release, filing or communication disclosing a change in the consideration whereby the final consideration and material terms of the transaction that ultimately results in the Change of Control are announced.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LTIP Units</w:t>
      </w:r>
      <w:r>
        <w:rPr>
          <w:rFonts w:ascii="Times New Roman" w:cs="Times New Roman" w:eastAsia="Times New Roman" w:hAnsi="Times New Roman"/>
          <w:sz w:val="22"/>
          <w:szCs w:val="22"/>
          <w:color w:val="auto"/>
        </w:rPr>
        <w:t xml:space="preserve">” means LTIP Units as defined in the Partnership Agreement and designated as Special LTIP Units pursuant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means OP Units (as defined in the Partnership Agreement) that are outstanding or are issuable upon the conversion, exercise, exchange or redemption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08" w:right="109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22"/>
          <w:szCs w:val="22"/>
          <w:color w:val="auto"/>
        </w:rPr>
        <w:t>of any securities of any kind convertible, exercisable, exchangeable or redeemable for OP Units.</w:t>
      </w:r>
    </w:p>
    <w:p>
      <w:pPr>
        <w:spacing w:after="0" w:line="206" w:lineRule="exact"/>
        <w:rPr>
          <w:sz w:val="20"/>
          <w:szCs w:val="20"/>
          <w:color w:val="auto"/>
        </w:rPr>
      </w:pPr>
    </w:p>
    <w:p>
      <w:pPr>
        <w:ind w:left="760"/>
        <w:spacing w:after="0"/>
        <w:tabs>
          <w:tab w:leader="none" w:pos="32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means [</w:t>
      </w:r>
      <w:r>
        <w:rPr>
          <w:sz w:val="20"/>
          <w:szCs w:val="20"/>
          <w:color w:val="auto"/>
        </w:rPr>
        <w:tab/>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3.Award of LTIP Units; Effectiveness of Award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57"/>
        <w:spacing w:after="0" w:line="234" w:lineRule="auto"/>
        <w:tabs>
          <w:tab w:leader="none" w:pos="1018"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 of LTIP Units</w:t>
      </w:r>
      <w:r>
        <w:rPr>
          <w:rFonts w:ascii="Times New Roman" w:cs="Times New Roman" w:eastAsia="Times New Roman" w:hAnsi="Times New Roman"/>
          <w:sz w:val="22"/>
          <w:szCs w:val="22"/>
          <w:color w:val="auto"/>
        </w:rPr>
        <w:t xml:space="preserve">. On the terms and conditions set forth in this Agreement, as well as the terms and conditions of the Plan, the Grantee is hereby granted this Award consisting of the number of LTIP Units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which is incorporated herein by reference (the “</w:t>
      </w:r>
      <w:r>
        <w:rPr>
          <w:rFonts w:ascii="Times New Roman" w:cs="Times New Roman" w:eastAsia="Times New Roman" w:hAnsi="Times New Roman"/>
          <w:sz w:val="22"/>
          <w:szCs w:val="22"/>
          <w:u w:val="single" w:color="auto"/>
          <w:color w:val="auto"/>
        </w:rPr>
        <w:t>Award LTIP Units</w:t>
      </w:r>
      <w:r>
        <w:rPr>
          <w:rFonts w:ascii="Times New Roman" w:cs="Times New Roman" w:eastAsia="Times New Roman" w:hAnsi="Times New Roman"/>
          <w:sz w:val="22"/>
          <w:szCs w:val="22"/>
          <w:color w:val="auto"/>
        </w:rPr>
        <w:t xml:space="preserve">”). Award LTIP Units shall have the rights, voting powers, restrictions, limitations as to distributions, qualifications and terms and conditions of redemption and conversion set forth herein and in the Partnership Agreement and shall constitute and be treated as the property of the Grantee, subject to the terms of this Agreement and the Partnership Agreement. In connection with each subsequent issuance of Award LTIP Units, if any, the Grantee shall execute and deliver to the Company and the Partnership such documents, comparable to the documents executed and delivered in connection with this Agreement, as the Company and/or the Partnership reasonably request in order to comply with all applicable legal requirements, including, without limitation, federal and state securities laws. Award LTIP Units will be subject to vesting as provided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subject to the terms and conditions of </w:t>
      </w:r>
      <w:r>
        <w:rPr>
          <w:rFonts w:ascii="Times New Roman" w:cs="Times New Roman" w:eastAsia="Times New Roman" w:hAnsi="Times New Roman"/>
          <w:sz w:val="22"/>
          <w:szCs w:val="22"/>
          <w:u w:val="single" w:color="auto"/>
          <w:color w:val="auto"/>
        </w:rPr>
        <w:t>Sections 5 and 6</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Effectiveness of Award</w:t>
      </w:r>
      <w:r>
        <w:rPr>
          <w:rFonts w:ascii="Times New Roman" w:cs="Times New Roman" w:eastAsia="Times New Roman" w:hAnsi="Times New Roman"/>
          <w:sz w:val="22"/>
          <w:szCs w:val="22"/>
          <w:color w:val="auto"/>
        </w:rPr>
        <w:t xml:space="preserve">. As of the Grant Date, the Grantee shall be admitted as a partner of the Partnership with beneficial ownership of the number of Award LTIP Units issued to the Grantee as of such date by: (A) signing and delivering to the Partnership a copy of this Agreement; and (B) signing, as a Limited Partner, and delivering to the Partnership a counterpart signature page to the Partnership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Partnership Agreement shall be amended from time to time as applicable to reflect the issuance to the Grantee of Award LTIP Units, whereupon the Grantee shall have all the rights of a Limited Partner of the Partnership with respect to the number of LTIP Units then held by the Grantee, as set forth in the Partnership Agreement, subject, however, to the restrictions and conditions specified herein and in the Partnership Agreement.</w:t>
      </w:r>
    </w:p>
    <w:p>
      <w:pPr>
        <w:spacing w:after="0" w:line="17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4.Vesting of Award LTIP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LTIP Units are subject to time-based vesting and performance-based vesting, as follows.</w:t>
      </w:r>
    </w:p>
    <w:p>
      <w:pPr>
        <w:spacing w:after="0" w:line="154"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xml:space="preserve">. With respect to the Award LTIP Units listed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as Time-Based LTIP Units (the</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Time-Based LTIP Units</w:t>
      </w:r>
      <w:r>
        <w:rPr>
          <w:rFonts w:ascii="Times New Roman" w:cs="Times New Roman" w:eastAsia="Times New Roman" w:hAnsi="Times New Roman"/>
          <w:sz w:val="22"/>
          <w:szCs w:val="22"/>
          <w:color w:val="auto"/>
        </w:rPr>
        <w:t xml:space="preserve">”), vesting shall occur in substantially equal installments commencing on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and on each of the first, second, third and fourth anniversaries thereof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continuous employment with the Company through each applicable Vesting Date.</w:t>
      </w:r>
    </w:p>
    <w:p>
      <w:pPr>
        <w:spacing w:after="0" w:line="178" w:lineRule="exact"/>
        <w:rPr>
          <w:sz w:val="20"/>
          <w:szCs w:val="20"/>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LTIP Units</w:t>
      </w:r>
      <w:r>
        <w:rPr>
          <w:rFonts w:ascii="Times New Roman" w:cs="Times New Roman" w:eastAsia="Times New Roman" w:hAnsi="Times New Roman"/>
          <w:sz w:val="22"/>
          <w:szCs w:val="22"/>
          <w:color w:val="auto"/>
        </w:rPr>
        <w:t xml:space="preserve">. With respect to the Award LTIP Units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as Performance-Based Special LTIP Units (the “</w:t>
      </w:r>
      <w:r>
        <w:rPr>
          <w:rFonts w:ascii="Times New Roman" w:cs="Times New Roman" w:eastAsia="Times New Roman" w:hAnsi="Times New Roman"/>
          <w:sz w:val="22"/>
          <w:szCs w:val="22"/>
          <w:u w:val="single" w:color="auto"/>
          <w:color w:val="auto"/>
        </w:rPr>
        <w:t>Performance-Based LTIP Units</w:t>
      </w:r>
      <w:r>
        <w:rPr>
          <w:rFonts w:ascii="Times New Roman" w:cs="Times New Roman" w:eastAsia="Times New Roman" w:hAnsi="Times New Roman"/>
          <w:sz w:val="22"/>
          <w:szCs w:val="22"/>
          <w:color w:val="auto"/>
        </w:rPr>
        <w:t xml:space="preserve">”), such Performance-Based LTIP Units shall be earned and thereafter vest if and only to the extent the performance criteria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for the Performance Period are achieved, subject to the Grantee’s continuous employment with the Company through the end of the Performance Period. Promptly following the conclusion of the Performance Period, but in no</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event later than forty-five (45) days thereafter, the Company shall determine (and the Committee shall certify) whether and to what extent such performance criteria were achieved and determine the Performance Percentage (as defined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the number of Performance-Based LTIP Units subject to this Award, if any, that are earned. For the avoidance of doubt, the Grantee shall have no rights to the Performance-Based LTIP Units pursuant to this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until the Committee has determined that such Performance-Based LTIP Units have been earned.</w:t>
      </w:r>
    </w:p>
    <w:p>
      <w:pPr>
        <w:spacing w:after="0" w:line="177" w:lineRule="exact"/>
        <w:rPr>
          <w:sz w:val="20"/>
          <w:szCs w:val="20"/>
          <w:color w:val="auto"/>
        </w:rPr>
      </w:pPr>
    </w:p>
    <w:p>
      <w:pPr>
        <w:jc w:val="both"/>
        <w:ind w:firstLine="1131"/>
        <w:spacing w:after="0" w:line="235" w:lineRule="auto"/>
        <w:tabs>
          <w:tab w:leader="none" w:pos="152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number of earned Performance-Based LTIP Units is smaller than the number of Performance-Based LTIP Units previously issued to the Grantee, then the Grantee, as of the Valuation Date, shall forfeit a number of Performance-Based LTIP Units equal to the difference without payment of any consideration by the Partnership; thereafter, the term “Performance-Based LTIP Units” will only refer to the Performance-Based LTIP Units that were not so forfeited, and neither the Grantee nor any of his/her successors, heirs, assigns or personal representatives will thereafter have any future rights or interests in the LTIP Units that were so forfeited. If the number of earned Performance-Based LTIP Units is the same as the number of Performance-Based LTIP Units previously issued to the Grantee, then there will be no change to the number of Performance-Based LTIP Units under this Award pursuant to this </w:t>
      </w:r>
      <w:r>
        <w:rPr>
          <w:rFonts w:ascii="Times New Roman" w:cs="Times New Roman" w:eastAsia="Times New Roman" w:hAnsi="Times New Roman"/>
          <w:sz w:val="22"/>
          <w:szCs w:val="22"/>
          <w:u w:val="single" w:color="auto"/>
          <w:color w:val="auto"/>
        </w:rPr>
        <w:t>Section 4.</w:t>
      </w:r>
    </w:p>
    <w:p>
      <w:pPr>
        <w:spacing w:after="0" w:line="178" w:lineRule="exact"/>
        <w:rPr>
          <w:rFonts w:ascii="Times New Roman" w:cs="Times New Roman" w:eastAsia="Times New Roman" w:hAnsi="Times New Roman"/>
          <w:sz w:val="22"/>
          <w:szCs w:val="22"/>
          <w:color w:val="auto"/>
        </w:rPr>
      </w:pPr>
    </w:p>
    <w:p>
      <w:pPr>
        <w:jc w:val="both"/>
        <w:ind w:firstLine="1131"/>
        <w:spacing w:after="0" w:line="253" w:lineRule="auto"/>
        <w:tabs>
          <w:tab w:leader="none" w:pos="16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of the Performance-Based LTIP Units have been earned based on performance as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hereof, the Performance-Based LTIP Units shall become vested in the following amounts and at</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following times, subject to the Grantee’s continuous employment with the Company through and on the applicable vesting date, or the accelerated vesting date provided in </w:t>
      </w:r>
      <w:r>
        <w:rPr>
          <w:rFonts w:ascii="Times New Roman" w:cs="Times New Roman" w:eastAsia="Times New Roman" w:hAnsi="Times New Roman"/>
          <w:sz w:val="22"/>
          <w:szCs w:val="22"/>
          <w:u w:val="single" w:color="auto"/>
          <w:color w:val="auto"/>
        </w:rPr>
        <w:t>Sections 5 and 6</w:t>
      </w:r>
      <w:r>
        <w:rPr>
          <w:rFonts w:ascii="Times New Roman" w:cs="Times New Roman" w:eastAsia="Times New Roman" w:hAnsi="Times New Roman"/>
          <w:sz w:val="22"/>
          <w:szCs w:val="22"/>
          <w:color w:val="auto"/>
        </w:rPr>
        <w:t xml:space="preserve"> hereof, as applicable: One Hundred percent (100%) of the earned Performance-Based LTIP Units shall become vested on [ ].</w:t>
      </w:r>
    </w:p>
    <w:p>
      <w:pPr>
        <w:spacing w:after="0" w:line="178" w:lineRule="exact"/>
        <w:rPr>
          <w:sz w:val="20"/>
          <w:szCs w:val="20"/>
          <w:color w:val="auto"/>
        </w:rPr>
      </w:pPr>
    </w:p>
    <w:p>
      <w:pPr>
        <w:jc w:val="both"/>
        <w:ind w:firstLine="1131"/>
        <w:spacing w:after="0" w:line="255" w:lineRule="auto"/>
        <w:tabs>
          <w:tab w:leader="none" w:pos="160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Performance-Based LTIP Units that do not become vested pursuant to S</w:t>
      </w:r>
      <w:r>
        <w:rPr>
          <w:rFonts w:ascii="Times New Roman" w:cs="Times New Roman" w:eastAsia="Times New Roman" w:hAnsi="Times New Roman"/>
          <w:sz w:val="21"/>
          <w:szCs w:val="21"/>
          <w:u w:val="single" w:color="auto"/>
          <w:color w:val="auto"/>
        </w:rPr>
        <w:t>ection 4(b)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hereof, as applicable, shall, without payment of any consideration by the Company or the Partnership, automatically and without notice be forfeited and be and become null and void, and neither the Grantee nor any of his or her successors, heirs, assigns, or personal representatives will thereafter have any further rights or interests in such unvested Performance-Based LTIP Units.</w:t>
      </w:r>
    </w:p>
    <w:p>
      <w:pPr>
        <w:spacing w:after="0" w:line="161" w:lineRule="exact"/>
        <w:rPr>
          <w:rFonts w:ascii="Times New Roman" w:cs="Times New Roman" w:eastAsia="Times New Roman" w:hAnsi="Times New Roman"/>
          <w:sz w:val="21"/>
          <w:szCs w:val="21"/>
          <w:color w:val="auto"/>
        </w:rPr>
      </w:pPr>
    </w:p>
    <w:p>
      <w:pPr>
        <w:jc w:val="both"/>
        <w:ind w:firstLine="757"/>
        <w:spacing w:after="0" w:line="234" w:lineRule="auto"/>
        <w:tabs>
          <w:tab w:leader="none" w:pos="1018"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otherwise provided in the Plan and subject to </w:t>
      </w:r>
      <w:r>
        <w:rPr>
          <w:rFonts w:ascii="Times New Roman" w:cs="Times New Roman" w:eastAsia="Times New Roman" w:hAnsi="Times New Roman"/>
          <w:sz w:val="22"/>
          <w:szCs w:val="22"/>
          <w:u w:val="single" w:color="auto"/>
          <w:color w:val="auto"/>
        </w:rPr>
        <w:t>Section 5 and 6</w:t>
      </w:r>
      <w:r>
        <w:rPr>
          <w:rFonts w:ascii="Times New Roman" w:cs="Times New Roman" w:eastAsia="Times New Roman" w:hAnsi="Times New Roman"/>
          <w:sz w:val="22"/>
          <w:szCs w:val="22"/>
          <w:color w:val="auto"/>
        </w:rPr>
        <w:t xml:space="preserve">, the Award LTIP Units shall not be transferable unless and until (and solely to the extent) the Grantee satisfies the vesting requirements contained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In addition, notwithstanding anything herein or in the Plan to the contrary (and without limiting the transfer restrictions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the Grantee shall not, without the consent of the Committee (which may be withheld in its sole discretion), Transfer any vested Performance-Based LTIP Units prior to the earlier to occur of (a) the second (2nd) anniversary of the date on which such Performance-Based LTIP Units become vested under </w:t>
      </w:r>
      <w:r>
        <w:rPr>
          <w:rFonts w:ascii="Times New Roman" w:cs="Times New Roman" w:eastAsia="Times New Roman" w:hAnsi="Times New Roman"/>
          <w:sz w:val="22"/>
          <w:szCs w:val="22"/>
          <w:u w:val="single" w:color="auto"/>
          <w:color w:val="auto"/>
        </w:rPr>
        <w:t>Section 4, 5 or 6</w:t>
      </w:r>
      <w:r>
        <w:rPr>
          <w:rFonts w:ascii="Times New Roman" w:cs="Times New Roman" w:eastAsia="Times New Roman" w:hAnsi="Times New Roman"/>
          <w:sz w:val="22"/>
          <w:szCs w:val="22"/>
          <w:color w:val="auto"/>
        </w:rPr>
        <w:t xml:space="preserve"> and (b) the occurrence of a Change of Control (collectively, the “Additional Transfer Restrictions”); provided, however, that the Additional Transfer Restrictions shall not apply to (i) any Transfer of shares or LTIP Units to the Company, (ii) any Transfer of shares in satisfaction of any withholding obligations with respect to the Award LTIP Units, or (iii) any Transfer following the termination of the Grantee’s employment with the Company and its Affiliates, including without limitation by will or pursuant to the laws of descent and distribution.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ind w:right="20"/>
        <w:spacing w:after="0" w:line="258" w:lineRule="auto"/>
        <w:rPr>
          <w:sz w:val="20"/>
          <w:szCs w:val="20"/>
          <w:color w:val="auto"/>
        </w:rPr>
      </w:pPr>
      <w:r>
        <w:rPr>
          <w:rFonts w:ascii="Times New Roman" w:cs="Times New Roman" w:eastAsia="Times New Roman" w:hAnsi="Times New Roman"/>
          <w:sz w:val="22"/>
          <w:szCs w:val="22"/>
          <w:color w:val="auto"/>
        </w:rPr>
        <w:t>Any Transfer of any Award LTIP Units which is not made in compliance with the Plan and this Agreement shall be null and void and of no effect.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5.Termination of Grantee’s Employment.</w:t>
      </w:r>
    </w:p>
    <w:p>
      <w:pPr>
        <w:spacing w:after="0" w:line="210" w:lineRule="exact"/>
        <w:rPr>
          <w:sz w:val="20"/>
          <w:szCs w:val="20"/>
          <w:color w:val="auto"/>
        </w:rPr>
      </w:pPr>
    </w:p>
    <w:p>
      <w:pPr>
        <w:jc w:val="both"/>
        <w:ind w:firstLine="757"/>
        <w:spacing w:after="0" w:line="249" w:lineRule="auto"/>
        <w:tabs>
          <w:tab w:leader="none" w:pos="1018" w:val="left"/>
        </w:tabs>
        <w:numPr>
          <w:ilvl w:val="0"/>
          <w:numId w:val="4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Generally</w:t>
      </w:r>
      <w:r>
        <w:rPr>
          <w:rFonts w:ascii="Times New Roman" w:cs="Times New Roman" w:eastAsia="Times New Roman" w:hAnsi="Times New Roman"/>
          <w:sz w:val="21"/>
          <w:szCs w:val="21"/>
          <w:color w:val="auto"/>
        </w:rPr>
        <w:t xml:space="preserve">. Except as otherwise provided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(i) if the Grantee’s employment with the Company is voluntarily or involuntarily terminated for any reason prior to the final Vesting Date with respect to the Time-Based LTIP Units, all such Time-Based LTIP Units which have not yet vested shall immediately and automatically be forfeited and returned to the Company; and (ii) if the Grantee’s employment with the Company is voluntarily or involuntarily terminated for any reason prior to the end of the Performance Period with respect to the Performance-Based LTIP Units, such Performance-Based LTIP Units which have not yet been earned shall immediately and automatically be forfeited and returned to the Company.</w:t>
      </w:r>
    </w:p>
    <w:p>
      <w:pPr>
        <w:spacing w:after="0" w:line="170" w:lineRule="exact"/>
        <w:rPr>
          <w:rFonts w:ascii="Times New Roman" w:cs="Times New Roman" w:eastAsia="Times New Roman" w:hAnsi="Times New Roman"/>
          <w:sz w:val="21"/>
          <w:szCs w:val="21"/>
          <w:u w:val="single" w:color="auto"/>
          <w:color w:val="auto"/>
        </w:rPr>
      </w:pPr>
    </w:p>
    <w:p>
      <w:pPr>
        <w:jc w:val="both"/>
        <w:ind w:firstLine="757"/>
        <w:spacing w:after="0" w:line="239" w:lineRule="auto"/>
        <w:tabs>
          <w:tab w:leader="none" w:pos="1018"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Notwithstanding the foregoing, and notwithstanding the terms of any employment, consulting or similar service agreement(s) then in effect between the Grantee, on the one hand, and the Company and/or the Partnership on the other hand (a “</w:t>
      </w:r>
      <w:r>
        <w:rPr>
          <w:rFonts w:ascii="Times New Roman" w:cs="Times New Roman" w:eastAsia="Times New Roman" w:hAnsi="Times New Roman"/>
          <w:sz w:val="22"/>
          <w:szCs w:val="22"/>
          <w:u w:val="single" w:color="auto"/>
          <w:color w:val="auto"/>
        </w:rPr>
        <w:t>Service Agreement</w:t>
      </w:r>
      <w:r>
        <w:rPr>
          <w:rFonts w:ascii="Times New Roman" w:cs="Times New Roman" w:eastAsia="Times New Roman" w:hAnsi="Times New Roman"/>
          <w:sz w:val="22"/>
          <w:szCs w:val="22"/>
          <w:color w:val="auto"/>
        </w:rPr>
        <w:t>”), the Award LTIPs shall be treated as follows in the event of certain terminations of employment:</w:t>
      </w:r>
    </w:p>
    <w:p>
      <w:pPr>
        <w:spacing w:after="0" w:line="180" w:lineRule="exact"/>
        <w:rPr>
          <w:rFonts w:ascii="Times New Roman" w:cs="Times New Roman" w:eastAsia="Times New Roman" w:hAnsi="Times New Roman"/>
          <w:sz w:val="22"/>
          <w:szCs w:val="22"/>
          <w:u w:val="single" w:color="auto"/>
          <w:color w:val="auto"/>
        </w:rPr>
      </w:pPr>
    </w:p>
    <w:p>
      <w:pPr>
        <w:jc w:val="both"/>
        <w:ind w:firstLine="1131"/>
        <w:spacing w:after="0" w:line="238" w:lineRule="auto"/>
        <w:tabs>
          <w:tab w:leader="none" w:pos="1527" w:val="left"/>
        </w:tabs>
        <w:numPr>
          <w:ilvl w:val="1"/>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Time-Based LTIP Units</w:t>
      </w:r>
      <w:r>
        <w:rPr>
          <w:rFonts w:ascii="Times New Roman" w:cs="Times New Roman" w:eastAsia="Times New Roman" w:hAnsi="Times New Roman"/>
          <w:sz w:val="22"/>
          <w:szCs w:val="22"/>
          <w:color w:val="auto"/>
        </w:rPr>
        <w:t>. If, prior to the final Vesting Date (or, if sooner, the date of a Change of Control), the Grantee’s employment or service relationship with the Company (i) is terminated by the Company without Cause, (ii) is terminated by the Grantee for Good Reason or (iii) terminates due to the Grantee’s death or Disability (each of (i), (ii) and (iii),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then all unvested Time-Based LTIP Units outstanding as of the date of such Qualifying Termination shall accelerate and become vested in full.</w:t>
      </w:r>
    </w:p>
    <w:p>
      <w:pPr>
        <w:spacing w:after="0" w:line="176" w:lineRule="exact"/>
        <w:rPr>
          <w:rFonts w:ascii="Times New Roman" w:cs="Times New Roman" w:eastAsia="Times New Roman" w:hAnsi="Times New Roman"/>
          <w:sz w:val="22"/>
          <w:szCs w:val="22"/>
          <w:u w:val="single" w:color="auto"/>
          <w:color w:val="auto"/>
        </w:rPr>
      </w:pPr>
    </w:p>
    <w:p>
      <w:pPr>
        <w:jc w:val="both"/>
        <w:ind w:firstLine="1131"/>
        <w:spacing w:after="0" w:line="236" w:lineRule="auto"/>
        <w:tabs>
          <w:tab w:leader="none" w:pos="1527" w:val="left"/>
        </w:tabs>
        <w:numPr>
          <w:ilvl w:val="1"/>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LTIP Units</w:t>
      </w:r>
      <w:r>
        <w:rPr>
          <w:rFonts w:ascii="Times New Roman" w:cs="Times New Roman" w:eastAsia="Times New Roman" w:hAnsi="Times New Roman"/>
          <w:sz w:val="22"/>
          <w:szCs w:val="22"/>
          <w:color w:val="auto"/>
        </w:rPr>
        <w:t xml:space="preserve">. If, prior to the end of the Performance Period (or, if sooner, the date of a Change of Control), the Grantee experiences a Qualifying Termination, then the Performance-Based LTIP Units shall remain outstanding following such Qualifying Termination and will be subject to the same conditions as are otherwise set forth herein, and the vesting of such Performance-Based LTIP Units will be determined pursuant to the performance criteria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 the same manner as they would have been in the absence of a Qualifying Termination. In addition, the service requirements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 shall be deemed satisfied.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6.Change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foregoing and further notwithstanding any provision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Service Agreement, if applicable, to the contrary, the Award LTIP Units shall be treated as follows upon the occurrence of a Change of Control.</w:t>
      </w:r>
    </w:p>
    <w:p>
      <w:pPr>
        <w:spacing w:after="0" w:line="171" w:lineRule="exact"/>
        <w:rPr>
          <w:sz w:val="20"/>
          <w:szCs w:val="20"/>
          <w:color w:val="auto"/>
        </w:rPr>
      </w:pPr>
    </w:p>
    <w:p>
      <w:pPr>
        <w:ind w:firstLine="757"/>
        <w:spacing w:after="0" w:line="258" w:lineRule="auto"/>
        <w:tabs>
          <w:tab w:leader="none" w:pos="1018"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Time-Based LTIP Units</w:t>
      </w:r>
      <w:r>
        <w:rPr>
          <w:rFonts w:ascii="Times New Roman" w:cs="Times New Roman" w:eastAsia="Times New Roman" w:hAnsi="Times New Roman"/>
          <w:sz w:val="22"/>
          <w:szCs w:val="22"/>
          <w:color w:val="auto"/>
        </w:rPr>
        <w:t>. If a Change of Control occurs prior to the final Vesting Date, then all unvested Time-Based LTIP Units shall accelerate and become vested in full upon the consummation of such Change of Control.</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LTIP Units</w:t>
      </w:r>
      <w:r>
        <w:rPr>
          <w:rFonts w:ascii="Times New Roman" w:cs="Times New Roman" w:eastAsia="Times New Roman" w:hAnsi="Times New Roman"/>
          <w:sz w:val="22"/>
          <w:szCs w:val="22"/>
          <w:color w:val="auto"/>
        </w:rPr>
        <w:t>. If a Change of Control occurs prior to the end of the Performance Period, then the Grantee will be deemed to have earned the number of</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Performance-Based LTIP Units based on the performance criteria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calculated from the Effective Date through the measurement date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 addition, the service requirements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 shall be deemed satisfied, subject to the Grantee’s continuous employment with the Company through the consummation of the Change of Control, or, if earlier, the date the Grantee experiences a Qualifying Termination.</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7.Payments by Award Recipients</w:t>
      </w:r>
      <w:r>
        <w:rPr>
          <w:rFonts w:ascii="Times New Roman" w:cs="Times New Roman" w:eastAsia="Times New Roman" w:hAnsi="Times New Roman"/>
          <w:sz w:val="22"/>
          <w:szCs w:val="22"/>
          <w:color w:val="auto"/>
        </w:rPr>
        <w:t>. A capital contribution in the amount of $0.01 per Award LTIP Unit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to the Company or the Partnership by the Grantee in respect of this Award, with such amount being netted against cash compensation otherwise payable to the Grantee.</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8.Distributions</w:t>
      </w:r>
      <w:r>
        <w:rPr>
          <w:rFonts w:ascii="Times New Roman" w:cs="Times New Roman" w:eastAsia="Times New Roman" w:hAnsi="Times New Roman"/>
          <w:sz w:val="22"/>
          <w:szCs w:val="22"/>
          <w:color w:val="auto"/>
        </w:rPr>
        <w:t>. To the extent provided for in the Partnership Agreement, the Grantee shall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receive distributions with respect to the Award LTIP Units. The Performance-Based LTIP Units shall be designated as “Special LTIP Units” under the Partnership Agreement. In the event of any discrepancy or inconsistency between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the Partnership Agreement, the terms and conditions of the Partnership Agreement shall control. For purposes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all capitalized terms not otherwise defined herein shall have the meanings ascribed thereto in the Partnership Agreement.</w:t>
      </w:r>
    </w:p>
    <w:p>
      <w:pPr>
        <w:spacing w:after="0" w:line="181" w:lineRule="exact"/>
        <w:rPr>
          <w:sz w:val="20"/>
          <w:szCs w:val="20"/>
          <w:color w:val="auto"/>
        </w:rPr>
      </w:pPr>
    </w:p>
    <w:p>
      <w:pPr>
        <w:jc w:val="both"/>
        <w:ind w:firstLine="757"/>
        <w:spacing w:after="0" w:line="236"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Time-Based LTIP Units</w:t>
      </w:r>
      <w:r>
        <w:rPr>
          <w:rFonts w:ascii="Times New Roman" w:cs="Times New Roman" w:eastAsia="Times New Roman" w:hAnsi="Times New Roman"/>
          <w:sz w:val="22"/>
          <w:szCs w:val="22"/>
          <w:color w:val="auto"/>
        </w:rPr>
        <w:t>. The Time-Based LTIP Units shall be treated as “LTIP Units” under the Partnership Agreement and shall not be designated as “Special LTIP Units.” As of the Grant Date, the Time-Based LTIP Units shall be entitled to the full distribution payable on Units outstanding as of the record date for the quarterly distribution period during which the Time-Based LTIP Units are issued, even though it will not have been outstanding for the whole period, and to subsequent distributions. All distributions paid with respect to the Time-Based LTIP Units shall be fully vested and non-forfeitable when paid whether the underlying Time-Based LTIP Units are vested or unvested.</w:t>
      </w:r>
    </w:p>
    <w:p>
      <w:pPr>
        <w:spacing w:after="0" w:line="181" w:lineRule="exact"/>
        <w:rPr>
          <w:rFonts w:ascii="Times New Roman" w:cs="Times New Roman" w:eastAsia="Times New Roman" w:hAnsi="Times New Roman"/>
          <w:sz w:val="22"/>
          <w:szCs w:val="22"/>
          <w:u w:val="single" w:color="auto"/>
          <w:color w:val="auto"/>
        </w:rPr>
      </w:pPr>
    </w:p>
    <w:p>
      <w:pPr>
        <w:jc w:val="both"/>
        <w:ind w:firstLine="757"/>
        <w:spacing w:after="0" w:line="233"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LTIP Units</w:t>
      </w:r>
      <w:r>
        <w:rPr>
          <w:rFonts w:ascii="Times New Roman" w:cs="Times New Roman" w:eastAsia="Times New Roman" w:hAnsi="Times New Roman"/>
          <w:sz w:val="22"/>
          <w:szCs w:val="22"/>
          <w:color w:val="auto"/>
        </w:rPr>
        <w:t xml:space="preserve">. The Performance-Based LTIP Units shall be designated as “Special LTIP Units” under the Partnership Agreement. With respect to the Performance-Based LTIP Units and to the extent provided for in the Partnership Agreement, the Special LTIP Unit Full Distribution Participation Date shall be the Valuation Date; provided that prior to such date, Performance-Based LTIP Units shall be entitled to receive the Special LTIP Unit Sharing Percentage (i.e., ten percent (10%)) of the distributions payable on Units outstanding as of the record date for the quarterly distribution periods occurring during the Performance Period. For the avoidance of doubt, after the Valuation Date, Performance-Based LTIP Units, both vested and (until and unless forfeited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unvested, shall be entitled to receive the same distributions payable with respect to Units if the payment date for such distributions is after the Valuation Date, even though the Partnership Record Date for such distributions is before the Valuation Date. All distributions paid with respect to Performance-Based LTIP Units, both before and after the Valuation Date, shall be fully vested and non-forfeitable when paid, whether or not the underlying LTIP Units have been earned based on performance or have become vested based on the passage of time as provided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Subsequent to the Special LTIP Unit Full Distribution Participation Date, vested Performance-Based LTIP Units may be entitled to receive the Interim Distribution Amount to the extent provided for in the Partnership Agreement.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u w:val="single" w:color="auto"/>
          <w:color w:val="auto"/>
        </w:rPr>
        <w:t>Section 9.Restrictions on Transfer</w:t>
      </w:r>
      <w:r>
        <w:rPr>
          <w:rFonts w:ascii="Times New Roman" w:cs="Times New Roman" w:eastAsia="Times New Roman" w:hAnsi="Times New Roman"/>
          <w:sz w:val="21"/>
          <w:szCs w:val="21"/>
          <w:color w:val="auto"/>
        </w:rPr>
        <w:t>. None of the Award LTIP Units shall be sold, assigned, transferred, pledged,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hypothecated or otherwise disposed of or encumbered (whether voluntarily or involuntarily or by judgment, levy, attachment, garnishment or other legal or equitable proceeding) (each such action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or redeemed in accordance with the Partnership Agreement (a) prior to vesting, (b) for a period of two (2) years beginning on the Grant Date other than in connection with a Change of Control, and (c) unless such Transfer is in compliance with all applicable securities laws (including, without limitation, the Securities Act, and such Transfer is in accordance with the applicable terms and conditions of the Partnership Agreement; provided that, upon the approval of, and subject to the terms and conditions specified by, the Committee, unvested Award LTIP Units that have been held for a period of at least two (2) years may be Transferred to (i) the spouse, children or grandchildren of the Grantee (“</w:t>
      </w:r>
      <w:r>
        <w:rPr>
          <w:rFonts w:ascii="Times New Roman" w:cs="Times New Roman" w:eastAsia="Times New Roman" w:hAnsi="Times New Roman"/>
          <w:sz w:val="21"/>
          <w:szCs w:val="21"/>
          <w:u w:val="single" w:color="auto"/>
          <w:color w:val="auto"/>
        </w:rPr>
        <w:t>Immediate Family Members</w:t>
      </w:r>
      <w:r>
        <w:rPr>
          <w:rFonts w:ascii="Times New Roman" w:cs="Times New Roman" w:eastAsia="Times New Roman" w:hAnsi="Times New Roman"/>
          <w:sz w:val="21"/>
          <w:szCs w:val="21"/>
          <w:color w:val="auto"/>
        </w:rPr>
        <w:t xml:space="preserve">”), (ii) a trust or trusts for the exclusive benefit of the Grantee and such Immediate Family Members, (iii) a partnership in which the Grantee and such Immediate Family Members are the only partners, or (iv) one or more entities in which the Grantee has a ten percent (10%) or greater equity interest, provided that the Transferee agrees in writing with the Company and the Partnership to be bound by all the terms and conditions of this Agreement and that subsequent transfers of unvested Award LTIP Units shall be prohibited except those in accordance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In connection with any Transfer of Award LTIP Units, the Partnership may require the Grantee to provide an opinion of counsel, satisfactory to the Partnership, that such Transfer is in compliance with all federal and state securities laws (including, without limitation, the Securities Act). Any attempted Transfer of Award LTIP Units not in accordance with the terms and conditions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be null and void, and the Partnership shall not reflect on its records any change in record ownership of any LTIP Units as a result of any such Transfer, shall otherwise refuse to recognize any such Transfer and shall not in any way give effect to any such Transfer of any LTIP Units. This Agreement is personal to the Grantee, is non-assignable and is not transferable in any manner, by operation of law or otherwise, other than by will or the laws of descent and distribution.</w:t>
      </w:r>
    </w:p>
    <w:p>
      <w:pPr>
        <w:spacing w:after="0" w:line="18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Section 10.Changes in Capital Structure</w:t>
      </w:r>
      <w:r>
        <w:rPr>
          <w:rFonts w:ascii="Times New Roman" w:cs="Times New Roman" w:eastAsia="Times New Roman" w:hAnsi="Times New Roman"/>
          <w:sz w:val="22"/>
          <w:szCs w:val="22"/>
          <w:color w:val="auto"/>
        </w:rPr>
        <w:t>. Without duplication with the provisions of the Plan, if (a) the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are changed into or exchanged for a different number or kind of shares or other securities of the Company by reason of any recapitalization, reclassification, share split, share dividend, combination or subdivision, merger, consolidation, or other similar transaction or (b) any other event shall occur that in each case in the good faith judgment of the Committee necessitates action by way of appropriate equitable adjustment in the terms of this Award, the LTIP or the LTIP Units, then the Committee shall take such action as it deems necessary to maintain the Grantee’s rights hereunder so that they are substantially proportionate to the rights existing under this Award, the LTIP and the terms of the LTIP Units prior to such event, including, without limitation: (i) adjustments in the Award LTIP Units and (ii) substitution of other awards under the Plan or otherwise. The Grantee shall have the right to vote the Award LTIP Units if and when voting is allowed under the Partnership Agreement, regardless of whether vesting has occurred.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Section 11.Miscellaneous.</w:t>
      </w:r>
    </w:p>
    <w:p>
      <w:pPr>
        <w:spacing w:after="0" w:line="210" w:lineRule="exact"/>
        <w:rPr>
          <w:sz w:val="20"/>
          <w:szCs w:val="20"/>
          <w:color w:val="auto"/>
        </w:rPr>
      </w:pPr>
    </w:p>
    <w:p>
      <w:pPr>
        <w:jc w:val="both"/>
        <w:ind w:firstLine="757"/>
        <w:spacing w:after="0" w:line="244" w:lineRule="auto"/>
        <w:tabs>
          <w:tab w:leader="none" w:pos="1018" w:val="left"/>
        </w:tabs>
        <w:numPr>
          <w:ilvl w:val="0"/>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Modifications</w:t>
      </w:r>
      <w:r>
        <w:rPr>
          <w:rFonts w:ascii="Times New Roman" w:cs="Times New Roman" w:eastAsia="Times New Roman" w:hAnsi="Times New Roman"/>
          <w:sz w:val="22"/>
          <w:szCs w:val="22"/>
          <w:color w:val="auto"/>
        </w:rPr>
        <w:t>. This Agreement may be amended or modified only with the consent of the Company and the Partnership acting through the Committee; provided that any such amendment or modification materially and adversely affecting the rights of the Grantee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7" w:name="page68"/>
    <w:bookmarkEnd w:id="67"/>
    <w:p>
      <w:pPr>
        <w:jc w:val="both"/>
        <w:spacing w:after="0" w:line="234" w:lineRule="auto"/>
        <w:rPr>
          <w:sz w:val="20"/>
          <w:szCs w:val="20"/>
          <w:color w:val="auto"/>
        </w:rPr>
      </w:pPr>
      <w:r>
        <w:rPr>
          <w:rFonts w:ascii="Times New Roman" w:cs="Times New Roman" w:eastAsia="Times New Roman" w:hAnsi="Times New Roman"/>
          <w:sz w:val="22"/>
          <w:szCs w:val="22"/>
          <w:color w:val="auto"/>
        </w:rPr>
        <w:t>hereunder must be consented to by the Grantee to be effective as against him; and provided, further, that the Grantee acknowledges that the Plan may be amended or discontinued in accordance with its terms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 grant shall in no way affect the Grantee’s participation or benefits under any other plan or benefit program maintained or provided by the Company.</w:t>
      </w:r>
    </w:p>
    <w:p>
      <w:pPr>
        <w:spacing w:after="0" w:line="179" w:lineRule="exact"/>
        <w:rPr>
          <w:sz w:val="20"/>
          <w:szCs w:val="20"/>
          <w:color w:val="auto"/>
        </w:rPr>
      </w:pPr>
    </w:p>
    <w:p>
      <w:pPr>
        <w:jc w:val="both"/>
        <w:ind w:firstLine="757"/>
        <w:spacing w:after="0" w:line="239" w:lineRule="auto"/>
        <w:tabs>
          <w:tab w:leader="none" w:pos="101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Incorporation of Plan; Committee Determinations</w:t>
      </w:r>
      <w:r>
        <w:rPr>
          <w:rFonts w:ascii="Times New Roman" w:cs="Times New Roman" w:eastAsia="Times New Roman" w:hAnsi="Times New Roman"/>
          <w:sz w:val="22"/>
          <w:szCs w:val="22"/>
          <w:color w:val="auto"/>
        </w:rPr>
        <w:t>. The provisions of the Plan are hereby incorporated by reference as if set forth herein. In the event of a conflict between this Agreement and the Plan, this Agreement shall be controlling and determinative. The Committee will make the determinations and certifications required by this Award as promptly as reasonably practicable following the occurrence of the event or events necessitating such determinations or certifications.</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4" w:lineRule="auto"/>
        <w:tabs>
          <w:tab w:leader="none" w:pos="101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Status of LTIP Units under the Plan</w:t>
      </w:r>
      <w:r>
        <w:rPr>
          <w:rFonts w:ascii="Times New Roman" w:cs="Times New Roman" w:eastAsia="Times New Roman" w:hAnsi="Times New Roman"/>
          <w:sz w:val="22"/>
          <w:szCs w:val="22"/>
          <w:color w:val="auto"/>
        </w:rPr>
        <w:t xml:space="preserve">. Insofar as the LTIP has been established as an incentive program of the Company and the Partnership, the Award LTIP Units are both issued as equity securities of the Partnership and granted as awards under the Plan. The Company will have the right at its option, as set forth in the Partnership Agreement, to issue Common Shares in exchange for Units into which Award LTIP Units may have been converted pursuant to the Partnership Agreement, subject to certain limitations set forth in the Partnership Agreement, and such Common Shares, if issued, will be issued under the Plan. The Grantee must be eligible to receive the Award LTIP Units in compliance with applicable federal and state securities laws and to that effect is required to complete, execute and deliver certain covenants, representations and warranties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Grantee acknowledges that the Grantee will have no right to approve or disapprove such eligibility determination by the Committee.</w:t>
      </w:r>
    </w:p>
    <w:p>
      <w:pPr>
        <w:spacing w:after="0" w:line="183"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If certificates are issued evidencing the Award LTIP Units, the records of the Partnership shall bear an appropriate legend, as determined by the Partnership in its sole discretion, to the effect that such Award LTIP Units are subject to restrictions as set forth herein, in the Plan and in the Partnership Agreement.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 The Partnership and the Grantee will make reasonable efforts to comply with all applicable securities laws. In addition, notwithstanding any provision of this Agreement to the contrary, no Award LTIP Units will become vested or be issued at a time that such vesting or issuance would result in a violation of any such laws.</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Investment Representations; Registration</w:t>
      </w:r>
      <w:r>
        <w:rPr>
          <w:rFonts w:ascii="Times New Roman" w:cs="Times New Roman" w:eastAsia="Times New Roman" w:hAnsi="Times New Roman"/>
          <w:sz w:val="22"/>
          <w:szCs w:val="22"/>
          <w:color w:val="auto"/>
        </w:rPr>
        <w:t xml:space="preserve">. The Grantee hereby makes the covenants, representations and warranties and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All of such covenants, warranties and representations shall survive the execution and delivery of this Agreement by the Grantee. The Partnership will have no obligation to register under the Securities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 w:name="page69"/>
    <w:bookmarkEnd w:id="68"/>
    <w:p>
      <w:pPr>
        <w:jc w:val="both"/>
        <w:spacing w:after="0" w:line="239" w:lineRule="auto"/>
        <w:rPr>
          <w:sz w:val="20"/>
          <w:szCs w:val="20"/>
          <w:color w:val="auto"/>
        </w:rPr>
      </w:pPr>
      <w:r>
        <w:rPr>
          <w:rFonts w:ascii="Times New Roman" w:cs="Times New Roman" w:eastAsia="Times New Roman" w:hAnsi="Times New Roman"/>
          <w:sz w:val="22"/>
          <w:szCs w:val="22"/>
          <w:color w:val="auto"/>
        </w:rPr>
        <w:t>Act any LTIP Units or any other securities issued pursuant to this Agreement or upon conversion or exchange of LTIP Units.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80" w:lineRule="exact"/>
        <w:rPr>
          <w:sz w:val="20"/>
          <w:szCs w:val="20"/>
          <w:color w:val="auto"/>
        </w:rPr>
      </w:pPr>
    </w:p>
    <w:p>
      <w:pPr>
        <w:jc w:val="both"/>
        <w:ind w:firstLine="757"/>
        <w:spacing w:after="0" w:line="233"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Policy for Recoupment of Incentive Compensation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Covered Officer</w:t>
      </w:r>
      <w:r>
        <w:rPr>
          <w:rFonts w:ascii="Times New Roman" w:cs="Times New Roman" w:eastAsia="Times New Roman" w:hAnsi="Times New Roman"/>
          <w:sz w:val="22"/>
          <w:szCs w:val="22"/>
          <w:color w:val="auto"/>
        </w:rPr>
        <w:t>” means any officer of the Company who (i) is subject to the reporting requirements of Section 16 of the Exchange Act. The Company will endeavor to inform the Grantee if the Grantee is designated as a “Covered Officer,” it being understood, however, that failure to notify the Grantee will have no effect on the rights of the Company under the policy. If the Grantee is a Covered Officer, the Grantee hereby agrees that this Award and all compensation consisting of annual cash bonus and long-term incentive compensation in any form (including stock options, restricted stock and LTIP Units, whether time-based or performance-based)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awarded to the Grantee prior to the date hereof is subject to recoupment under the Company’s Corporate Governance Guidelines, as in effect from time to time. For the avoidance of doubt, the purpose and effect of the foregoing agreement by the Grantee is to make such policy effective both prospectively and retroactively. As an example, in addition to this Award, Incentive Compensation previously awarded in the past, prior to this policy being in effect, is subject to such policy and is applicable to the Grantee if he or she was a Covered Officers during any relevant period even if he or she is no longer an employee of the Company at the time the determination to recoup Incentive Compensation is made.</w:t>
      </w:r>
    </w:p>
    <w:p>
      <w:pPr>
        <w:spacing w:after="0" w:line="184"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6"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is made under, and will be construed in accordance with, the laws of State of Delaware, without giving effect to the principles of conflict of laws of such state.</w:t>
      </w:r>
    </w:p>
    <w:p>
      <w:pPr>
        <w:spacing w:after="0" w:line="158"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Obligation to Continue Position as an Employee, Consultant or Advisor</w:t>
      </w:r>
      <w:r>
        <w:rPr>
          <w:rFonts w:ascii="Times New Roman" w:cs="Times New Roman" w:eastAsia="Times New Roman" w:hAnsi="Times New Roman"/>
          <w:sz w:val="22"/>
          <w:szCs w:val="22"/>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jc w:val="both"/>
        <w:ind w:firstLine="757"/>
        <w:spacing w:after="0" w:line="235" w:lineRule="auto"/>
        <w:tabs>
          <w:tab w:leader="none" w:pos="1018" w:val="left"/>
        </w:tabs>
        <w:numPr>
          <w:ilvl w:val="0"/>
          <w:numId w:val="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Withholding and Taxes</w:t>
      </w:r>
      <w:r>
        <w:rPr>
          <w:rFonts w:ascii="Times New Roman" w:cs="Times New Roman" w:eastAsia="Times New Roman" w:hAnsi="Times New Roman"/>
          <w:sz w:val="22"/>
          <w:szCs w:val="22"/>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(m)Headings</w:t>
      </w:r>
      <w:r>
        <w:rPr>
          <w:rFonts w:ascii="Times New Roman" w:cs="Times New Roman" w:eastAsia="Times New Roman" w:hAnsi="Times New Roman"/>
          <w:sz w:val="22"/>
          <w:szCs w:val="22"/>
          <w:color w:val="auto"/>
        </w:rPr>
        <w:t>. The headings of paragraphs hereof are included solely for convenience of reference and shall not control the meaning or interpretation of any of the provisions of this Agreement.</w:t>
      </w:r>
    </w:p>
    <w:p>
      <w:pPr>
        <w:spacing w:after="0" w:line="158" w:lineRule="exact"/>
        <w:rPr>
          <w:sz w:val="20"/>
          <w:szCs w:val="20"/>
          <w:color w:val="auto"/>
        </w:rPr>
      </w:pPr>
    </w:p>
    <w:p>
      <w:pPr>
        <w:ind w:firstLine="757"/>
        <w:spacing w:after="0" w:line="258" w:lineRule="auto"/>
        <w:tabs>
          <w:tab w:leader="none" w:pos="1018"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58"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spacing w:after="0"/>
        <w:tabs>
          <w:tab w:leader="none" w:pos="9180" w:val="left"/>
        </w:tabs>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caused this Award Agreement to be executed as of [</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9379"/>
          </w:cols>
          <w:pgMar w:left="1080" w:top="1404"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ACADIA REALTY TRUST</w:t>
      </w: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-13970</wp:posOffset>
            </wp:positionV>
            <wp:extent cx="62484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ACADIA REALTY LIMITED PARTNERSHIP</w:t>
      </w: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Acadia Realty Trust, its general partner</w:t>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-13970</wp:posOffset>
            </wp:positionV>
            <wp:extent cx="62484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450850</wp:posOffset>
            </wp:positionV>
            <wp:extent cx="164592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w:t>
      </w:r>
    </w:p>
    <w:p>
      <w:pPr>
        <w:spacing w:after="0" w:line="1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[Signature Page to LTIP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814705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type w:val="continuous"/>
        </w:sectPr>
      </w:pPr>
    </w:p>
    <w:bookmarkStart w:id="71" w:name="page72"/>
    <w:bookmarkEnd w:id="71"/>
    <w:p>
      <w:pPr>
        <w:jc w:val="right"/>
        <w:ind w:right="39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2"/>
          <w:szCs w:val="22"/>
          <w:b w:val="1"/>
          <w:bCs w:val="1"/>
          <w:color w:val="auto"/>
        </w:rPr>
        <w:t>FORM OF LIMITED PARTNER SIGNATURE PAGE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1318260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73" w:name="page74"/>
    <w:bookmarkEnd w:id="73"/>
    <w:p>
      <w:pPr>
        <w:jc w:val="right"/>
        <w:ind w:right="393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74" w:name="page75"/>
    <w:bookmarkEnd w:id="74"/>
    <w:p>
      <w:pPr>
        <w:spacing w:after="0" w:line="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[Omitted]</w:t>
      </w:r>
    </w:p>
    <w:p>
      <w:pPr>
        <w:spacing w:after="0" w:line="107"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[Signature Page to LTIP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 - 14(a)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F. Bernstein, certify that:</w:t>
      </w:r>
    </w:p>
    <w:p>
      <w:pPr>
        <w:spacing w:after="0" w:line="225"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Acadia Realty Trust;</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F. Bernstein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 - 14(a)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Gottfried, certify that:</w:t>
      </w:r>
    </w:p>
    <w:p>
      <w:pPr>
        <w:spacing w:after="0" w:line="225"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Acadia Realty Trust;</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Gottfried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Acadia Realty Trust (the “Company”) for the quarter ended June 30, 2024, as filed with the Securities and Exchange Commission on the date hereof (the “Report”), I, Kenneth F. Bernstein,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F. Bernstein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Acadia Realty Trust (the “Company”) for the quarter ended June 30, 2024, as filed with the Securities and Exchange Commission on the date hereof (the “Report”), I, John Gottfried,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Gottfried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Roman"/>
      <w:start w:val="3"/>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2"/>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lowerLetter"/>
      <w:start w:val="1"/>
    </w:lvl>
    <w:lvl w:ilvl="1">
      <w:lvlJc w:val="left"/>
      <w:lvlText w:val="(%2)"/>
      <w:numFmt w:val="lowerLetter"/>
      <w:start w:val="61"/>
    </w:lvl>
  </w:abstractNum>
  <w:abstractNum w:abstractNumId="40">
    <w:nsid w:val="6DE91B18"/>
    <w:multiLevelType w:val="hybridMultilevel"/>
    <w:lvl w:ilvl="0">
      <w:lvlJc w:val="left"/>
      <w:lvlText w:val="(%1)"/>
      <w:numFmt w:val="lowerLetter"/>
      <w:start w:val="3"/>
    </w:lvl>
    <w:lvl w:ilvl="1">
      <w:lvlJc w:val="left"/>
      <w:lvlText w:val="%2"/>
      <w:numFmt w:val="lowerLetter"/>
      <w:start w:val="1"/>
    </w:lvl>
  </w:abstractNum>
  <w:abstractNum w:abstractNumId="41">
    <w:nsid w:val="38437FDB"/>
    <w:multiLevelType w:val="hybridMultilevel"/>
    <w:lvl w:ilvl="0">
      <w:lvlJc w:val="left"/>
      <w:lvlText w:val="(%1)"/>
      <w:numFmt w:val="lowerLetter"/>
      <w:start w:val="1"/>
    </w:lvl>
    <w:lvl w:ilvl="1">
      <w:lvlJc w:val="left"/>
      <w:lvlText w:val="(%2)"/>
      <w:numFmt w:val="lowerRoman"/>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2"/>
    </w:lvl>
  </w:abstractNum>
  <w:abstractNum w:abstractNumId="46">
    <w:nsid w:val="749ABB43"/>
    <w:multiLevelType w:val="hybridMultilevel"/>
    <w:lvl w:ilvl="0">
      <w:lvlJc w:val="left"/>
      <w:lvlText w:val="(%1)"/>
      <w:numFmt w:val="lowerLetter"/>
      <w:start w:val="7"/>
    </w:lvl>
  </w:abstractNum>
  <w:abstractNum w:abstractNumId="47">
    <w:nsid w:val="3DC240FB"/>
    <w:multiLevelType w:val="hybridMultilevel"/>
    <w:lvl w:ilvl="0">
      <w:lvlJc w:val="left"/>
      <w:lvlText w:val="(%1)"/>
      <w:numFmt w:val="lowerLetter"/>
      <w:start w:val="12"/>
    </w:lvl>
  </w:abstractNum>
  <w:abstractNum w:abstractNumId="48">
    <w:nsid w:val="1BA026FA"/>
    <w:multiLevelType w:val="hybridMultilevel"/>
    <w:lvl w:ilvl="0">
      <w:lvlJc w:val="left"/>
      <w:lvlText w:val="(%1)"/>
      <w:numFmt w:val="lowerLetter"/>
      <w:start w:val="1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791" Type="http://schemas.openxmlformats.org/officeDocument/2006/relationships/hyperlink" Target="https://www.sec.gov/ix?doc=/Archives/edgar/data/899629/000110465924047435/tm241182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2024-07-31T15:44:49Z</dcterms:created>
  <dcterms:modified xsi:type="dcterms:W3CDTF">2024-07-31T15:44:49Z</dcterms:modified>
</cp:coreProperties>
</file>