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kr-20260630.htm"/>
      <w:bookmarkStart w:id="1" w:name="ksakr202606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0" w:after="16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Commission File Number 001-12002</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ACADIA REALTY TRUST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6451" w:type="dxa"/>
        <w:jc w:val="left"/>
        <w:tblInd w:w="0" w:type="dxa"/>
        <w:tblLayout w:type="fixed"/>
        <w:tblCellMar>
          <w:top w:w="28" w:type="dxa"/>
          <w:left w:w="28" w:type="dxa"/>
          <w:bottom w:w="28" w:type="dxa"/>
          <w:right w:w="28" w:type="dxa"/>
        </w:tblCellMar>
      </w:tblPr>
      <w:tblGrid>
        <w:gridCol w:w="4539"/>
        <w:gridCol w:w="261"/>
        <w:gridCol w:w="1651"/>
      </w:tblGrid>
      <w:tr>
        <w:trPr/>
        <w:tc>
          <w:tcPr>
            <w:tcW w:w="45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tcMar>
              <w:top w:w="0" w:type="dxa"/>
              <w:left w:w="0" w:type="dxa"/>
              <w:bottom w:w="0" w:type="dxa"/>
              <w:right w:w="0" w:type="dxa"/>
            </w:tcMar>
            <w:vAlign w:val="center"/>
          </w:tcPr>
          <w:p>
            <w:pPr>
              <w:pStyle w:val="TableContents"/>
              <w:bidi w:val="0"/>
              <w:jc w:val="center"/>
              <w:rPr>
                <w:rFonts w:ascii="Times New Roman" w:hAnsi="Times New Roman"/>
                <w:b/>
                <w:caps/>
                <w:color w:val="000000"/>
                <w:sz w:val="18"/>
              </w:rPr>
            </w:pPr>
            <w:r>
              <w:rPr>
                <w:rFonts w:ascii="Times New Roman" w:hAnsi="Times New Roman"/>
                <w:b/>
                <w:caps/>
                <w:color w:val="000000"/>
                <w:sz w:val="18"/>
              </w:rPr>
              <w:t>Maryland</w:t>
            </w:r>
          </w:p>
          <w:p>
            <w:pPr>
              <w:pStyle w:val="TableContents"/>
              <w:bidi w:val="0"/>
              <w:jc w:val="center"/>
              <w:rPr>
                <w:color w:val="000000"/>
              </w:rPr>
            </w:pPr>
            <w:r>
              <w:rPr>
                <w:color w:val="000000"/>
              </w:rPr>
              <w:t> </w:t>
            </w:r>
            <w:r>
              <w:rPr>
                <w:rFonts w:ascii="Times New Roman" w:hAnsi="Times New Roman"/>
                <w:b/>
                <w:color w:val="000000"/>
                <w:sz w:val="18"/>
              </w:rPr>
              <w:t>(State or other jurisdiction of</w:t>
            </w:r>
          </w:p>
          <w:p>
            <w:pPr>
              <w:pStyle w:val="TableContents"/>
              <w:bidi w:val="0"/>
              <w:spacing w:before="0" w:after="283"/>
              <w:ind w:left="0" w:right="0" w:firstLine="30"/>
              <w:jc w:val="center"/>
              <w:rPr>
                <w:color w:val="000000"/>
              </w:rPr>
            </w:pPr>
            <w:r>
              <w:rPr>
                <w:color w:val="000000"/>
              </w:rPr>
              <w:t> </w:t>
            </w:r>
            <w:r>
              <w:rPr>
                <w:rFonts w:ascii="Times New Roman" w:hAnsi="Times New Roman"/>
                <w:b/>
                <w:color w:val="000000"/>
                <w:sz w:val="18"/>
              </w:rPr>
              <w:t>incorporation or organization)</w:t>
            </w:r>
          </w:p>
        </w:tc>
        <w:tc>
          <w:tcPr>
            <w:tcW w:w="2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23-2715194</w:t>
            </w:r>
          </w:p>
          <w:p>
            <w:pPr>
              <w:pStyle w:val="TableContents"/>
              <w:bidi w:val="0"/>
              <w:jc w:val="center"/>
              <w:rPr>
                <w:color w:val="000000"/>
              </w:rPr>
            </w:pPr>
            <w:r>
              <w:rPr>
                <w:color w:val="000000"/>
              </w:rPr>
              <w:t> </w:t>
            </w:r>
            <w:r>
              <w:rPr>
                <w:rFonts w:ascii="Times New Roman" w:hAnsi="Times New Roman"/>
                <w:b/>
                <w:color w:val="000000"/>
                <w:sz w:val="18"/>
              </w:rPr>
              <w:t>(I.R.S. Employer</w:t>
            </w:r>
          </w:p>
          <w:p>
            <w:pPr>
              <w:pStyle w:val="TableContents"/>
              <w:bidi w:val="0"/>
              <w:spacing w:before="0" w:after="283"/>
              <w:ind w:left="0" w:right="0" w:firstLine="30"/>
              <w:jc w:val="center"/>
              <w:rPr>
                <w:color w:val="000000"/>
              </w:rPr>
            </w:pPr>
            <w:r>
              <w:rPr>
                <w:color w:val="000000"/>
              </w:rPr>
              <w:t> </w:t>
            </w:r>
            <w:r>
              <w:rPr>
                <w:rFonts w:ascii="Times New Roman" w:hAnsi="Times New Roman"/>
                <w:b/>
                <w:color w:val="000000"/>
                <w:sz w:val="18"/>
              </w:rPr>
              <w:t>Identification No.)</w:t>
            </w:r>
          </w:p>
        </w:tc>
      </w:tr>
      <w:tr>
        <w:trPr/>
        <w:tc>
          <w:tcPr>
            <w:tcW w:w="453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80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411 THEODORE FREMD AVENUE, SUITE 300, RYE, NY</w:t>
            </w:r>
          </w:p>
          <w:p>
            <w:pPr>
              <w:pStyle w:val="TableContents"/>
              <w:bidi w:val="0"/>
              <w:spacing w:before="0" w:after="283"/>
              <w:jc w:val="center"/>
              <w:rPr>
                <w:color w:val="000000"/>
              </w:rPr>
            </w:pPr>
            <w:r>
              <w:rPr>
                <w:color w:val="000000"/>
              </w:rPr>
              <w:t> </w:t>
            </w:r>
            <w:r>
              <w:rPr>
                <w:rFonts w:ascii="Times New Roman" w:hAnsi="Times New Roman"/>
                <w:b/>
                <w:color w:val="000000"/>
                <w:sz w:val="18"/>
              </w:rPr>
              <w:t>(Address of principal executive offices)</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10580</w:t>
            </w:r>
          </w:p>
          <w:p>
            <w:pPr>
              <w:pStyle w:val="TableContents"/>
              <w:bidi w:val="0"/>
              <w:spacing w:before="0" w:after="283"/>
              <w:jc w:val="center"/>
              <w:rPr>
                <w:color w:val="000000"/>
              </w:rPr>
            </w:pPr>
            <w:r>
              <w:rPr>
                <w:color w:val="000000"/>
              </w:rPr>
              <w:t> </w:t>
            </w:r>
            <w:r>
              <w:rPr>
                <w:rFonts w:ascii="Times New Roman" w:hAnsi="Times New Roman"/>
                <w:b/>
                <w:color w:val="000000"/>
                <w:sz w:val="18"/>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(914) 288-8100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3" w:type="dxa"/>
        <w:jc w:val="left"/>
        <w:tblInd w:w="0" w:type="dxa"/>
        <w:tblLayout w:type="fixed"/>
        <w:tblCellMar>
          <w:top w:w="28" w:type="dxa"/>
          <w:left w:w="28" w:type="dxa"/>
          <w:bottom w:w="28" w:type="dxa"/>
          <w:right w:w="28" w:type="dxa"/>
        </w:tblCellMar>
      </w:tblPr>
      <w:tblGrid>
        <w:gridCol w:w="5341"/>
        <w:gridCol w:w="1471"/>
        <w:gridCol w:w="3391"/>
      </w:tblGrid>
      <w:tr>
        <w:trPr/>
        <w:tc>
          <w:tcPr>
            <w:tcW w:w="534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Title of class of registered securities</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Trading symbol</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shares of beneficial interest, par value $0.001 per share</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AKR</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618" w:type="dxa"/>
        <w:jc w:val="left"/>
        <w:tblInd w:w="0" w:type="dxa"/>
        <w:tblLayout w:type="fixed"/>
        <w:tblCellMar>
          <w:top w:w="28" w:type="dxa"/>
          <w:left w:w="28" w:type="dxa"/>
          <w:bottom w:w="28" w:type="dxa"/>
          <w:right w:w="28" w:type="dxa"/>
        </w:tblCellMar>
      </w:tblPr>
      <w:tblGrid>
        <w:gridCol w:w="781"/>
        <w:gridCol w:w="146"/>
        <w:gridCol w:w="6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2"/>
              </w:rPr>
            </w:pPr>
            <w:r>
              <w:rPr>
                <w:rFonts w:ascii="Times New Roman" w:hAnsi="Times New Roman"/>
                <w:b/>
                <w:caps/>
                <w:color w:val="000000"/>
                <w:sz w:val="20"/>
              </w:rPr>
              <w:t>Yes</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b/>
                <w:caps/>
                <w:color w:val="000000"/>
                <w:sz w:val="20"/>
              </w:rPr>
              <w:t>No</w:t>
            </w:r>
            <w:r>
              <w:rPr>
                <w:rFonts w:ascii="Times New Roman" w:hAnsi="Times New Roman"/>
                <w:color w:val="000000"/>
                <w:sz w:val="20"/>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618" w:type="dxa"/>
        <w:jc w:val="left"/>
        <w:tblInd w:w="0" w:type="dxa"/>
        <w:tblLayout w:type="fixed"/>
        <w:tblCellMar>
          <w:top w:w="28" w:type="dxa"/>
          <w:left w:w="28" w:type="dxa"/>
          <w:bottom w:w="28" w:type="dxa"/>
          <w:right w:w="28" w:type="dxa"/>
        </w:tblCellMar>
      </w:tblPr>
      <w:tblGrid>
        <w:gridCol w:w="781"/>
        <w:gridCol w:w="146"/>
        <w:gridCol w:w="6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2"/>
              </w:rPr>
            </w:pPr>
            <w:r>
              <w:rPr>
                <w:rFonts w:ascii="Times New Roman" w:hAnsi="Times New Roman"/>
                <w:b/>
                <w:caps/>
                <w:color w:val="000000"/>
                <w:sz w:val="20"/>
              </w:rPr>
              <w:t>Yes</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b/>
                <w:caps/>
                <w:color w:val="000000"/>
                <w:sz w:val="20"/>
              </w:rPr>
              <w:t>No</w:t>
            </w:r>
            <w:r>
              <w:rPr>
                <w:rFonts w:ascii="Times New Roman" w:hAnsi="Times New Roman"/>
                <w:color w:val="000000"/>
                <w:sz w:val="20"/>
              </w:rPr>
              <w:t> ☐</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2056"/>
        <w:gridCol w:w="316"/>
        <w:gridCol w:w="2551"/>
        <w:gridCol w:w="316"/>
        <w:gridCol w:w="2551"/>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Large 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Emerging Growth Company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Smaller Reporting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checkmark whether the registrant is a shell company (as defined in Rule 12b-2 of the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July 24, 2026, there were 137,332,722 common shares of beneficial interest, par value $0.001 per share (“Common Shares”),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76"/>
        <w:gridCol w:w="8545"/>
        <w:gridCol w:w="146"/>
        <w:gridCol w:w="572"/>
      </w:tblGrid>
      <w:tr>
        <w:trPr/>
        <w:tc>
          <w:tcPr>
            <w:tcW w:w="7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9"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u w:val="single"/>
              </w:rPr>
            </w:pPr>
            <w:r>
              <w:rPr>
                <w:rFonts w:ascii="Times New Roman" w:hAnsi="Times New Roman"/>
                <w:b/>
                <w:color w:val="000000"/>
                <w:sz w:val="20"/>
                <w:u w:val="single"/>
              </w:rPr>
              <w:t>Item No.</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45"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r>
              <w:rPr>
                <w:rFonts w:ascii="Times New Roman" w:hAnsi="Times New Roman"/>
                <w:color w:val="0000FF"/>
                <w:sz w:val="20"/>
                <w:u w:val="single"/>
              </w:rPr>
              <w:t xml:space="preserve">Condensed </w:t>
            </w:r>
            <w:hyperlink w:anchor="consolidated_balance_sheets">
              <w:r>
                <w:rPr>
                  <w:rStyle w:val="InternetLink"/>
                  <w:rFonts w:ascii="Times New Roman" w:hAnsi="Times New Roman"/>
                  <w:color w:val="000080"/>
                  <w:sz w:val="20"/>
                  <w:u w:val="single"/>
                </w:rPr>
                <w:t>Consolidated Balance Sheets (Unaudited)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income">
              <w:r>
                <w:rPr>
                  <w:rStyle w:val="InternetLink"/>
                  <w:rFonts w:ascii="Times New Roman" w:hAnsi="Times New Roman"/>
                  <w:color w:val="0000FF"/>
                  <w:sz w:val="20"/>
                  <w:u w:val="single"/>
                </w:rPr>
                <w:t>Condensed Consolidated Statements of Operations (Unaudited) for the Three and Six Months Ended June 30, 2026 and 2025</w:t>
              </w:r>
            </w:hyperlink>
            <w:hyperlink w:anchor="consolidated_statements_incom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omprehensive_in">
              <w:r>
                <w:rPr>
                  <w:rStyle w:val="InternetLink"/>
                  <w:rFonts w:ascii="Times New Roman" w:hAnsi="Times New Roman"/>
                  <w:color w:val="000080"/>
                  <w:sz w:val="20"/>
                  <w:u w:val="single"/>
                </w:rPr>
                <w:t>Condensed Consolidated Statements of Comprehensive Income (Loss) (Unaudited) for the Three</w:t>
              </w:r>
            </w:hyperlink>
            <w:hyperlink w:anchor="consolidated_statements_income">
              <w:r>
                <w:rPr>
                  <w:rStyle w:val="InternetLink"/>
                  <w:rFonts w:ascii="Times New Roman" w:hAnsi="Times New Roman"/>
                  <w:color w:val="000080"/>
                  <w:sz w:val="20"/>
                  <w:u w:val="single"/>
                </w:rPr>
                <w:t xml:space="preserve"> and Six</w:t>
              </w:r>
            </w:hyperlink>
            <w:hyperlink w:anchor="consolidated_statements_income">
              <w:r>
                <w:rPr>
                  <w:rStyle w:val="InternetLink"/>
                  <w:rFonts w:ascii="Times New Roman" w:hAnsi="Times New Roman"/>
                  <w:color w:val="0000FF"/>
                  <w:sz w:val="20"/>
                </w:rPr>
                <w:t xml:space="preserve"> </w:t>
              </w:r>
            </w:hyperlink>
            <w:hyperlink w:anchor="consolidated_statements_comprehensive_in">
              <w:r>
                <w:rPr>
                  <w:rStyle w:val="InternetLink"/>
                  <w:rFonts w:ascii="Times New Roman" w:hAnsi="Times New Roman"/>
                  <w:color w:val="0000FF"/>
                  <w:sz w:val="20"/>
                  <w:u w:val="single"/>
                </w:rPr>
                <w:t>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equity">
              <w:r>
                <w:rPr>
                  <w:rStyle w:val="InternetLink"/>
                  <w:rFonts w:ascii="Times New Roman" w:hAnsi="Times New Roman"/>
                  <w:color w:val="000080"/>
                  <w:sz w:val="20"/>
                  <w:u w:val="single"/>
                </w:rPr>
                <w:t>Condensed Consolidated Statements of Changes in Equity (Unaudited) for the Three</w:t>
              </w:r>
            </w:hyperlink>
            <w:hyperlink w:anchor="consolidated_statements_income">
              <w:r>
                <w:rPr>
                  <w:rStyle w:val="InternetLink"/>
                  <w:rFonts w:ascii="Times New Roman" w:hAnsi="Times New Roman"/>
                  <w:color w:val="000080"/>
                  <w:sz w:val="20"/>
                  <w:u w:val="single"/>
                </w:rPr>
                <w:t xml:space="preserve"> and Six</w:t>
              </w:r>
            </w:hyperlink>
            <w:hyperlink w:anchor="consolidated_statements_equity">
              <w:r>
                <w:rPr>
                  <w:rStyle w:val="InternetLink"/>
                  <w:rFonts w:ascii="Times New Roman" w:hAnsi="Times New Roman"/>
                  <w:color w:val="000080"/>
                  <w:sz w:val="20"/>
                  <w:u w:val="single"/>
                </w:rPr>
                <w:t xml:space="preserve">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ash_flows">
              <w:r>
                <w:rPr>
                  <w:rStyle w:val="InternetLink"/>
                  <w:rFonts w:ascii="Times New Roman" w:hAnsi="Times New Roman"/>
                  <w:color w:val="0000FF"/>
                  <w:sz w:val="20"/>
                  <w:u w:val="single"/>
                </w:rPr>
                <w:t>Condensed Consolidated Statements of Cash Flows (Unaudited) for the Six Months Ended June 30, 2026 and 2025</w:t>
              </w:r>
            </w:hyperlink>
            <w:hyperlink w:anchor="consolidated_statements_cash_flow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center"/>
              <w:rPr/>
            </w:pPr>
            <w:hyperlink w:anchor="part_ii_or_information">
              <w:r>
                <w:rPr>
                  <w:rStyle w:val="InternetLink"/>
                  <w:rFonts w:ascii="Times New Roman" w:hAnsi="Times New Roman"/>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45"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statements contained in this Quarterly Report on Form 10-Q (this “Report”) of Acadia Realty Trust, a Maryland real estate investment trust (the “Company”), may contain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the purposes of complying with those safe harbor provisions, in each case, to the extent applicable. Forward-looking statements, which are based on certain assumptions and describe our future plans, strategies and expectations, are generally identifiable by the use of words such as “may,” “will,” “should,” “expect,” “anticipate,” “estimate,” “believe,” “intend” or “project,” or the negative thereof, or other variations thereon or comparable terminology. 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 (i) macroeconomic conditions, including due to geopolitical instability, contemplated tariff increases and other trade restrictions, which may lead to a disruption of or lack of access to the capital markets, disruptions and instability in the banking and financial services industries and elevated inflation; (ii) our success in implementing our business strategy and our ability to identify, underwrite, finance, consummate and integrate diversifying acquisitions and investments; (iii) changes in general economic conditions or economic conditions in the markets in which we may, from time to time, compete, and their effect on our revenues, earnings and funding sources and those of our tenants; (iv) increases in our borrowing costs as a result of elevated inflation, changes in interest rates and other factors; (v) our ability to pay down, refinance, restructure or extend our indebtedness as it becomes due; (vi) our investments in joint ventures and unconsolidated entities, including our lack of sole decision-making authority and our reliance on our joint venture partners’ financial condition; (vii) our ability to obtain the financial results expected from our development and redevelopment projects; (viii) 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 (ix) our potential liability for environmental matters; (x) damage to our properties from catastrophic weather and other natural events, and the physical effects of climate change; (xi) the economic, political and social impact of, and uncertainty surrounding, any future public health crisis, which may adversely affect us and our tenants’ business, financial condition, results of operations and liquidity; (xii) uninsured losses; (xiii) our ability and willingness to maintain our qualification as a real estate investment trust (“REIT”) in light of economic, market, legal, tax and other considerations; (xiv) information technology (“IT”) security breaches, including increased cybersecurity risks relating to the use of remote technology and artificial intelligence (“AI”); (xv) risks associated with our use of AI tools, which could result in reputational harm, and legal or regulatory liability; (xvi) the loss of key executives; and (xvii) the accuracy of our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w:t>
      </w:r>
    </w:p>
    <w:p>
      <w:pPr>
        <w:pStyle w:val="TextBody"/>
        <w:bidi w:val="0"/>
        <w:spacing w:before="240" w:after="283"/>
        <w:jc w:val="both"/>
        <w:rPr/>
      </w:pPr>
      <w:r>
        <w:rPr>
          <w:rFonts w:ascii="Times New Roman" w:hAnsi="Times New Roman"/>
          <w:color w:val="000000"/>
          <w:sz w:val="20"/>
        </w:rPr>
        <w:t>The factors described above are not exhaustive and additional factors could adversely affect the Company’s future results and financial performance, including the risk factors discussed under the section captioned “Risk Factors” in the Company’s Annual Report on Form 10-K for the year ended December 31, 2025 and other periodic or current reports the Company files with the Securities and Exchange Commission (the “SEC”), including those set forth under the headings “</w:t>
      </w:r>
      <w:hyperlink w:anchor="item_1a_risk_factors">
        <w:r>
          <w:rPr>
            <w:rStyle w:val="InternetLink"/>
            <w:rFonts w:ascii="Times New Roman" w:hAnsi="Times New Roman"/>
            <w:color w:val="0000FF"/>
            <w:sz w:val="20"/>
            <w:u w:val="single"/>
          </w:rPr>
          <w:t>Item 1A. Risk Factors</w:t>
        </w:r>
      </w:hyperlink>
      <w:r>
        <w:rPr>
          <w:rFonts w:ascii="Times New Roman" w:hAnsi="Times New Roman"/>
          <w:color w:val="000000"/>
          <w:sz w:val="20"/>
        </w:rPr>
        <w:t>” and “</w:t>
      </w: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r>
        <w:rPr>
          <w:rFonts w:ascii="Times New Roman" w:hAnsi="Times New Roman"/>
          <w:color w:val="000000"/>
          <w:sz w:val="20"/>
        </w:rPr>
        <w:t>” in this Report. These risks and uncertainties should be considered in evaluating any forward-looking statements contained or incorporated by reference herein. Any forward-looking statements speak only as of the date hereof. The Company expressly disclaims any obligation or undertaking to release publicly any updates or revisions to any forward-looking statements to reflect any changes in the Company’s expectations with regard thereto or changes in the events, conditions or circumstances on which such forward-looking statements are based.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SPECIAL NOTE REGARDING CERTAIN REFERENCES</w:t>
      </w:r>
    </w:p>
    <w:p>
      <w:pPr>
        <w:pStyle w:val="TextBody"/>
        <w:bidi w:val="0"/>
        <w:spacing w:before="240" w:after="283"/>
        <w:jc w:val="both"/>
        <w:rPr/>
      </w:pPr>
      <w:r>
        <w:rPr>
          <w:rFonts w:ascii="Times New Roman" w:hAnsi="Times New Roman"/>
          <w:color w:val="000000"/>
          <w:sz w:val="20"/>
        </w:rPr>
        <w:t xml:space="preserve">All references to “Notes” throughout the document refer to the Notes to the Condensed Consolidated Financial Statements of the registrant referenced in Part I, </w:t>
      </w:r>
      <w:hyperlink w:anchor="item_1_financial_statements">
        <w:r>
          <w:rPr>
            <w:rStyle w:val="InternetLink"/>
            <w:rFonts w:ascii="Times New Roman" w:hAnsi="Times New Roman"/>
            <w:color w:val="0000FF"/>
            <w:sz w:val="20"/>
            <w:u w:val="single"/>
          </w:rPr>
          <w:t>Item 1. Financial Statements</w:t>
        </w:r>
      </w:hyperlink>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7029"/>
        <w:gridCol w:w="146"/>
        <w:gridCol w:w="211"/>
        <w:gridCol w:w="931"/>
        <w:gridCol w:w="166"/>
        <w:gridCol w:w="146"/>
        <w:gridCol w:w="218"/>
        <w:gridCol w:w="965"/>
        <w:gridCol w:w="393"/>
      </w:tblGrid>
      <w:tr>
        <w:trPr/>
        <w:tc>
          <w:tcPr>
            <w:tcW w:w="7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3,983,754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Real estate under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4,150,805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Notes receivable, net ($2,180 and $1,638 of allowance for credit losses as of June 30, 2026 and December 31, 2025, respectively)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161,955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223,980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assets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4,837,152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and other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in excess of income from, and investments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liabilities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1,936,610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2,207,721</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$0.001 par value per share, authorized 200,000,000 shares, issued and outstanding 137,329,896 and 131,036,560 shares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2,710,651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Acadia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2,225,647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394,671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2,620,318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4,837,152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Includes Notes receivable, net from related parties of $14.4</w:t>
      </w:r>
      <w:r>
        <w:rPr>
          <w:color w:val="000000"/>
        </w:rPr>
        <w:t xml:space="preserve"> </w:t>
      </w:r>
      <w:r>
        <w:rPr>
          <w:rFonts w:ascii="Times New Roman" w:hAnsi="Times New Roman"/>
          <w:color w:val="000000"/>
          <w:sz w:val="16"/>
        </w:rPr>
        <w:t>million and $14.3</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as of June 30, 2026 and December 31, 2025, respectively (</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pPr>
      <w:r>
        <w:rPr>
          <w:rFonts w:ascii="Times New Roman" w:hAnsi="Times New Roman"/>
          <w:color w:val="000000"/>
          <w:sz w:val="16"/>
        </w:rPr>
        <w:t>Includes consolidated assets and liabilities of Acadia Realty Limited Partnership (the “Operating Partnership”), including those of its consolidated variable interest entities (“VIEs”) (</w:t>
      </w:r>
      <w:hyperlink w:anchor="n16_variable_interest_entities">
        <w:r>
          <w:rPr>
            <w:rStyle w:val="InternetLink"/>
            <w:rFonts w:ascii="Times New Roman" w:hAnsi="Times New Roman"/>
            <w:color w:val="0000FF"/>
            <w:sz w:val="16"/>
            <w:u w:val="single"/>
          </w:rPr>
          <w:t>Note 15</w:t>
        </w:r>
      </w:hyperlink>
      <w:r>
        <w:rPr>
          <w:rFonts w:ascii="Times New Roman" w:hAnsi="Times New Roman"/>
          <w:color w:val="000000"/>
          <w:sz w:val="16"/>
        </w:rPr>
        <w:t>), consisting of: $1,002.0</w:t>
      </w:r>
      <w:r>
        <w:rPr>
          <w:color w:val="000000"/>
        </w:rPr>
        <w:t xml:space="preserve"> </w:t>
      </w:r>
      <w:r>
        <w:rPr>
          <w:rFonts w:ascii="Times New Roman" w:hAnsi="Times New Roman"/>
          <w:color w:val="000000"/>
          <w:sz w:val="16"/>
        </w:rPr>
        <w:t>million and $1,768.6</w:t>
      </w:r>
      <w:r>
        <w:rPr>
          <w:color w:val="000000"/>
        </w:rPr>
        <w:t xml:space="preserve"> </w:t>
      </w:r>
      <w:r>
        <w:rPr>
          <w:rFonts w:ascii="Times New Roman" w:hAnsi="Times New Roman"/>
          <w:color w:val="000000"/>
          <w:sz w:val="16"/>
        </w:rPr>
        <w:t>million of Operating real estate, net; $37.1</w:t>
      </w:r>
      <w:r>
        <w:rPr>
          <w:color w:val="000000"/>
        </w:rPr>
        <w:t xml:space="preserve"> </w:t>
      </w:r>
      <w:r>
        <w:rPr>
          <w:rFonts w:ascii="Times New Roman" w:hAnsi="Times New Roman"/>
          <w:color w:val="000000"/>
          <w:sz w:val="16"/>
        </w:rPr>
        <w:t>million and $53.3</w:t>
      </w:r>
      <w:r>
        <w:rPr>
          <w:color w:val="000000"/>
        </w:rPr>
        <w:t xml:space="preserve"> </w:t>
      </w:r>
      <w:r>
        <w:rPr>
          <w:rFonts w:ascii="Times New Roman" w:hAnsi="Times New Roman"/>
          <w:color w:val="000000"/>
          <w:sz w:val="16"/>
        </w:rPr>
        <w:t>million of Investments in and advances to unconsolidated affiliates; $41.0</w:t>
      </w:r>
      <w:r>
        <w:rPr>
          <w:color w:val="000000"/>
        </w:rPr>
        <w:t xml:space="preserve"> </w:t>
      </w:r>
      <w:r>
        <w:rPr>
          <w:rFonts w:ascii="Times New Roman" w:hAnsi="Times New Roman"/>
          <w:color w:val="000000"/>
          <w:sz w:val="16"/>
        </w:rPr>
        <w:t>million and $78.3</w:t>
      </w:r>
      <w:r>
        <w:rPr>
          <w:color w:val="000000"/>
        </w:rPr>
        <w:t xml:space="preserve"> </w:t>
      </w:r>
      <w:r>
        <w:rPr>
          <w:rFonts w:ascii="Times New Roman" w:hAnsi="Times New Roman"/>
          <w:color w:val="000000"/>
          <w:sz w:val="16"/>
        </w:rPr>
        <w:t>million of Other assets, net; $1.3</w:t>
      </w:r>
      <w:r>
        <w:rPr>
          <w:color w:val="000000"/>
        </w:rPr>
        <w:t xml:space="preserve"> </w:t>
      </w:r>
      <w:r>
        <w:rPr>
          <w:rFonts w:ascii="Times New Roman" w:hAnsi="Times New Roman"/>
          <w:color w:val="000000"/>
          <w:sz w:val="16"/>
        </w:rPr>
        <w:t>million and $1.5</w:t>
      </w:r>
      <w:r>
        <w:rPr>
          <w:color w:val="000000"/>
        </w:rPr>
        <w:t xml:space="preserve"> </w:t>
      </w:r>
      <w:r>
        <w:rPr>
          <w:rFonts w:ascii="Times New Roman" w:hAnsi="Times New Roman"/>
          <w:color w:val="000000"/>
          <w:sz w:val="16"/>
        </w:rPr>
        <w:t>million of Right-of-use assets - operating leases, net; $27.2</w:t>
      </w:r>
      <w:r>
        <w:rPr>
          <w:color w:val="000000"/>
        </w:rPr>
        <w:t xml:space="preserve"> </w:t>
      </w:r>
      <w:r>
        <w:rPr>
          <w:rFonts w:ascii="Times New Roman" w:hAnsi="Times New Roman"/>
          <w:color w:val="000000"/>
          <w:sz w:val="16"/>
        </w:rPr>
        <w:t>million and $30.4</w:t>
      </w:r>
      <w:r>
        <w:rPr>
          <w:color w:val="000000"/>
        </w:rPr>
        <w:t xml:space="preserve"> </w:t>
      </w:r>
      <w:r>
        <w:rPr>
          <w:rFonts w:ascii="Times New Roman" w:hAnsi="Times New Roman"/>
          <w:color w:val="000000"/>
          <w:sz w:val="16"/>
        </w:rPr>
        <w:t>million of Cash and cash equivalents; $7.0</w:t>
      </w:r>
      <w:r>
        <w:rPr>
          <w:color w:val="000000"/>
        </w:rPr>
        <w:t xml:space="preserve"> </w:t>
      </w:r>
      <w:r>
        <w:rPr>
          <w:rFonts w:ascii="Times New Roman" w:hAnsi="Times New Roman"/>
          <w:color w:val="000000"/>
          <w:sz w:val="16"/>
        </w:rPr>
        <w:t>million and $6.5</w:t>
      </w:r>
      <w:r>
        <w:rPr>
          <w:color w:val="000000"/>
        </w:rPr>
        <w:t xml:space="preserve"> </w:t>
      </w:r>
      <w:r>
        <w:rPr>
          <w:rFonts w:ascii="Times New Roman" w:hAnsi="Times New Roman"/>
          <w:color w:val="000000"/>
          <w:sz w:val="16"/>
        </w:rPr>
        <w:t>million of Restricted cash; $11.9</w:t>
      </w:r>
      <w:r>
        <w:rPr>
          <w:color w:val="000000"/>
        </w:rPr>
        <w:t xml:space="preserve"> </w:t>
      </w:r>
      <w:r>
        <w:rPr>
          <w:rFonts w:ascii="Times New Roman" w:hAnsi="Times New Roman"/>
          <w:color w:val="000000"/>
          <w:sz w:val="16"/>
        </w:rPr>
        <w:t>million and $29.3</w:t>
      </w:r>
      <w:r>
        <w:rPr>
          <w:color w:val="000000"/>
        </w:rPr>
        <w:t xml:space="preserve"> </w:t>
      </w:r>
      <w:r>
        <w:rPr>
          <w:rFonts w:ascii="Times New Roman" w:hAnsi="Times New Roman"/>
          <w:color w:val="000000"/>
          <w:sz w:val="16"/>
        </w:rPr>
        <w:t>million of Rents receivable, net; $6.8</w:t>
      </w:r>
      <w:r>
        <w:rPr>
          <w:color w:val="000000"/>
        </w:rPr>
        <w:t xml:space="preserve"> </w:t>
      </w:r>
      <w:r>
        <w:rPr>
          <w:rFonts w:ascii="Times New Roman" w:hAnsi="Times New Roman"/>
          <w:color w:val="000000"/>
          <w:sz w:val="16"/>
        </w:rPr>
        <w:t>million and $-</w:t>
      </w:r>
      <w:r>
        <w:rPr>
          <w:color w:val="000000"/>
        </w:rPr>
        <w:t xml:space="preserve"> </w:t>
      </w:r>
      <w:r>
        <w:rPr>
          <w:rFonts w:ascii="Times New Roman" w:hAnsi="Times New Roman"/>
          <w:color w:val="000000"/>
          <w:sz w:val="16"/>
        </w:rPr>
        <w:t>million of Assets of property held for sale, $381.0</w:t>
      </w:r>
      <w:r>
        <w:rPr>
          <w:color w:val="000000"/>
        </w:rPr>
        <w:t xml:space="preserve"> </w:t>
      </w:r>
      <w:r>
        <w:rPr>
          <w:rFonts w:ascii="Times New Roman" w:hAnsi="Times New Roman"/>
          <w:color w:val="000000"/>
          <w:sz w:val="16"/>
        </w:rPr>
        <w:t>million and $793.8</w:t>
      </w:r>
      <w:r>
        <w:rPr>
          <w:color w:val="000000"/>
        </w:rPr>
        <w:t xml:space="preserve"> </w:t>
      </w:r>
      <w:r>
        <w:rPr>
          <w:rFonts w:ascii="Times New Roman" w:hAnsi="Times New Roman"/>
          <w:color w:val="000000"/>
          <w:sz w:val="16"/>
        </w:rPr>
        <w:t>million of Mortgage and other notes payable, net; $52.3</w:t>
      </w:r>
      <w:r>
        <w:rPr>
          <w:color w:val="000000"/>
        </w:rPr>
        <w:t xml:space="preserve"> </w:t>
      </w:r>
      <w:r>
        <w:rPr>
          <w:rFonts w:ascii="Times New Roman" w:hAnsi="Times New Roman"/>
          <w:color w:val="000000"/>
          <w:sz w:val="16"/>
        </w:rPr>
        <w:t>million and $61.3</w:t>
      </w:r>
      <w:r>
        <w:rPr>
          <w:color w:val="000000"/>
        </w:rPr>
        <w:t xml:space="preserve"> </w:t>
      </w:r>
      <w:r>
        <w:rPr>
          <w:rFonts w:ascii="Times New Roman" w:hAnsi="Times New Roman"/>
          <w:color w:val="000000"/>
          <w:sz w:val="16"/>
        </w:rPr>
        <w:t>million of Unsecured notes payable, net; $79.7</w:t>
      </w:r>
      <w:r>
        <w:rPr>
          <w:color w:val="000000"/>
        </w:rPr>
        <w:t xml:space="preserve"> </w:t>
      </w:r>
      <w:r>
        <w:rPr>
          <w:rFonts w:ascii="Times New Roman" w:hAnsi="Times New Roman"/>
          <w:color w:val="000000"/>
          <w:sz w:val="16"/>
        </w:rPr>
        <w:t>million and $125.6</w:t>
      </w:r>
      <w:r>
        <w:rPr>
          <w:color w:val="000000"/>
        </w:rPr>
        <w:t xml:space="preserve"> </w:t>
      </w:r>
      <w:r>
        <w:rPr>
          <w:rFonts w:ascii="Times New Roman" w:hAnsi="Times New Roman"/>
          <w:color w:val="000000"/>
          <w:sz w:val="16"/>
        </w:rPr>
        <w:t>million of Accounts payable and other liabilities; $1.4</w:t>
      </w:r>
      <w:r>
        <w:rPr>
          <w:color w:val="000000"/>
        </w:rPr>
        <w:t xml:space="preserve"> </w:t>
      </w:r>
      <w:r>
        <w:rPr>
          <w:rFonts w:ascii="Times New Roman" w:hAnsi="Times New Roman"/>
          <w:color w:val="000000"/>
          <w:sz w:val="16"/>
        </w:rPr>
        <w:t>million and $1.6</w:t>
      </w:r>
      <w:r>
        <w:rPr>
          <w:color w:val="000000"/>
        </w:rPr>
        <w:t xml:space="preserve"> </w:t>
      </w:r>
      <w:r>
        <w:rPr>
          <w:rFonts w:ascii="Times New Roman" w:hAnsi="Times New Roman"/>
          <w:color w:val="000000"/>
          <w:sz w:val="16"/>
        </w:rPr>
        <w:t>million of Lease liabilities- operating leases, net, as of June 30, 2026 and December 31,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5" w:name="consolidated_statements_income"/>
      <w:bookmarkEnd w:id="5"/>
      <w:r>
        <w:rPr>
          <w:rFonts w:ascii="Times New Roman" w:hAnsi="Times New Roman"/>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4449"/>
        <w:gridCol w:w="146"/>
        <w:gridCol w:w="230"/>
        <w:gridCol w:w="855"/>
        <w:gridCol w:w="181"/>
        <w:gridCol w:w="159"/>
        <w:gridCol w:w="230"/>
        <w:gridCol w:w="855"/>
        <w:gridCol w:w="166"/>
        <w:gridCol w:w="146"/>
        <w:gridCol w:w="212"/>
        <w:gridCol w:w="847"/>
        <w:gridCol w:w="167"/>
        <w:gridCol w:w="146"/>
        <w:gridCol w:w="212"/>
        <w:gridCol w:w="786"/>
        <w:gridCol w:w="418"/>
      </w:tblGrid>
      <w:tr>
        <w:trPr/>
        <w:tc>
          <w:tcPr>
            <w:tcW w:w="4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204,986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78,709</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188,902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income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(32,599</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Weighted average shares for basic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126,182</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Weighted average shares for diluted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132,642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126,182</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pPr>
      <w:r>
        <w:rPr>
          <w:rFonts w:ascii="Times New Roman" w:hAnsi="Times New Roman"/>
          <w:color w:val="000000"/>
          <w:sz w:val="16"/>
        </w:rPr>
        <w:t>Includes interest income on Notes receivable, net from related parties, advances to unconsolidated affiliates, and loans to redeemable noncontrolling interest holders of $3.2</w:t>
      </w:r>
      <w:r>
        <w:rPr>
          <w:color w:val="000000"/>
        </w:rPr>
        <w:t xml:space="preserve"> </w:t>
      </w:r>
      <w:r>
        <w:rPr>
          <w:rFonts w:ascii="Times New Roman" w:hAnsi="Times New Roman"/>
          <w:color w:val="000000"/>
          <w:sz w:val="16"/>
        </w:rPr>
        <w:t>million and $3.4</w:t>
      </w:r>
      <w:r>
        <w:rPr>
          <w:color w:val="000000"/>
        </w:rPr>
        <w:t xml:space="preserve"> </w:t>
      </w:r>
      <w:r>
        <w:rPr>
          <w:rFonts w:ascii="Times New Roman" w:hAnsi="Times New Roman"/>
          <w:color w:val="000000"/>
          <w:sz w:val="16"/>
        </w:rPr>
        <w:t>million for the three months ended June 30, 2026 and 2025, respectively, and $6.0</w:t>
      </w:r>
      <w:r>
        <w:rPr>
          <w:color w:val="000000"/>
        </w:rPr>
        <w:t xml:space="preserve"> </w:t>
      </w:r>
      <w:r>
        <w:rPr>
          <w:rFonts w:ascii="Times New Roman" w:hAnsi="Times New Roman"/>
          <w:color w:val="000000"/>
          <w:sz w:val="16"/>
        </w:rPr>
        <w:t>million and $6.9</w:t>
      </w:r>
      <w:r>
        <w:rPr>
          <w:color w:val="000000"/>
        </w:rPr>
        <w:t xml:space="preserve"> </w:t>
      </w:r>
      <w:r>
        <w:rPr>
          <w:rFonts w:ascii="Times New Roman" w:hAnsi="Times New Roman"/>
          <w:color w:val="000000"/>
          <w:sz w:val="16"/>
        </w:rPr>
        <w:t>million for the six months ended June 30, 2026 and 2025, respectively (</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 xml:space="preserve">, </w:t>
      </w:r>
      <w:hyperlink w:anchor="n10_shareholders_equity_noncontrolling_i">
        <w:r>
          <w:rPr>
            <w:rStyle w:val="InternetLink"/>
            <w:rFonts w:ascii="Times New Roman" w:hAnsi="Times New Roman"/>
            <w:color w:val="0000FF"/>
            <w:sz w:val="16"/>
            <w:u w:val="single"/>
          </w:rPr>
          <w:t>Note 10</w:t>
        </w:r>
      </w:hyperlink>
      <w:r>
        <w:rPr>
          <w:rFonts w:ascii="Times New Roman" w:hAnsi="Times New Roman"/>
          <w:color w:val="000000"/>
          <w:sz w:val="16"/>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sz w:val="20"/>
        </w:rPr>
      </w:pPr>
      <w:bookmarkStart w:id="6" w:name="consolidated_statements_comprehensive_in"/>
      <w:bookmarkEnd w:id="6"/>
      <w:r>
        <w:rPr>
          <w:rFonts w:ascii="Times New Roman" w:hAnsi="Times New Roman"/>
          <w:b/>
          <w:color w:val="000000"/>
          <w:sz w:val="20"/>
        </w:rPr>
        <w:t>CONDENSED CONSOLIDATED STATEMENTS OF COMPREHENSIVE INCOME (LOSS) (UNAUDITED)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318"/>
        <w:gridCol w:w="146"/>
        <w:gridCol w:w="235"/>
        <w:gridCol w:w="822"/>
        <w:gridCol w:w="185"/>
        <w:gridCol w:w="162"/>
        <w:gridCol w:w="235"/>
        <w:gridCol w:w="822"/>
        <w:gridCol w:w="166"/>
        <w:gridCol w:w="146"/>
        <w:gridCol w:w="214"/>
        <w:gridCol w:w="857"/>
        <w:gridCol w:w="169"/>
        <w:gridCol w:w="148"/>
        <w:gridCol w:w="214"/>
        <w:gridCol w:w="750"/>
        <w:gridCol w:w="616"/>
      </w:tblGrid>
      <w:tr>
        <w:trPr/>
        <w:tc>
          <w:tcPr>
            <w:tcW w:w="4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valuation of swap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realized interest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(55,062</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7" w:name="consolidated_statements_equity"/>
      <w:bookmarkEnd w:id="7"/>
      <w:r>
        <w:rPr>
          <w:rFonts w:ascii="Times New Roman" w:hAnsi="Times New Roman"/>
          <w:b/>
          <w:color w:val="000000"/>
          <w:sz w:val="20"/>
        </w:rPr>
        <w:t>CONDENSED CONSOLIDATED STATEMENTS OF CHANGES IN EQUITY (UNAUDITED)</w:t>
      </w:r>
    </w:p>
    <w:p>
      <w:pPr>
        <w:pStyle w:val="TextBody"/>
        <w:bidi w:val="0"/>
        <w:jc w:val="center"/>
        <w:rPr>
          <w:rFonts w:ascii="Times New Roman" w:hAnsi="Times New Roman"/>
          <w:sz w:val="20"/>
        </w:rPr>
      </w:pPr>
      <w:r>
        <w:rPr>
          <w:rFonts w:ascii="Times New Roman" w:hAnsi="Times New Roman"/>
          <w:b/>
          <w:color w:val="000000"/>
          <w:sz w:val="20"/>
        </w:rPr>
        <w:t>Three Months Ended June 30, 2026 and 2025</w:t>
      </w:r>
      <w:r>
        <w:rPr>
          <w:rFonts w:ascii="Times New Roman" w:hAnsi="Times New Roman"/>
          <w:color w:val="000000"/>
          <w:sz w:val="20"/>
        </w:rPr>
        <w:t xml:space="preserve"> </w:t>
      </w:r>
    </w:p>
    <w:tbl>
      <w:tblPr>
        <w:tblW w:w="12161" w:type="dxa"/>
        <w:jc w:val="left"/>
        <w:tblInd w:w="0" w:type="dxa"/>
        <w:tblLayout w:type="fixed"/>
        <w:tblCellMar>
          <w:top w:w="28" w:type="dxa"/>
          <w:left w:w="28" w:type="dxa"/>
          <w:bottom w:w="28" w:type="dxa"/>
          <w:right w:w="28" w:type="dxa"/>
        </w:tblCellMar>
      </w:tblPr>
      <w:tblGrid>
        <w:gridCol w:w="1051"/>
        <w:gridCol w:w="146"/>
        <w:gridCol w:w="146"/>
        <w:gridCol w:w="601"/>
        <w:gridCol w:w="146"/>
        <w:gridCol w:w="146"/>
        <w:gridCol w:w="216"/>
        <w:gridCol w:w="415"/>
        <w:gridCol w:w="146"/>
        <w:gridCol w:w="146"/>
        <w:gridCol w:w="181"/>
        <w:gridCol w:w="721"/>
        <w:gridCol w:w="146"/>
        <w:gridCol w:w="146"/>
        <w:gridCol w:w="280"/>
        <w:gridCol w:w="816"/>
        <w:gridCol w:w="151"/>
        <w:gridCol w:w="146"/>
        <w:gridCol w:w="210"/>
        <w:gridCol w:w="751"/>
        <w:gridCol w:w="151"/>
        <w:gridCol w:w="146"/>
        <w:gridCol w:w="201"/>
        <w:gridCol w:w="805"/>
        <w:gridCol w:w="151"/>
        <w:gridCol w:w="146"/>
        <w:gridCol w:w="250"/>
        <w:gridCol w:w="831"/>
        <w:gridCol w:w="151"/>
        <w:gridCol w:w="146"/>
        <w:gridCol w:w="181"/>
        <w:gridCol w:w="721"/>
        <w:gridCol w:w="151"/>
        <w:gridCol w:w="146"/>
        <w:gridCol w:w="276"/>
        <w:gridCol w:w="805"/>
        <w:gridCol w:w="19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Acadia Shareholders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Distributions</w:t>
              <w:br/>
              <w:t>in Excess of</w:t>
              <w:br/>
              <w:t>Accumulated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Common</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Noncontrolling</w:t>
              <w:br/>
              <w:t>Interests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2,755,574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20,057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(498,735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2,277,030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2,635,527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8,457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Shares,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OP Units to Common Shares by limited partners of the Operating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Dividends/distributions declared ($0.20</w:t>
            </w:r>
            <w:r>
              <w:rPr>
                <w:rFonts w:ascii="Times New Roman" w:hAnsi="Times New Roman"/>
                <w:color w:val="000000"/>
                <w:sz w:val="20"/>
              </w:rPr>
              <w:t> </w:t>
            </w:r>
            <w:r>
              <w:rPr>
                <w:rFonts w:ascii="Times New Roman" w:hAnsi="Times New Roman"/>
                <w:color w:val="000000"/>
                <w:sz w:val="15"/>
              </w:rPr>
              <w:t>per Common Share/OP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 of redeemable non-controlling interest to estimated redemption value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Acquisition of noncontrolling interest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City Point Loan accrued interest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Employee and trustee stock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Reallocation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2,829,749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25,838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(519,027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2,336,697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339,701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2,676,398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4,499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2,704,731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(433,966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2,297,960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464,786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2,762,746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25,897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Dividends/distributions declared ($0.20</w:t>
            </w:r>
            <w:r>
              <w:rPr>
                <w:rFonts w:ascii="Times New Roman" w:hAnsi="Times New Roman"/>
                <w:color w:val="000000"/>
                <w:sz w:val="20"/>
              </w:rPr>
              <w:t> </w:t>
            </w:r>
            <w:r>
              <w:rPr>
                <w:rFonts w:ascii="Times New Roman" w:hAnsi="Times New Roman"/>
                <w:color w:val="000000"/>
                <w:sz w:val="15"/>
              </w:rPr>
              <w:t>per Common Share/OP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Employee and trustee stock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Reallocation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2,707,218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19,982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(458,205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2,269,126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437,033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2,706,159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21,174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CONDENSED CONSOLIDATED STATEMENTS OF CHANGES IN EQUITY (UNAUDITED)</w:t>
      </w:r>
    </w:p>
    <w:p>
      <w:pPr>
        <w:pStyle w:val="TextBody"/>
        <w:bidi w:val="0"/>
        <w:jc w:val="center"/>
        <w:rPr>
          <w:rFonts w:ascii="Times New Roman" w:hAnsi="Times New Roman"/>
          <w:sz w:val="20"/>
        </w:rPr>
      </w:pPr>
      <w:r>
        <w:rPr>
          <w:rFonts w:ascii="Times New Roman" w:hAnsi="Times New Roman"/>
          <w:b/>
          <w:color w:val="000000"/>
          <w:sz w:val="20"/>
        </w:rPr>
        <w:t>Six Months Ended June 30, 2026 and 2025</w:t>
      </w:r>
      <w:r>
        <w:rPr>
          <w:rFonts w:ascii="Times New Roman" w:hAnsi="Times New Roman"/>
          <w:color w:val="000000"/>
          <w:sz w:val="20"/>
        </w:rPr>
        <w:t xml:space="preserve"> </w:t>
      </w:r>
    </w:p>
    <w:tbl>
      <w:tblPr>
        <w:tblW w:w="13381" w:type="dxa"/>
        <w:jc w:val="left"/>
        <w:tblInd w:w="0" w:type="dxa"/>
        <w:tblLayout w:type="fixed"/>
        <w:tblCellMar>
          <w:top w:w="28" w:type="dxa"/>
          <w:left w:w="28" w:type="dxa"/>
          <w:bottom w:w="28" w:type="dxa"/>
          <w:right w:w="28" w:type="dxa"/>
        </w:tblCellMar>
      </w:tblPr>
      <w:tblGrid>
        <w:gridCol w:w="1216"/>
        <w:gridCol w:w="146"/>
        <w:gridCol w:w="146"/>
        <w:gridCol w:w="691"/>
        <w:gridCol w:w="146"/>
        <w:gridCol w:w="146"/>
        <w:gridCol w:w="236"/>
        <w:gridCol w:w="455"/>
        <w:gridCol w:w="146"/>
        <w:gridCol w:w="146"/>
        <w:gridCol w:w="196"/>
        <w:gridCol w:w="826"/>
        <w:gridCol w:w="166"/>
        <w:gridCol w:w="146"/>
        <w:gridCol w:w="278"/>
        <w:gridCol w:w="938"/>
        <w:gridCol w:w="166"/>
        <w:gridCol w:w="146"/>
        <w:gridCol w:w="217"/>
        <w:gridCol w:w="834"/>
        <w:gridCol w:w="166"/>
        <w:gridCol w:w="146"/>
        <w:gridCol w:w="213"/>
        <w:gridCol w:w="898"/>
        <w:gridCol w:w="166"/>
        <w:gridCol w:w="146"/>
        <w:gridCol w:w="248"/>
        <w:gridCol w:w="953"/>
        <w:gridCol w:w="166"/>
        <w:gridCol w:w="146"/>
        <w:gridCol w:w="196"/>
        <w:gridCol w:w="826"/>
        <w:gridCol w:w="166"/>
        <w:gridCol w:w="146"/>
        <w:gridCol w:w="295"/>
        <w:gridCol w:w="90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Acadia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Distributions</w:t>
              <w:br/>
              <w:t>in Excess of</w:t>
              <w:br/>
              <w:t>Accumulated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Common</w:t>
              <w:br/>
              <w:t>Shareholders’</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2,710,651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(500,720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2,225,647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2,620,318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Dividends/distributions declared ($0.40</w:t>
            </w:r>
            <w:r>
              <w:rPr>
                <w:rFonts w:ascii="Times New Roman" w:hAnsi="Times New Roman"/>
                <w:color w:val="000000"/>
                <w:sz w:val="20"/>
              </w:rPr>
              <w:t> </w:t>
            </w:r>
            <w:r>
              <w:rPr>
                <w:rFonts w:ascii="Times New Roman" w:hAnsi="Times New Roman"/>
                <w:color w:val="000000"/>
                <w:sz w:val="16"/>
              </w:rPr>
              <w:t>per Common Share/OP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of redeemable non-controlling interest to estimated redemption value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noncontrolling interest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City Point Loan accrued interest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and trustee stock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Reallocation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2,829,749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2,336,697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2,676,398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2,436,285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(409,383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2,065,672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Dividends/distributions declared ($0.40</w:t>
            </w:r>
            <w:r>
              <w:rPr>
                <w:rFonts w:ascii="Times New Roman" w:hAnsi="Times New Roman"/>
                <w:color w:val="000000"/>
                <w:sz w:val="20"/>
              </w:rPr>
              <w:t> </w:t>
            </w:r>
            <w:r>
              <w:rPr>
                <w:rFonts w:ascii="Times New Roman" w:hAnsi="Times New Roman"/>
                <w:color w:val="000000"/>
                <w:sz w:val="16"/>
              </w:rPr>
              <w:t>per Common Share/OP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City Point Loan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and trustee stock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Reallocation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2,707,218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(458,205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2,269,126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437,033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2,706,159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21,174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7421"/>
        <w:gridCol w:w="146"/>
        <w:gridCol w:w="197"/>
        <w:gridCol w:w="758"/>
        <w:gridCol w:w="167"/>
        <w:gridCol w:w="146"/>
        <w:gridCol w:w="197"/>
        <w:gridCol w:w="758"/>
        <w:gridCol w:w="415"/>
      </w:tblGrid>
      <w:tr>
        <w:trPr/>
        <w:tc>
          <w:tcPr>
            <w:tcW w:w="7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78,709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disposition of properties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Straight-line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(gains)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of operating income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holding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89,610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90,700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(344,647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disposition of properties and other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572,015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Development, construction and property improvement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(47,528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leasing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and advances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Return of capital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repayment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Refund of deposits for properties under purchase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cash upon change of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268,167</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(394,699</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issuances of Common Shares and settlement of forward equity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277,519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unsecured notes payable and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837,700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received from mortgages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unsecured debt and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(623,200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mortgages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(457,423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(107,399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Prepayment penalty on early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financing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(199,791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(48,926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(365,444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332,105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and cash equivalents of $38,818</w:t>
            </w:r>
            <w:r>
              <w:rPr>
                <w:rFonts w:ascii="Times New Roman" w:hAnsi="Times New Roman"/>
                <w:color w:val="000000"/>
                <w:sz w:val="20"/>
              </w:rPr>
              <w:t> </w:t>
            </w:r>
            <w:r>
              <w:rPr>
                <w:rFonts w:ascii="Times New Roman" w:hAnsi="Times New Roman"/>
                <w:color w:val="000000"/>
                <w:sz w:val="18"/>
              </w:rPr>
              <w:t>and $16,806</w:t>
            </w:r>
            <w:r>
              <w:rPr>
                <w:rFonts w:ascii="Times New Roman" w:hAnsi="Times New Roman"/>
                <w:color w:val="000000"/>
                <w:sz w:val="20"/>
              </w:rPr>
              <w:t> </w:t>
            </w:r>
            <w:r>
              <w:rPr>
                <w:rFonts w:ascii="Times New Roman" w:hAnsi="Times New Roman"/>
                <w:color w:val="000000"/>
                <w:sz w:val="18"/>
              </w:rPr>
              <w:t>and restricted cash of $18,081</w:t>
            </w:r>
            <w:r>
              <w:rPr>
                <w:rFonts w:ascii="Times New Roman" w:hAnsi="Times New Roman"/>
                <w:color w:val="000000"/>
                <w:sz w:val="20"/>
              </w:rPr>
              <w:t> </w:t>
            </w:r>
            <w:r>
              <w:rPr>
                <w:rFonts w:ascii="Times New Roman" w:hAnsi="Times New Roman"/>
                <w:color w:val="000000"/>
                <w:sz w:val="18"/>
              </w:rPr>
              <w:t>and $22,897, respectively,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and cash equivalents of $32,960</w:t>
            </w:r>
            <w:r>
              <w:rPr>
                <w:rFonts w:ascii="Times New Roman" w:hAnsi="Times New Roman"/>
                <w:color w:val="000000"/>
                <w:sz w:val="20"/>
              </w:rPr>
              <w:t> </w:t>
            </w:r>
            <w:r>
              <w:rPr>
                <w:rFonts w:ascii="Times New Roman" w:hAnsi="Times New Roman"/>
                <w:color w:val="000000"/>
                <w:sz w:val="18"/>
              </w:rPr>
              <w:t>and $42,780</w:t>
            </w:r>
            <w:r>
              <w:rPr>
                <w:rFonts w:ascii="Times New Roman" w:hAnsi="Times New Roman"/>
                <w:color w:val="000000"/>
                <w:sz w:val="20"/>
              </w:rPr>
              <w:t> </w:t>
            </w:r>
            <w:r>
              <w:rPr>
                <w:rFonts w:ascii="Times New Roman" w:hAnsi="Times New Roman"/>
                <w:color w:val="000000"/>
                <w:sz w:val="18"/>
              </w:rPr>
              <w:t>and restricted cash of $16,272</w:t>
            </w:r>
            <w:r>
              <w:rPr>
                <w:rFonts w:ascii="Times New Roman" w:hAnsi="Times New Roman"/>
                <w:color w:val="000000"/>
                <w:sz w:val="20"/>
              </w:rPr>
              <w:t> </w:t>
            </w:r>
            <w:r>
              <w:rPr>
                <w:rFonts w:ascii="Times New Roman" w:hAnsi="Times New Roman"/>
                <w:color w:val="000000"/>
                <w:sz w:val="18"/>
              </w:rPr>
              <w:t>and $25,029, respectively,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49,232</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67,809</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CONDENSED CONSOLIDATED STATEMENTS OF CASH FLOWS (UNAUDITED) (Continued)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67"/>
        <w:gridCol w:w="146"/>
        <w:gridCol w:w="215"/>
        <w:gridCol w:w="663"/>
        <w:gridCol w:w="161"/>
        <w:gridCol w:w="161"/>
        <w:gridCol w:w="215"/>
        <w:gridCol w:w="762"/>
        <w:gridCol w:w="215"/>
      </w:tblGrid>
      <w:tr>
        <w:trPr/>
        <w:tc>
          <w:tcPr>
            <w:tcW w:w="7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paid during the period for interest, net of capitalized interest of $4,830</w:t>
            </w:r>
            <w:r>
              <w:rPr>
                <w:rFonts w:ascii="Times New Roman" w:hAnsi="Times New Roman"/>
                <w:color w:val="000000"/>
                <w:sz w:val="20"/>
              </w:rPr>
              <w:t> </w:t>
            </w:r>
            <w:r>
              <w:rPr>
                <w:rFonts w:ascii="Times New Roman" w:hAnsi="Times New Roman"/>
                <w:color w:val="000000"/>
                <w:sz w:val="18"/>
              </w:rPr>
              <w:t>and $5,412</w:t>
            </w:r>
            <w:r>
              <w:rPr>
                <w:rFonts w:ascii="Times New Roman" w:hAnsi="Times New Roman"/>
                <w:color w:val="000000"/>
                <w:sz w:val="20"/>
              </w:rPr>
              <w:t> </w:t>
            </w:r>
            <w:r>
              <w:rPr>
                <w:rFonts w:ascii="Times New Roman" w:hAnsi="Times New Roman"/>
                <w:color w:val="000000"/>
                <w:sz w:val="18"/>
              </w:rPr>
              <w:t>respectively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Dividends/Distributions declared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29,084</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Assumption of accounts payable and accrued expenses through acquisition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Common and Preferred OP Units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on note receivable recorded to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 of redeemable non-controlling interest to estimated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accrued development, construction and property improvement costs included in 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12,730</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Note receivable and accrued interest exchanged for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Properties contributed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Increase (decrease) in assets and liabilities resulting from the 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and other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156,117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in and advances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Rents receivable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pPr>
      <w:r>
        <w:rPr>
          <w:rFonts w:ascii="Times New Roman" w:hAnsi="Times New Roman"/>
          <w:color w:val="000000"/>
          <w:sz w:val="16"/>
        </w:rPr>
        <w:t>Cash paid during the period for interest only includes payments made on our mortgages and does not capture the effect of hedging instruments. The Company received net cash from interest rate swap settlements of $2.9</w:t>
      </w:r>
      <w:r>
        <w:rPr>
          <w:color w:val="000000"/>
        </w:rPr>
        <w:t xml:space="preserve"> </w:t>
      </w:r>
      <w:r>
        <w:rPr>
          <w:rFonts w:ascii="Times New Roman" w:hAnsi="Times New Roman"/>
          <w:color w:val="000000"/>
          <w:sz w:val="16"/>
        </w:rPr>
        <w:t>million and $6.5</w:t>
      </w:r>
      <w:r>
        <w:rPr>
          <w:color w:val="000000"/>
        </w:rPr>
        <w:t xml:space="preserve"> </w:t>
      </w:r>
      <w:r>
        <w:rPr>
          <w:rFonts w:ascii="Times New Roman" w:hAnsi="Times New Roman"/>
          <w:color w:val="000000"/>
          <w:sz w:val="16"/>
        </w:rPr>
        <w:t>million for the six months ended June 30, 2026 and 2025,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sz w:val="20"/>
        </w:rPr>
      </w:pPr>
      <w:bookmarkStart w:id="9" w:name="notes_to_financial_statements"/>
      <w:bookmarkEnd w:id="9"/>
      <w:r>
        <w:rPr>
          <w:rFonts w:ascii="Times New Roman" w:hAnsi="Times New Roman"/>
          <w:b/>
          <w:color w:val="000000"/>
          <w:sz w:val="20"/>
        </w:rPr>
        <w:t>1. Organization, Basis of Presentation and</w:t>
      </w:r>
      <w:bookmarkStart w:id="10" w:name="n1_organization_basis_presentation_summa"/>
      <w:bookmarkEnd w:id="10"/>
      <w:r>
        <w:rPr>
          <w:rFonts w:ascii="Times New Roman" w:hAnsi="Times New Roman"/>
          <w:color w:val="000000"/>
          <w:sz w:val="20"/>
        </w:rPr>
        <w:t xml:space="preserve"> </w:t>
      </w: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Acadia Realty Trust, (the “Trust”, collectively with its consolidated subsidiaries, the “Company”), a Maryland real estate investment trust (“REIT”), is a fully-integrated equity real estate investment trust focused on the ownership, acquisition, development, and management of retail properties located primarily in high-barrier-to-entry, supply-constrained, densely populated metropolitan areas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owns and operates a high-quality real estate portfolio, primarily comprised of street and open-air retail assets in the nation’s most dynamic retail corridors (the “REIT Portfolio”). This portfolio is complemented by an investment management platform that leverages institutional capital relationships to pursue opportunistic, high-yield, and/or value-add investments (“Investment Management”). As of June 30, 2026, the Company held ownership interests in 183 REIT Portfolio properties (including properties in various stages of development and redevelopment) and 48 Investment Management properties across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the Company’s assets are held by, and its operations are conducted through, Acadia Realty Limited Partnership (the “Operating Partnership”) and entities in which the Operating Partnership owns an interest. At June 30, 2026 and December 31, 2025, the Trust controlled approximately 96% of the Operating Partnership as the sole general partner and is entitled to share in the cash distributions and profits and losses of the Operating Partnership in proportion to its percentage interest. </w:t>
      </w:r>
    </w:p>
    <w:p>
      <w:pPr>
        <w:pStyle w:val="TextBody"/>
        <w:bidi w:val="0"/>
        <w:spacing w:before="240" w:after="283"/>
        <w:jc w:val="both"/>
        <w:rPr/>
      </w:pPr>
      <w:r>
        <w:rPr>
          <w:rFonts w:ascii="Times New Roman" w:hAnsi="Times New Roman"/>
          <w:color w:val="000000"/>
          <w:sz w:val="20"/>
        </w:rPr>
        <w:t>The remaining interests are held by limited partners, consisting primarily of entities or individuals that contributed interests in certain properties or entities to the Operating Partnership in exchange for common or preferred units of limited partnership interest (“Common OP Units” or “Preferred OP Units”), as well as employees who have been granted restricted Common OP Units (“LTIP Units”) as long-term incentive compensation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xml:space="preserve">). Limited partners holding Common OP and LTIP Units generally have the right to exchange their units on a one-for-one basis for common shares of beneficial interest, par value $0.001 per share, of the Company (“Common Shares”). This structure is referred to as an umbrella partnership REIT or “UPREIT.” </w:t>
      </w:r>
    </w:p>
    <w:p>
      <w:pPr>
        <w:pStyle w:val="TextBody"/>
        <w:bidi w:val="0"/>
        <w:spacing w:before="240" w:after="283"/>
        <w:jc w:val="both"/>
        <w:rPr/>
      </w:pPr>
      <w:r>
        <w:rPr>
          <w:rFonts w:ascii="Times New Roman" w:hAnsi="Times New Roman"/>
          <w:color w:val="000000"/>
          <w:sz w:val="20"/>
        </w:rPr>
        <w:t>The Investment Management platform operates through the Company’s consolidated opportunity funds, including: Acadia Strategic Opportunity Fund II, LLC (“Fund II”), Acadia Strategic Opportunity Fund III LLC (“Fund III”), Acadia Strategic Opportunity Fund IV LLC (“Fund IV”), and Acadia Strategic Opportunity Fund V LLC (“Fund V” and, collectively with Fund II, Fund III and Fund IV, the “Funds”), as well as 7 unconsolidated co-investment vehicles with institutional partners in which the Company holds equity ownership interests ranging from 5% to 20%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The Company consolidates the Funds as variable interest entities, as it is the primary beneficiary through its role as sole general partner or managing member.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Operating Partnership earns fees or priority distributions for asset management, property management, construction, development, leasing, and legal services provided to the Funds. Cash flows from the Funds are distributed pro-rata to partners and members (including the Operating Partnership) until each receives a cumulative preferred return (“Preferred Return”) and full return of capital. Thereafter, remaining cash flows are distributed 20% to the Operating Partnership (“Promote”) and 80% to the partners or members (including the Operating Partnership). All intercompany transactions between the Funds and the Operating Partnership are eliminated in consolidation.</w:t>
      </w:r>
    </w:p>
    <w:p>
      <w:pPr>
        <w:pStyle w:val="TextBody"/>
        <w:bidi w:val="0"/>
        <w:spacing w:before="240" w:after="283"/>
        <w:jc w:val="both"/>
        <w:rPr/>
      </w:pPr>
      <w:r>
        <w:rPr>
          <w:rFonts w:ascii="Times New Roman" w:hAnsi="Times New Roman"/>
          <w:color w:val="000000"/>
          <w:sz w:val="20"/>
        </w:rPr>
        <w:t>In June 2026, the Company’s ownership interest in Fund II increased from 80% to 100%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The following table summarizes the general terms and Operating Partnership’s equity interests in the Funds (dollars in millions):</w:t>
      </w:r>
    </w:p>
    <w:tbl>
      <w:tblPr>
        <w:tblW w:w="10205" w:type="dxa"/>
        <w:jc w:val="left"/>
        <w:tblInd w:w="0" w:type="dxa"/>
        <w:tblLayout w:type="fixed"/>
        <w:tblCellMar>
          <w:top w:w="28" w:type="dxa"/>
          <w:left w:w="28" w:type="dxa"/>
          <w:bottom w:w="28" w:type="dxa"/>
          <w:right w:w="28" w:type="dxa"/>
        </w:tblCellMar>
      </w:tblPr>
      <w:tblGrid>
        <w:gridCol w:w="622"/>
        <w:gridCol w:w="146"/>
        <w:gridCol w:w="916"/>
        <w:gridCol w:w="146"/>
        <w:gridCol w:w="226"/>
        <w:gridCol w:w="795"/>
        <w:gridCol w:w="256"/>
        <w:gridCol w:w="146"/>
        <w:gridCol w:w="188"/>
        <w:gridCol w:w="660"/>
        <w:gridCol w:w="146"/>
        <w:gridCol w:w="146"/>
        <w:gridCol w:w="329"/>
        <w:gridCol w:w="953"/>
        <w:gridCol w:w="146"/>
        <w:gridCol w:w="146"/>
        <w:gridCol w:w="263"/>
        <w:gridCol w:w="923"/>
        <w:gridCol w:w="256"/>
        <w:gridCol w:w="146"/>
        <w:gridCol w:w="352"/>
        <w:gridCol w:w="474"/>
        <w:gridCol w:w="256"/>
        <w:gridCol w:w="146"/>
        <w:gridCol w:w="272"/>
        <w:gridCol w:w="954"/>
        <w:gridCol w:w="196"/>
      </w:tblGrid>
      <w:tr>
        <w:trPr/>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Partnership</w:t>
              <w:br/>
              <w:t>Share of</w:t>
              <w:br/>
              <w:t>Capital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Capital Called </w:t>
              <w:br/>
              <w:t xml:space="preserve">as of June 30, 2026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Unfunded</w:t>
              <w:br/>
              <w:t>Commitment</w:t>
            </w:r>
            <w:r>
              <w:rPr>
                <w:rFonts w:ascii="Times New Roman" w:hAnsi="Times New Roman"/>
                <w:color w:val="000000"/>
                <w:sz w:val="18"/>
              </w:rPr>
              <w:t>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Equity Interest</w:t>
              <w:br/>
              <w:t>Held By</w:t>
              <w:br/>
              <w:t>Operating</w:t>
              <w:br/>
              <w:t>Partnership</w:t>
            </w:r>
            <w:r>
              <w:rPr>
                <w:rFonts w:ascii="Times New Roman" w:hAnsi="Times New Roman"/>
                <w:color w:val="000000"/>
                <w:sz w:val="18"/>
              </w:rPr>
              <w:t> </w:t>
            </w:r>
            <w:r>
              <w:rPr>
                <w:rFonts w:ascii="Times New Roman" w:hAnsi="Times New Roman"/>
                <w:b/>
                <w:color w:val="000000"/>
                <w:sz w:val="12"/>
              </w:rPr>
              <w:t>(b)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w:t>
              <w:br/>
              <w:t>Return</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w:t>
              <w:br/>
              <w:t xml:space="preserve">Distributions </w:t>
              <w:br/>
              <w:t xml:space="preserve">as of June 30, 2026 </w:t>
            </w:r>
            <w:r>
              <w:rPr>
                <w:rFonts w:ascii="Times New Roman" w:hAnsi="Times New Roman"/>
                <w:b/>
                <w:color w:val="000000"/>
                <w:sz w:val="12"/>
              </w:rPr>
              <w:t>(a)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the total for the Funds, including the Operating Partnership and noncontrolling interests’ share. All returns and distributions referenced are presented net of fees and promote.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 represents the current economic ownership as of June 30, 2026, which could differ from the stated legal ownership based upon the cumulative preferred returns of the respective Fund.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interim Condensed Consolidated Financial Statements have been prepared in accordance with accounting principles generally accepted in the United States GAAP for interim financial information and the rules and regulations of the U.S. Securities and Exchange Commission (“SEC”). Accordingly, they do not include all of the information and footnotes required for complete annual financial statements. Operating results for interim periods are not necessarily indicative of results for the full fiscal year. In the opinion of management, all adjustments necessary for a fair presentation of interim Condensed Consolidated Financial Statements have been included. These adjustments are of normal recurring 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generally accepted accounting principles (“GAAP”) requires management to make estimates and assumptions that affect the reported amounts in the interim Condensed Consolidated Financial Statements and accompanying notes. The most significant assumptions and estimates include those related to the valuation of real estate, depreciable lives, revenue recognition and the collectability of notes receivable and rents receivable. Application of these estimates and assumptions requires the exercise of judgment as to future uncertainties and, as a result, actual results could differ from these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interim Condensed Consolidated Financial Statements should be read in conjunction with the Company’s 2025 audited consolidated financial statements and notes thereto included in the Annual Report on Form 10-K for the year ended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Segments</w:t>
      </w:r>
    </w:p>
    <w:p>
      <w:pPr>
        <w:pStyle w:val="TextBody"/>
        <w:bidi w:val="0"/>
        <w:spacing w:before="240" w:after="283"/>
        <w:jc w:val="both"/>
        <w:rPr/>
      </w:pPr>
      <w:r>
        <w:rPr>
          <w:rFonts w:ascii="Times New Roman" w:hAnsi="Times New Roman"/>
          <w:color w:val="000000"/>
          <w:sz w:val="20"/>
        </w:rPr>
        <w:t xml:space="preserve">We define our reportable segments based on the manner in which our chief operating decision maker makes key operating decisions, evaluates financial performance, allocates resources and manages our business. This approach aligns with our internal reporting structure and reflects the economic characteristics and nature of our operations. Accordingly, we have identified three reportable operating segments: REIT Portfolio, Investment Management and Structured Financing. Refer to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(“ASU 2024-03”) which requires disaggregated disclosure of income statement expenses for public business entities (PBEs). Additionally, in January 2025, the FASB issued ASU 2025-01 to clarify the effective date of ASU 2024-03. The ASU does not change the expense captions an entity presents on the face of the income statement; rather, it requires disaggregation of certain expense captions into specified categories in disclosures within the footnotes to the financial statements. This guidance applies to all PBEs and is effective for annual reporting periods beginning after December 15, 2026 and interim reporting periods beginning after December 15, 2027, with early adoption permitted. The Company has elected not to early adopt and the requirements will be applied prospectively with the option for retrospective application. The Company is currently evaluating the expected impact of the adoption of ASU 2024-03 on disclosures within the Company’s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November 2025, the FASB issued ASU 2025-09, “</w:t>
      </w:r>
      <w:r>
        <w:rPr>
          <w:rFonts w:ascii="Times New Roman" w:hAnsi="Times New Roman"/>
          <w:i/>
          <w:color w:val="000000"/>
          <w:sz w:val="20"/>
        </w:rPr>
        <w:t>Derivatives and Hedging (Topic 815): Hedge Accounting Improvements” (“ASU 2025-09</w:t>
      </w:r>
      <w:r>
        <w:rPr>
          <w:rFonts w:ascii="Times New Roman" w:hAnsi="Times New Roman"/>
          <w:color w:val="000000"/>
          <w:sz w:val="20"/>
        </w:rPr>
        <w:t>”) that more closely aligns hedge accounting with the economics of an entity’s risk management activities. ASU 2025-09 is effective for fiscal years beginning after December 15, 2026, including interim periods within those fiscal years, with early adoption permitted. The Company expects to early adopt the requirements in the third quarter of 2026. The adoption of ASU 2025-09 is not expected to have a significant impact on the Company’s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other recently issued accounting standards or pronouncements not disclosed above have been excluded as they are not relevant to the Company, or they are not expected to have a material impact on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1" w:name="n2_real_estate"/>
      <w:bookmarkEnd w:id="11"/>
      <w:r>
        <w:rPr>
          <w:rFonts w:ascii="Times New Roman" w:hAnsi="Times New Roman"/>
          <w:b/>
          <w:color w:val="000000"/>
          <w:sz w:val="20"/>
        </w:rPr>
        <w:t>2. Real Estate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consolidated real estate is comprised of the following for the periods presented (in thousands):</w:t>
      </w:r>
    </w:p>
    <w:p>
      <w:pPr>
        <w:pStyle w:val="TextBody"/>
        <w:bidi w:val="0"/>
        <w:jc w:val="both"/>
        <w:rPr/>
      </w:pPr>
      <w:r>
        <w:rPr/>
        <w:t> </w:t>
      </w:r>
    </w:p>
    <w:tbl>
      <w:tblPr>
        <w:tblW w:w="7287" w:type="dxa"/>
        <w:jc w:val="left"/>
        <w:tblInd w:w="0" w:type="dxa"/>
        <w:tblLayout w:type="fixed"/>
        <w:tblCellMar>
          <w:top w:w="28" w:type="dxa"/>
          <w:left w:w="28" w:type="dxa"/>
          <w:bottom w:w="28" w:type="dxa"/>
          <w:right w:w="28" w:type="dxa"/>
        </w:tblCellMar>
      </w:tblPr>
      <w:tblGrid>
        <w:gridCol w:w="4156"/>
        <w:gridCol w:w="146"/>
        <w:gridCol w:w="211"/>
        <w:gridCol w:w="991"/>
        <w:gridCol w:w="166"/>
        <w:gridCol w:w="146"/>
        <w:gridCol w:w="221"/>
        <w:gridCol w:w="1039"/>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under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4,150,805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acquired the following consolidated REIT Portfolio retail properties (dollars in thousands):</w:t>
      </w:r>
    </w:p>
    <w:tbl>
      <w:tblPr>
        <w:tblW w:w="8819" w:type="dxa"/>
        <w:jc w:val="left"/>
        <w:tblInd w:w="0" w:type="dxa"/>
        <w:tblLayout w:type="fixed"/>
        <w:tblCellMar>
          <w:top w:w="28" w:type="dxa"/>
          <w:left w:w="28" w:type="dxa"/>
          <w:bottom w:w="28" w:type="dxa"/>
          <w:right w:w="28" w:type="dxa"/>
        </w:tblCellMar>
      </w:tblPr>
      <w:tblGrid>
        <w:gridCol w:w="4711"/>
        <w:gridCol w:w="146"/>
        <w:gridCol w:w="886"/>
        <w:gridCol w:w="146"/>
        <w:gridCol w:w="1501"/>
        <w:gridCol w:w="146"/>
        <w:gridCol w:w="211"/>
        <w:gridCol w:w="781"/>
        <w:gridCol w:w="2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br/>
              <w:t>Acquired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w:t>
              <w:br/>
              <w:t>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Purchase</w:t>
              <w:br/>
              <w:t xml:space="preserve">Price </w:t>
            </w:r>
            <w:r>
              <w:rPr>
                <w:rFonts w:ascii="Times New Roman" w:hAnsi="Times New Roman"/>
                <w:b/>
                <w:color w:val="000000"/>
                <w:sz w:val="13"/>
              </w:rPr>
              <w:t>(a)</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2026 REIT Portfolio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 and 1165 Madison Avenue - 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Rhode Island Place - Washington, 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846 W. Armitage Avenue - 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225 Worth Avenue - Palm Beach, 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 Newbury Street and 28 Newbury Street - Boston,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129 5th Avenue - New York, 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2026 REIT Portfolio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198,439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0"/>
        </w:rPr>
      </w:pPr>
      <w:r>
        <w:rPr>
          <w:rFonts w:ascii="Times New Roman" w:hAnsi="Times New Roman"/>
          <w:color w:val="000000"/>
          <w:sz w:val="16"/>
        </w:rPr>
        <w:t>Cumulative purchase price includes capitalized transaction costs of $3.1</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jc w:val="both"/>
        <w:rPr/>
      </w:pPr>
      <w:r>
        <w:rPr/>
        <w:t> </w:t>
      </w:r>
    </w:p>
    <w:p>
      <w:pPr>
        <w:pStyle w:val="TextBody"/>
        <w:bidi w:val="0"/>
        <w:jc w:val="both"/>
        <w:rPr/>
      </w:pPr>
      <w:r>
        <w:rPr>
          <w:rFonts w:ascii="Times New Roman" w:hAnsi="Times New Roman"/>
          <w:color w:val="000000"/>
          <w:sz w:val="20"/>
        </w:rPr>
        <w:t xml:space="preserve">For acquisitions completed during the period, the Company recorded identifiable intangible assets and intangible liabilities in the aggregate of approximately $20.5 million and $13.9 million, respectively. These intangibles are amortized over the remaining lease terms of the related leases, which ranged from approximately 1 to 50 years as of the respective acquisition dates. Refer to </w:t>
      </w:r>
      <w:hyperlink w:anchor="n6_lease_intangibles">
        <w:r>
          <w:rPr>
            <w:rStyle w:val="InternetLink"/>
            <w:rFonts w:ascii="Times New Roman" w:hAnsi="Times New Roman"/>
            <w:color w:val="0000FF"/>
            <w:sz w:val="20"/>
            <w:u w:val="single"/>
          </w:rPr>
          <w:t>Note 6</w:t>
        </w:r>
      </w:hyperlink>
      <w:r>
        <w:rPr>
          <w:rFonts w:ascii="Times New Roman" w:hAnsi="Times New Roman"/>
          <w:color w:val="000000"/>
          <w:sz w:val="20"/>
        </w:rPr>
        <w:t xml:space="preserve"> for additional detail on the Company’s amortization of intangible assets and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determines the fair value of the individual components of real estate asset acquisitions primarily through calculating the “as-if vacant” value of a building, using an income approach, which relies significantly upon internally determined assumptions. The Company has determined that these estimates primarily rely on Level 3 inputs, which are unobservable inputs based on our own assumptions. The most significant assumptions used in calculating the “as-if vacant” value for acquisition activity during 2026 are as follows:</w:t>
      </w:r>
    </w:p>
    <w:p>
      <w:pPr>
        <w:pStyle w:val="TextBody"/>
        <w:bidi w:val="0"/>
        <w:jc w:val="both"/>
        <w:rPr/>
      </w:pPr>
      <w:r>
        <w:rPr/>
        <w:t> </w:t>
      </w:r>
    </w:p>
    <w:tbl>
      <w:tblPr>
        <w:tblW w:w="7548" w:type="dxa"/>
        <w:jc w:val="left"/>
        <w:tblInd w:w="0" w:type="dxa"/>
        <w:tblLayout w:type="fixed"/>
        <w:tblCellMar>
          <w:top w:w="28" w:type="dxa"/>
          <w:left w:w="28" w:type="dxa"/>
          <w:bottom w:w="28" w:type="dxa"/>
          <w:right w:w="28" w:type="dxa"/>
        </w:tblCellMar>
      </w:tblPr>
      <w:tblGrid>
        <w:gridCol w:w="5146"/>
        <w:gridCol w:w="146"/>
        <w:gridCol w:w="211"/>
        <w:gridCol w:w="571"/>
        <w:gridCol w:w="271"/>
        <w:gridCol w:w="211"/>
        <w:gridCol w:w="676"/>
        <w:gridCol w:w="316"/>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Capitalization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net rental rate per square foot on acquired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net rental rate per square foot on acquired master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Dispositions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second quarter of 2026, the Company recognized a gain on disposition of properties of $4.0 million primarily related to the disposition of New Towne Center, a consolidated Fund V Investment Management property located in Canton, Michigan. During the first quarter of 2026, the Company recognized a gain on disposition of properties of $142.1 million primarily related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disposition of Landstown Commons, a consolidated Fund V Investment Management property located in Virginia Beach, Virginia and 1964 Union Street, a consolidated Fund IV Investment Management property located in San Francisco, California;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sale of a seven-property open-air retail portfolio, including six Fund V properties and one wholly owned asset, to newly formed unconsolidated joint ventures in which the Company retained a 20% ownership interest, which was fair-valued at $87.1 million. Upon deconsolidation, the Company recognized a gain on disposition at the transaction level of $112.3 million, of which the Company’s proportionate share was $22.1 million. The Company repaid $210.5 million of consolidated Investment Management property mortgage loans using proceeds from the recapitalization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sale of the Pinewood Square property, an open-air retail center located in Lake Worth, Florida, to a newly formed unconsolidated joint venture for $68.4 million and retained a 20% ownership interest, which was fair-valued at $13.6 million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Upon deconsolidation, the Company recognized a gain on disposition of $4.1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Properties Held for Sale</w:t>
      </w:r>
    </w:p>
    <w:p>
      <w:pPr>
        <w:pStyle w:val="TextBody"/>
        <w:bidi w:val="0"/>
        <w:jc w:val="both"/>
        <w:rPr/>
      </w:pPr>
      <w:r>
        <w:rPr>
          <w:rFonts w:ascii="Times New Roman" w:hAnsi="Times New Roman"/>
          <w:color w:val="000000"/>
          <w:sz w:val="20"/>
        </w:rPr>
        <w:t>As of June 30, 2026, the Company classified the parking garage at 1035 Third Avenue in New York, New York, a consolidated Fund IV Investment Management property, as held for sale. The disposition was completed in July 2026 (</w:t>
      </w:r>
      <w:hyperlink w:anchor="n16_variable_interest_entities">
        <w:r>
          <w:rPr>
            <w:rStyle w:val="InternetLink"/>
            <w:rFonts w:ascii="Times New Roman" w:hAnsi="Times New Roman"/>
            <w:color w:val="0000FF"/>
            <w:sz w:val="20"/>
            <w:u w:val="single"/>
          </w:rPr>
          <w:t>Note 16</w:t>
        </w:r>
      </w:hyperlink>
      <w:r>
        <w:rPr>
          <w:rFonts w:ascii="Times New Roman" w:hAnsi="Times New Roman"/>
          <w:color w:val="000000"/>
          <w:sz w:val="20"/>
        </w:rPr>
        <w:t xml:space="preserve">). No properties were classified as held for sale as of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property held for sale are presented separately in the accompanying condensed consolidated balance sheets and are summarized as follows: </w:t>
      </w:r>
    </w:p>
    <w:p>
      <w:pPr>
        <w:pStyle w:val="TextBody"/>
        <w:bidi w:val="0"/>
        <w:jc w:val="both"/>
        <w:rPr/>
      </w:pPr>
      <w:r>
        <w:rPr/>
        <w:t> </w:t>
      </w:r>
    </w:p>
    <w:tbl>
      <w:tblPr>
        <w:tblW w:w="5355" w:type="dxa"/>
        <w:jc w:val="left"/>
        <w:tblInd w:w="0" w:type="dxa"/>
        <w:tblLayout w:type="fixed"/>
        <w:tblCellMar>
          <w:top w:w="28" w:type="dxa"/>
          <w:left w:w="28" w:type="dxa"/>
          <w:bottom w:w="28" w:type="dxa"/>
          <w:right w:w="28" w:type="dxa"/>
        </w:tblCellMar>
      </w:tblPr>
      <w:tblGrid>
        <w:gridCol w:w="4156"/>
        <w:gridCol w:w="146"/>
        <w:gridCol w:w="211"/>
        <w:gridCol w:w="63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Real Estate Under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 estate under development represents the Company’s consolidated properties that have not yet been placed into service and are undergoing substantial development or construction.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 activity for these properties during the periods presented is summarized below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93"/>
        <w:gridCol w:w="146"/>
        <w:gridCol w:w="314"/>
        <w:gridCol w:w="681"/>
        <w:gridCol w:w="146"/>
        <w:gridCol w:w="146"/>
        <w:gridCol w:w="211"/>
        <w:gridCol w:w="781"/>
        <w:gridCol w:w="146"/>
        <w:gridCol w:w="146"/>
        <w:gridCol w:w="379"/>
        <w:gridCol w:w="623"/>
        <w:gridCol w:w="150"/>
        <w:gridCol w:w="150"/>
        <w:gridCol w:w="257"/>
        <w:gridCol w:w="824"/>
        <w:gridCol w:w="150"/>
        <w:gridCol w:w="150"/>
        <w:gridCol w:w="395"/>
        <w:gridCol w:w="649"/>
        <w:gridCol w:w="146"/>
        <w:gridCol w:w="146"/>
        <w:gridCol w:w="314"/>
        <w:gridCol w:w="681"/>
        <w:gridCol w:w="146"/>
        <w:gridCol w:w="146"/>
        <w:gridCol w:w="211"/>
        <w:gridCol w:w="781"/>
        <w:gridCol w:w="197"/>
      </w:tblGrid>
      <w:tr>
        <w:trPr/>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Transfers In</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Capitalized</w:t>
              <w:br/>
              <w:t>Costs</w:t>
            </w:r>
            <w:r>
              <w:rPr>
                <w:rFonts w:ascii="Times New Roman" w:hAnsi="Times New Roman"/>
                <w:color w:val="000000"/>
                <w:sz w:val="20"/>
              </w:rPr>
              <w:t> </w:t>
            </w:r>
            <w:r>
              <w:rPr>
                <w:rFonts w:ascii="Times New Roman" w:hAnsi="Times New Roman"/>
                <w:b/>
                <w:color w:val="000000"/>
                <w:sz w:val="13"/>
              </w:rPr>
              <w:t>(a)</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Transfers Out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27,171</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27,171</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construction in progress at operating properties that remain in service during the construction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number of properties in the table above refers to full-property development projects; however, certain projects represent only a portion of a property, and the capitalized costs and carrying value of these projects are included in the table above. As of June 30, 2026, consolidated REIT Portfolio development projects included 13 properties in the Henderson Avenue Portfolio.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bookmarkStart w:id="12" w:name="n3_notes_receivable_net"/>
      <w:bookmarkEnd w:id="12"/>
      <w:r>
        <w:rPr>
          <w:rFonts w:ascii="Times New Roman" w:hAnsi="Times New Roman"/>
          <w:b/>
          <w:color w:val="000000"/>
          <w:sz w:val="20"/>
        </w:rPr>
        <w:t>3. Notes Receivable, Net</w:t>
      </w:r>
    </w:p>
    <w:p>
      <w:pPr>
        <w:pStyle w:val="TextBody"/>
        <w:bidi w:val="0"/>
        <w:spacing w:before="240" w:after="283"/>
        <w:jc w:val="both"/>
        <w:rPr/>
      </w:pPr>
      <w:r>
        <w:rPr>
          <w:rFonts w:ascii="Times New Roman" w:hAnsi="Times New Roman"/>
          <w:color w:val="000000"/>
          <w:sz w:val="20"/>
        </w:rPr>
        <w:t>Interest income from notes and mortgages receivable is reported within the Company’s Structured Financing segment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 Interest receivable is included in Other assets, net (</w:t>
      </w:r>
      <w:hyperlink w:anchor="n5_or_assets_net_accounts_payable_or_lia">
        <w:r>
          <w:rPr>
            <w:rStyle w:val="InternetLink"/>
            <w:rFonts w:ascii="Times New Roman" w:hAnsi="Times New Roman"/>
            <w:color w:val="0000FF"/>
            <w:sz w:val="20"/>
            <w:u w:val="single"/>
          </w:rPr>
          <w:t>Note 5</w:t>
        </w:r>
      </w:hyperlink>
      <w:r>
        <w:rPr>
          <w:rFonts w:ascii="Times New Roman" w:hAnsi="Times New Roman"/>
          <w:color w:val="000000"/>
          <w:sz w:val="20"/>
        </w:rPr>
        <w:t>). The Company’s notes receivable, net, are generally collateralized by either the underlying real estate or the borrowers’ equity interests in the entities that own the properties. The balances were as follows (dollars in thousands):</w:t>
      </w:r>
    </w:p>
    <w:p>
      <w:pPr>
        <w:pStyle w:val="TextBody"/>
        <w:bidi w:val="0"/>
        <w:jc w:val="both"/>
        <w:rPr/>
      </w:pPr>
      <w:r>
        <w:rPr/>
        <w:t> </w:t>
      </w:r>
    </w:p>
    <w:tbl>
      <w:tblPr>
        <w:tblW w:w="9809" w:type="dxa"/>
        <w:jc w:val="left"/>
        <w:tblInd w:w="0" w:type="dxa"/>
        <w:tblLayout w:type="fixed"/>
        <w:tblCellMar>
          <w:top w:w="28" w:type="dxa"/>
          <w:left w:w="28" w:type="dxa"/>
          <w:bottom w:w="28" w:type="dxa"/>
          <w:right w:w="28" w:type="dxa"/>
        </w:tblCellMar>
      </w:tblPr>
      <w:tblGrid>
        <w:gridCol w:w="2296"/>
        <w:gridCol w:w="146"/>
        <w:gridCol w:w="211"/>
        <w:gridCol w:w="781"/>
        <w:gridCol w:w="166"/>
        <w:gridCol w:w="146"/>
        <w:gridCol w:w="268"/>
        <w:gridCol w:w="992"/>
        <w:gridCol w:w="166"/>
        <w:gridCol w:w="146"/>
        <w:gridCol w:w="325"/>
        <w:gridCol w:w="471"/>
        <w:gridCol w:w="146"/>
        <w:gridCol w:w="146"/>
        <w:gridCol w:w="1801"/>
        <w:gridCol w:w="146"/>
        <w:gridCol w:w="145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 2020 - Dec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 - 13.75%</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activity in the allowance for credit losses for the six months ended June 30, 2026 and year ended December 31, 2025 (dollars in thousands):</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456"/>
        <w:gridCol w:w="146"/>
        <w:gridCol w:w="344"/>
        <w:gridCol w:w="931"/>
        <w:gridCol w:w="146"/>
        <w:gridCol w:w="146"/>
        <w:gridCol w:w="465"/>
        <w:gridCol w:w="1260"/>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as of beginning of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(recovery) of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credit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five performing notes with a total amortized cost of $136.1 million, including accrued interest of $2.3 million. Each note was evaluated individually due to the lack of comparability across the Structured Financing Portfolio.</w:t>
      </w:r>
    </w:p>
    <w:p>
      <w:pPr>
        <w:pStyle w:val="TextBody"/>
        <w:bidi w:val="0"/>
        <w:jc w:val="both"/>
        <w:rPr/>
      </w:pPr>
      <w:r>
        <w:rPr/>
        <w:t> </w:t>
      </w:r>
    </w:p>
    <w:p>
      <w:pPr>
        <w:pStyle w:val="TextBody"/>
        <w:bidi w:val="0"/>
        <w:jc w:val="both"/>
        <w:rPr/>
      </w:pPr>
      <w:r>
        <w:rPr>
          <w:rFonts w:ascii="Times New Roman" w:hAnsi="Times New Roman"/>
          <w:color w:val="000000"/>
          <w:sz w:val="20"/>
        </w:rPr>
        <w:t>One note receivable with an outstanding principal balance of $5.0 million was on nonaccrual status as of June 30, 2026 as collection of contractual principal and interest was no longer considered probable. The note is secured by pledges of ownership interests in the Georgetown Portfolio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which owns a portfolio of retail properties in Washington, D.C. Accordingly, interest income on this note is recognized only to the extent cash payments are received. No interest income was recognized on the note during the three and six months ended June 30, 2026. Contractual interest income not recognized as a result of the note’s nonaccrual status was approximately $1.5 million as of June 30, 2026. Based on the estimated fair value of the collateral at the expected realization date, no allowance for credit losses was recorded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One note receivable with a principal balance of $17.8 million matured and remained in default as of June 30, 2026 and December 31, 2025. The Company applied the collateral-dependent practical expedient in accordance with ASC Topic 326: Financial Instruments - Credit Losses (“ASC 326”) as the note is expected to be settled through foreclosure or possession of the underlying collateral. Based on the estimated fair value of the collateral at the expected realization date, no allowance for credit losses was recorded as of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holds a preferred equity investment, which is accounted for as a note receivable, and a mezzanine loan with an aggregate carrying value of approximately $82.5 million as of June 30, 2026. As of June 30, 2026, the borrowers were current on contractual interest payments through the use of interest reserves established in connection with a prior restructuring. The remaining interest reserves were insufficient to fund the full interest payment due in July 2026, causing a default, and the Company is currently evaluating a restructuring of the investment with the borrowers. The Company continues to evaluate the investment under ASC 326, including the collectability of contractual interest and the value of the underlying collateral.</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3" w:name="n4_investments_in_advances_to_unconsolid"/>
      <w:bookmarkEnd w:id="13"/>
      <w:r>
        <w:rPr>
          <w:rFonts w:ascii="Times New Roman" w:hAnsi="Times New Roman"/>
          <w:b/>
          <w:color w:val="000000"/>
          <w:sz w:val="20"/>
        </w:rPr>
        <w:t>4. Investments in and Advances to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its investments in and advances to unconsolidated affiliates primarily under the equity method of accounting. The Company’s investments in and advances to unconsolidated affiliates consist of the following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9"/>
        <w:gridCol w:w="146"/>
        <w:gridCol w:w="3395"/>
        <w:gridCol w:w="146"/>
        <w:gridCol w:w="1593"/>
        <w:gridCol w:w="146"/>
        <w:gridCol w:w="211"/>
        <w:gridCol w:w="781"/>
        <w:gridCol w:w="146"/>
        <w:gridCol w:w="146"/>
        <w:gridCol w:w="258"/>
        <w:gridCol w:w="955"/>
        <w:gridCol w:w="193"/>
      </w:tblGrid>
      <w:tr>
        <w:trPr/>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Gotham Plaza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Georgetown Portfolio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1238 Wisconsin Avenue </w:t>
            </w:r>
            <w:r>
              <w:rPr>
                <w:rFonts w:ascii="Times New Roman" w:hAnsi="Times New Roman"/>
                <w:color w:val="000000"/>
                <w:sz w:val="13"/>
              </w:rPr>
              <w:t>(a,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840 N. Michigan Avenue </w:t>
            </w:r>
            <w:r>
              <w:rPr>
                <w:rFonts w:ascii="Times New Roman" w:hAnsi="Times New Roman"/>
                <w:color w:val="000000"/>
                <w:sz w:val="13"/>
              </w:rPr>
              <w:t>(c,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 IV: </w:t>
            </w:r>
            <w:r>
              <w:rPr>
                <w:rFonts w:ascii="Times New Roman" w:hAnsi="Times New Roman"/>
                <w:color w:val="000000"/>
                <w:sz w:val="13"/>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Fund IV Other Portfolio </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650 Bald Hill Road </w:t>
            </w:r>
            <w:r>
              <w:rPr>
                <w:rFonts w:ascii="Times New Roman" w:hAnsi="Times New Roman"/>
                <w:color w:val="000000"/>
                <w:sz w:val="13"/>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 V: </w:t>
            </w:r>
            <w:r>
              <w:rPr>
                <w:rFonts w:ascii="Times New Roman" w:hAnsi="Times New Roman"/>
                <w:color w:val="000000"/>
                <w:sz w:val="13"/>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Family Center at Riverdale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Tri-City Plaza </w:t>
            </w:r>
            <w:r>
              <w:rPr>
                <w:rFonts w:ascii="Times New Roman" w:hAnsi="Times New Roman"/>
                <w:color w:val="000000"/>
                <w:sz w:val="13"/>
              </w:rPr>
              <w: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Frederick County Acquisitions </w:t>
            </w:r>
            <w:r>
              <w:rPr>
                <w:rFonts w:ascii="Times New Roman" w:hAnsi="Times New Roman"/>
                <w:color w:val="000000"/>
                <w:sz w:val="13"/>
              </w:rPr>
              <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 Frontera Village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Mohawk Commons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Shops at Grand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Walk at Highwoods Preserve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Shops at Skyview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Atlantic Portfolio </w:t>
            </w:r>
            <w:r>
              <w:rPr>
                <w:rFonts w:ascii="Times New Roman" w:hAnsi="Times New Roman"/>
                <w:color w:val="000000"/>
                <w:sz w:val="13"/>
              </w:rPr>
              <w:t>(j)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Avenue West Cobb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w:t>
            </w:r>
            <w:r>
              <w:rPr>
                <w:rFonts w:ascii="Times New Roman" w:hAnsi="Times New Roman"/>
                <w:color w:val="000000"/>
                <w:sz w:val="13"/>
              </w:rPr>
              <w:t>(k)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 in and advances to</w:t>
              <w:br/>
              <w:t>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161,955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Crossroads </w:t>
            </w:r>
            <w:r>
              <w:rPr>
                <w:rFonts w:ascii="Times New Roman" w:hAnsi="Times New Roman"/>
                <w:color w:val="000000"/>
                <w:sz w:val="13"/>
              </w:rPr>
              <w: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Distributions in excess of income from,</w:t>
              <w:br/>
              <w:t>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Represents a VIE for which the Company is not the primary beneficiary (</w:t>
      </w:r>
      <w:hyperlink w:anchor="n16_variable_interest_entities">
        <w:r>
          <w:rPr>
            <w:rStyle w:val="InternetLink"/>
            <w:rFonts w:ascii="Times New Roman" w:hAnsi="Times New Roman"/>
            <w:color w:val="0000FF"/>
            <w:sz w:val="16"/>
            <w:u w:val="single"/>
          </w:rPr>
          <w:t>Note 15</w:t>
        </w:r>
      </w:hyperlink>
      <w:r>
        <w:rPr>
          <w:rFonts w:ascii="Times New Roman" w:hAnsi="Times New Roman"/>
          <w:color w:val="000000"/>
          <w:sz w:val="16"/>
        </w:rPr>
        <w:t>).</w:t>
      </w:r>
      <w:r>
        <w:rPr>
          <w:color w:val="00000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Includes the amounts advanced against a $12.8</w:t>
      </w:r>
      <w:r>
        <w:rPr>
          <w:color w:val="000000"/>
        </w:rPr>
        <w:t xml:space="preserve"> </w:t>
      </w:r>
      <w:r>
        <w:rPr>
          <w:rFonts w:ascii="Times New Roman" w:hAnsi="Times New Roman"/>
          <w:color w:val="000000"/>
          <w:sz w:val="16"/>
        </w:rPr>
        <w:t>million construction commitment from the Company to the venture that holds its investment in 1238 Wisconsin. As of June 30, 2026 and December 31, 2025 the related party note receivable had a principal balance of $12.8</w:t>
      </w:r>
      <w:r>
        <w:rPr>
          <w:color w:val="000000"/>
        </w:rPr>
        <w:t xml:space="preserve"> </w:t>
      </w:r>
      <w:r>
        <w:rPr>
          <w:rFonts w:ascii="Times New Roman" w:hAnsi="Times New Roman"/>
          <w:color w:val="000000"/>
          <w:sz w:val="16"/>
        </w:rPr>
        <w:t>million, net of a $0.1</w:t>
      </w:r>
      <w:r>
        <w:rPr>
          <w:color w:val="000000"/>
        </w:rPr>
        <w:t xml:space="preserve"> </w:t>
      </w:r>
      <w:r>
        <w:rPr>
          <w:rFonts w:ascii="Times New Roman" w:hAnsi="Times New Roman"/>
          <w:color w:val="000000"/>
          <w:sz w:val="16"/>
        </w:rPr>
        <w:t>million allowance at each period. The loan is secured by the venture members’ equity interest in the entity that owns the 1238 Wisconsin development property, bears interest at Prime + 1.0% (subject to a 4.5% floor), and matures on December 28, 2027.</w:t>
      </w:r>
      <w:r>
        <w:rPr>
          <w:color w:val="000000"/>
        </w:rPr>
        <w:t xml:space="preserve"> </w:t>
      </w:r>
      <w:r>
        <w:rPr>
          <w:rFonts w:ascii="Times New Roman" w:hAnsi="Times New Roman"/>
          <w:color w:val="000000"/>
          <w:sz w:val="16"/>
        </w:rPr>
        <w:t>The Company recognized interest income of $0.1</w:t>
      </w:r>
      <w:r>
        <w:rPr>
          <w:color w:val="000000"/>
        </w:rPr>
        <w:t xml:space="preserve"> </w:t>
      </w:r>
      <w:r>
        <w:rPr>
          <w:rFonts w:ascii="Times New Roman" w:hAnsi="Times New Roman"/>
          <w:color w:val="000000"/>
          <w:sz w:val="16"/>
        </w:rPr>
        <w:t>million for each of the three and six month periods ended June 30, 2026 and 2025, related to this note receivable, which is recorded in Interest income in the Company’s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pPr>
      <w:r>
        <w:rPr>
          <w:rFonts w:ascii="Times New Roman" w:hAnsi="Times New Roman"/>
          <w:color w:val="000000"/>
          <w:sz w:val="16"/>
        </w:rPr>
        <w:t>Represents a tenancy-in-common interest.</w:t>
      </w:r>
      <w:r>
        <w:rPr>
          <w:color w:val="00000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pPr>
      <w:r>
        <w:rPr>
          <w:rFonts w:ascii="Times New Roman" w:hAnsi="Times New Roman"/>
          <w:color w:val="000000"/>
          <w:sz w:val="16"/>
        </w:rPr>
        <w:t>The Company has a note receivable from the 840 North Michigan Avenue venture partners which had a balance of $2.1</w:t>
      </w:r>
      <w:r>
        <w:rPr>
          <w:color w:val="000000"/>
        </w:rPr>
        <w:t xml:space="preserve"> </w:t>
      </w:r>
      <w:r>
        <w:rPr>
          <w:rFonts w:ascii="Times New Roman" w:hAnsi="Times New Roman"/>
          <w:color w:val="000000"/>
          <w:sz w:val="16"/>
        </w:rPr>
        <w:t>million and $1.8</w:t>
      </w:r>
      <w:r>
        <w:rPr>
          <w:color w:val="000000"/>
        </w:rPr>
        <w:t xml:space="preserve"> </w:t>
      </w:r>
      <w:r>
        <w:rPr>
          <w:rFonts w:ascii="Times New Roman" w:hAnsi="Times New Roman"/>
          <w:color w:val="000000"/>
          <w:sz w:val="16"/>
        </w:rPr>
        <w:t>million as of June 30, 2026 and December 31, 2025, respectively and matures in December 2026</w:t>
      </w:r>
      <w:r>
        <w:rPr>
          <w:color w:val="000000"/>
        </w:rPr>
        <w:t xml:space="preserve"> </w:t>
      </w:r>
      <w:r>
        <w:rPr>
          <w:rFonts w:ascii="Times New Roman" w:hAnsi="Times New Roman"/>
          <w:color w:val="000000"/>
          <w:sz w:val="16"/>
        </w:rPr>
        <w:t>(</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pPr>
      <w:r>
        <w:rPr>
          <w:rFonts w:ascii="Times New Roman" w:hAnsi="Times New Roman"/>
          <w:color w:val="000000"/>
          <w:sz w:val="16"/>
        </w:rPr>
        <w:t>The Company owns 23.12% and 20.10% in Funds IV and V, respectively (</w:t>
      </w:r>
      <w:hyperlink w:anchor="n1_organization_basis_presentation_summa">
        <w:r>
          <w:rPr>
            <w:rStyle w:val="InternetLink"/>
            <w:rFonts w:ascii="Times New Roman" w:hAnsi="Times New Roman"/>
            <w:color w:val="0000FF"/>
            <w:sz w:val="16"/>
            <w:u w:val="single"/>
          </w:rPr>
          <w:t>Note 1</w:t>
        </w:r>
      </w:hyperlink>
      <w:r>
        <w:rPr>
          <w:rFonts w:ascii="Times New Roman" w:hAnsi="Times New Roman"/>
          <w:color w:val="000000"/>
          <w:sz w:val="16"/>
        </w:rPr>
        <w:t xml:space="preserve">). For the ventures within these funds, the ownership interest percentage represents the Fund’s ownership interest and not the Company’s proportionate share.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As of June 30, 2026, the investment balance relates to undistributed proceeds from the disposition of the Eden Square property.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property was sold on April 8, 2026. As of June 30, 2026, the investment balance relates to undistributed proceeds from the disposition.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(h)</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On September 25, 2024 the venture which Fund V holds a 90% interest in sold a 300,000 square foot property, Frederick Crossing, in Frederick County, Maryland. Fund V maintains its 90% interest in the venture which retains its interest in the remaining Frederick County Square property of the Frederick County Acquisitions portfolio.</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 of June 30, 2026, includes a $41.7 million preferred equity investment by the Company that was determined to be a debt instrument. The related-party advance is reported net of a $0.4 million CECL allowance. The loan bears interest at a fixed rate of 7.5%. For the three and six months ended June 30, 2026, the Company recognized $0.6 million and $1.2 million of interest income, respectively, which is included in Interest income in the Condensed Consolidated Statements of Operations.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(j)</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As of June 30, 2026, includes a $27.5 million preferred equity investment by the Company that was determined to be a debt instrument. The related-party advance is reported net of the $2.3 million unamortized discount and a $0.2 million CECL allowance. The loan bears interest at a fixed rate of 6.0%. For the three and six months ended June 30, 2026, the Company recognized $0.3 million and $0.5 million of interest income, which is included in Interest income in the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(k)</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cost-method investment in Fifth Wall. The Company recorded an impairment charge of $0.1 million and $0.6 million for the three and six months ended June 30, 2026, which is included in Realized and unrealized holding gains (losses) on investments and other in the Company’s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Distributions have exceeded the Company’s investment; however, the Company recognizes a liability balance as it may elect to contribute capital to the entity.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w:t>
      </w:r>
    </w:p>
    <w:p>
      <w:pPr>
        <w:pStyle w:val="TextBody"/>
        <w:bidi w:val="0"/>
        <w:jc w:val="both"/>
        <w:rPr>
          <w:rFonts w:ascii="Times New Roman" w:hAnsi="Times New Roman"/>
          <w:color w:val="000000"/>
          <w:sz w:val="16"/>
        </w:rPr>
      </w:pPr>
      <w:r>
        <w:rPr>
          <w:rFonts w:ascii="Times New Roman" w:hAnsi="Times New Roman"/>
          <w:color w:val="000000"/>
          <w:sz w:val="16"/>
        </w:rPr>
        <w:t>The property was sold on May 28, 2026. As of June 30, 2026, the investment balance relates to undistributed proceeds from the disposition.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acquired a 20% non-controlling equity interest in a joint venture that acquired the Shops at Skyview, a retail shopping center located in Queens, NY, for $424.1 million. At closing, the joint venture secured a mortgage loan with a total commitment of $290.0 million, of which $277.0 million was funded at closing. Additionally, the Company provided a preferred equity investment of approximately $41.7 million. The preferred equity is accounted for as a held-to-maturity debt instrument given its stated maturity date in January 2029, and bears interest at 7.5%.</w:t>
      </w:r>
    </w:p>
    <w:p>
      <w:pPr>
        <w:pStyle w:val="TextBody"/>
        <w:bidi w:val="0"/>
        <w:jc w:val="both"/>
        <w:rPr/>
      </w:pPr>
      <w:r>
        <w:rPr/>
        <w:t> </w:t>
      </w:r>
    </w:p>
    <w:p>
      <w:pPr>
        <w:pStyle w:val="TextBody"/>
        <w:bidi w:val="0"/>
        <w:jc w:val="both"/>
        <w:rPr/>
      </w:pPr>
      <w:r>
        <w:rPr>
          <w:rFonts w:ascii="Times New Roman" w:hAnsi="Times New Roman"/>
          <w:color w:val="000000"/>
          <w:sz w:val="20"/>
        </w:rPr>
        <w:t>In February 2026, the Company acquired a 20% non-controlling equity interest in two newly formed joint ventures, Atlantic Portfolio and Avenue at West Cobb, that, as part of a recapitalization, acquired a seven-property open-air retail portfolio. Six of the properties were previously held in Fund V, while one property (Avenue at West Cobb) was previously held in the Company’s wholly owned portfolio. The Company’s retained interest in the joint ventures was fair-valued at $87.1 million. At closing, the joint venture obtained a mortgage loan with a total commitment of $317 million, of which $298 million was funded at closing. Additionally, the Company provided seller financing to the Atlantic Portfolio joint venture in the form of a $27.5 million preferred equity investment. The preferred equity is accounted for as a held-to-maturity debt instrument given its stated maturity date in February 2029, is secured by the equity interests in the entity that owns the Atlantic Portfolio properties, and bears interest at a stated rate of 6.0%. The preferred equity investment was determined to be issued at below-market terms, as the prevailing market rate for a comparable instrument at the time of origination exceeded the stated rate. Accordingly, the Company recorded the instrument at fair value at origination, resulting in a $2.4 million discount, which is presented as a reduction to the preferred equity investment balance within Investments in and advances to unconsolidated affiliates on the Condensed Consolidated Balance Sheets, with a corresponding reduction to the gain on disposition recognized in connection with the recapitalization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The discount will be accreted into interest income over the term of the instrument using the effective interest method.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the Company retained a 20% non-controlling equity interest in a newly formed joint venture that acquired Pinewood Square, which was fair-valued at $13.6 million. At closing, the joint venture obtained a mortgage loan of $45.0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the Company, through Fund IV, sold its investment in 650 Bald Hill for $20.5 million and repaid the related $14.4 million property mortgage loan. The venture recognized a gain on sale of $0.6 million, of which the Company’s proportionate share was $0.2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the Company, through Fund V, sold its investment in Tri-City Plaza for $62.5 million and repaid the related $34.8 million property mortgage loan. The venture recognized a gain of $19.7 million, of which the Company’s proportionate share of the gain was $3.0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840 N. Michigan Avenue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2023, an unconsolidated venture holding an interest in a property on North Michigan Avenue modified its $73.5 million nonrecourse mortgage loan. The modification reduced the principal balance by $18.5 million, required a $17.5 million principal paydown, increased the interest rate from 4.4% to 6.5%, and extended the maturity from February 2025 to December 2026. Under the modification, the venture may be required to make contingent payments of up to $17.5 million upon a sale or secured refinancing prior to maturity (“Contingent Payment”). The Contingent Payment amortizes on a straight</w:t>
        <w:noBreakHyphen/>
        <w:t xml:space="preserve">line basis over the remaining loan term and is reduced over time in accordance with the modification agreement. The modification was accounted for as a troubled debt restructuring under ASC 470, resulting in an initial gain of approximately $0.4 million recognized in equity in earnings of unconsolidated affiliates. Future cash payments under the modified loan, including any Contingent Payment, are treated as reductions of the mortgage carrying amount, and no interest expense is recognized through the revised maturity. As the Contingent Payment amortizes, additional gains are recognized in equity in earnings, of which $1.0 million and $2.0 million were recognized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and 2025, respectively. As part of the modification, the Operating Partnership provided a recourse guarantee equal to 50% of the unpaid principal balance of the mortgage which was $30.0 million as of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Fees earned from and paid to Unconsolidated Affiliates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earned fees for asset management, property management, construction, development, legal and leasing fees from its investments in unconsolidated affiliates totaling $2.8 million and $1.3 million for the three months ended June 30, 2026 and 2025, respectively, and $6.2 million and $2.0 million for the six months ended June 30, 2026 and 2025, respectively, which are included in Other revenues in the Condensed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Company’s unconsolidated joint ventures paid fees to the Company’s unaffiliated joint venture partners of $1.1 million and $0.8 million for the three months ended June 30, 2026 and 2025, respectively, and $2.2 million and $1.6 million for the six months ended June 30, 2026 and 2025, respectively, for leasing commissions, development, management, construction and overhead fees.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Summarized Financial Information of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Combined and Condensed Balance Sheets and Statements of Operations, in each period, summarized the financial information of the Company’s investments in unconsolidated affiliates that were held as of June 30, 2026 and 2025 (in thousands):</w:t>
      </w:r>
    </w:p>
    <w:tbl>
      <w:tblPr>
        <w:tblW w:w="9242" w:type="dxa"/>
        <w:jc w:val="left"/>
        <w:tblInd w:w="0" w:type="dxa"/>
        <w:tblLayout w:type="fixed"/>
        <w:tblCellMar>
          <w:top w:w="28" w:type="dxa"/>
          <w:left w:w="28" w:type="dxa"/>
          <w:bottom w:w="28" w:type="dxa"/>
          <w:right w:w="28" w:type="dxa"/>
        </w:tblCellMar>
      </w:tblPr>
      <w:tblGrid>
        <w:gridCol w:w="6211"/>
        <w:gridCol w:w="146"/>
        <w:gridCol w:w="211"/>
        <w:gridCol w:w="931"/>
        <w:gridCol w:w="146"/>
        <w:gridCol w:w="146"/>
        <w:gridCol w:w="232"/>
        <w:gridCol w:w="1028"/>
        <w:gridCol w:w="19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Combined and Condensed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property,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partners’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partners’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accumulated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fees, net of portion related to the Company's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receivable/payable by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 net of Company's</w:t>
              <w:br/>
              <w:t>   share of distributions in excess of income from and investments in</w:t>
              <w:br/>
              <w:t>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carried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Company's share of distributions in excess of income from and </w:t>
              <w:br/>
              <w:t>   investments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30"/>
        <w:gridCol w:w="146"/>
        <w:gridCol w:w="237"/>
        <w:gridCol w:w="828"/>
        <w:gridCol w:w="186"/>
        <w:gridCol w:w="163"/>
        <w:gridCol w:w="237"/>
        <w:gridCol w:w="828"/>
        <w:gridCol w:w="166"/>
        <w:gridCol w:w="146"/>
        <w:gridCol w:w="222"/>
        <w:gridCol w:w="775"/>
        <w:gridCol w:w="174"/>
        <w:gridCol w:w="153"/>
        <w:gridCol w:w="222"/>
        <w:gridCol w:w="775"/>
        <w:gridCol w:w="217"/>
      </w:tblGrid>
      <w:tr>
        <w:trPr/>
        <w:tc>
          <w:tcPr>
            <w:tcW w:w="4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Combined and Condensed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on extinguishment of debt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(loss) on disposition of properties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equity in net (losses)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differential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equity in earnings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the gain on debt extinguishment related to the restructuring at 840 N. Michigan Avenue for the three and six months ended June 30, 2026 and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Includes the gain on sale of 650 Bald Hill and Tri-City Plaza for the three and six months ended June 30, 2026 and the loss on the sale of Eden Square for the three and six months ended June 30, 2025.</w:t>
      </w:r>
    </w:p>
    <w:p>
      <w:pPr>
        <w:pStyle w:val="TextBody"/>
        <w:bidi w:val="0"/>
        <w:jc w:val="both"/>
        <w:rPr/>
      </w:pPr>
      <w:r>
        <w:rPr/>
        <w:t> </w:t>
      </w:r>
    </w:p>
    <w:p>
      <w:pPr>
        <w:pStyle w:val="TextBody"/>
        <w:bidi w:val="0"/>
        <w:jc w:val="left"/>
        <w:rPr>
          <w:rFonts w:ascii="Times New Roman" w:hAnsi="Times New Roman"/>
          <w:b/>
          <w:color w:val="000000"/>
          <w:sz w:val="20"/>
        </w:rPr>
      </w:pPr>
      <w:bookmarkStart w:id="14" w:name="n5_or_assets_net_accounts_payable_or_lia"/>
      <w:bookmarkEnd w:id="14"/>
      <w:r>
        <w:rPr>
          <w:rFonts w:ascii="Times New Roman" w:hAnsi="Times New Roman"/>
          <w:b/>
          <w:color w:val="000000"/>
          <w:sz w:val="20"/>
        </w:rPr>
        <w:t>5. Other Assets, Net and Accounts Payable and Other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assets, net and accounts payable and other liabilities are comprised of the following for the periods presented:</w:t>
      </w:r>
    </w:p>
    <w:p>
      <w:pPr>
        <w:pStyle w:val="TextBody"/>
        <w:bidi w:val="0"/>
        <w:jc w:val="left"/>
        <w:rPr/>
      </w:pPr>
      <w:r>
        <w:rPr/>
        <w:t> </w:t>
      </w:r>
    </w:p>
    <w:tbl>
      <w:tblPr>
        <w:tblW w:w="7297" w:type="dxa"/>
        <w:jc w:val="left"/>
        <w:tblInd w:w="0" w:type="dxa"/>
        <w:tblLayout w:type="fixed"/>
        <w:tblCellMar>
          <w:top w:w="28" w:type="dxa"/>
          <w:left w:w="28" w:type="dxa"/>
          <w:bottom w:w="28" w:type="dxa"/>
          <w:right w:w="28" w:type="dxa"/>
        </w:tblCellMar>
      </w:tblPr>
      <w:tblGrid>
        <w:gridCol w:w="4176"/>
        <w:gridCol w:w="146"/>
        <w:gridCol w:w="211"/>
        <w:gridCol w:w="781"/>
        <w:gridCol w:w="166"/>
        <w:gridCol w:w="146"/>
        <w:gridCol w:w="268"/>
        <w:gridCol w:w="992"/>
        <w:gridCol w:w="41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intangibles,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receivable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seller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 Deferred Charges,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leasing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costs related to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intangibles,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security deposits, escrow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finance leases, net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5" w:name="n6_lease_intangibles"/>
      <w:bookmarkEnd w:id="15"/>
      <w:r>
        <w:rPr>
          <w:rFonts w:ascii="Times New Roman" w:hAnsi="Times New Roman"/>
          <w:b/>
          <w:color w:val="000000"/>
          <w:sz w:val="20"/>
        </w:rPr>
        <w:t>6. Lease Intangibles</w:t>
      </w:r>
    </w:p>
    <w:p>
      <w:pPr>
        <w:pStyle w:val="TextBody"/>
        <w:bidi w:val="0"/>
        <w:spacing w:before="240" w:after="283"/>
        <w:jc w:val="both"/>
        <w:rPr/>
      </w:pPr>
      <w:r>
        <w:rPr>
          <w:rFonts w:ascii="Times New Roman" w:hAnsi="Times New Roman"/>
          <w:color w:val="000000"/>
          <w:sz w:val="20"/>
        </w:rPr>
        <w:t>Intangible assets and liabilities are included in Other assets, net and Accounts payable and other liabilities (</w:t>
      </w:r>
      <w:hyperlink w:anchor="n5_or_assets_net_accounts_payable_or_lia">
        <w:r>
          <w:rPr>
            <w:rStyle w:val="InternetLink"/>
            <w:rFonts w:ascii="Times New Roman" w:hAnsi="Times New Roman"/>
            <w:color w:val="0000FF"/>
            <w:sz w:val="20"/>
            <w:u w:val="single"/>
          </w:rPr>
          <w:t>Note 5</w:t>
        </w:r>
      </w:hyperlink>
      <w:r>
        <w:rPr>
          <w:rFonts w:ascii="Times New Roman" w:hAnsi="Times New Roman"/>
          <w:color w:val="000000"/>
          <w:sz w:val="20"/>
        </w:rPr>
        <w:t>) on the Condensed Consolidated Balance Sheets and summarized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45"/>
        <w:gridCol w:w="146"/>
        <w:gridCol w:w="229"/>
        <w:gridCol w:w="879"/>
        <w:gridCol w:w="166"/>
        <w:gridCol w:w="146"/>
        <w:gridCol w:w="233"/>
        <w:gridCol w:w="893"/>
        <w:gridCol w:w="166"/>
        <w:gridCol w:w="146"/>
        <w:gridCol w:w="223"/>
        <w:gridCol w:w="754"/>
        <w:gridCol w:w="166"/>
        <w:gridCol w:w="146"/>
        <w:gridCol w:w="229"/>
        <w:gridCol w:w="879"/>
        <w:gridCol w:w="166"/>
        <w:gridCol w:w="146"/>
        <w:gridCol w:w="233"/>
        <w:gridCol w:w="893"/>
        <w:gridCol w:w="166"/>
        <w:gridCol w:w="146"/>
        <w:gridCol w:w="219"/>
        <w:gridCol w:w="775"/>
        <w:gridCol w:w="215"/>
      </w:tblGrid>
      <w:tr>
        <w:trPr/>
        <w:tc>
          <w:tcPr>
            <w:tcW w:w="1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Amount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Amortizable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In-place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Above-market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128,239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Amortizable Intangible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Below-market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Above-market ground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(95,991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of in-place lease intangible assets is recorded in depreciation and amortization expense in the Condensed Consolidated Statements of Operations. Amortization of above-market rent and below-market rent is recorded as a reduction to and increase to rental revenue, respectively, in the Condensed Consolidated Statements of Operations. Amortization of above-market ground leases is recorded as a reduction to rent expense on the Condensed Consolidated Statements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amounts of such amortization included in the accompanying consolidated statements of operations and comprehensive income (loss) are as follows (in thousands):</w:t>
      </w:r>
    </w:p>
    <w:p>
      <w:pPr>
        <w:pStyle w:val="TextBody"/>
        <w:bidi w:val="0"/>
        <w:jc w:val="both"/>
        <w:rPr/>
      </w:pPr>
      <w:r>
        <w:rPr/>
        <w:t> </w:t>
      </w:r>
    </w:p>
    <w:tbl>
      <w:tblPr>
        <w:tblW w:w="9537" w:type="dxa"/>
        <w:jc w:val="left"/>
        <w:tblInd w:w="0" w:type="dxa"/>
        <w:tblLayout w:type="fixed"/>
        <w:tblCellMar>
          <w:top w:w="28" w:type="dxa"/>
          <w:left w:w="28" w:type="dxa"/>
          <w:bottom w:w="28" w:type="dxa"/>
          <w:right w:w="28" w:type="dxa"/>
        </w:tblCellMar>
      </w:tblPr>
      <w:tblGrid>
        <w:gridCol w:w="4786"/>
        <w:gridCol w:w="146"/>
        <w:gridCol w:w="211"/>
        <w:gridCol w:w="631"/>
        <w:gridCol w:w="166"/>
        <w:gridCol w:w="146"/>
        <w:gridCol w:w="211"/>
        <w:gridCol w:w="631"/>
        <w:gridCol w:w="166"/>
        <w:gridCol w:w="146"/>
        <w:gridCol w:w="211"/>
        <w:gridCol w:w="676"/>
        <w:gridCol w:w="166"/>
        <w:gridCol w:w="146"/>
        <w:gridCol w:w="211"/>
        <w:gridCol w:w="67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in-place lease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above-market rent and below-market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above-market ground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6" w:name="n7_debt"/>
      <w:bookmarkEnd w:id="16"/>
      <w:r>
        <w:rPr>
          <w:rFonts w:ascii="Times New Roman" w:hAnsi="Times New Roman"/>
          <w:b/>
          <w:color w:val="000000"/>
          <w:sz w:val="20"/>
        </w:rPr>
        <w:t>7.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summary of the Company’s consolidated indebtedness is as follows (dollars in thousands): </w:t>
      </w:r>
    </w:p>
    <w:tbl>
      <w:tblPr>
        <w:tblW w:w="9064" w:type="dxa"/>
        <w:jc w:val="left"/>
        <w:tblInd w:w="0" w:type="dxa"/>
        <w:tblLayout w:type="fixed"/>
        <w:tblCellMar>
          <w:top w:w="28" w:type="dxa"/>
          <w:left w:w="28" w:type="dxa"/>
          <w:bottom w:w="28" w:type="dxa"/>
          <w:right w:w="28" w:type="dxa"/>
        </w:tblCellMar>
      </w:tblPr>
      <w:tblGrid>
        <w:gridCol w:w="2611"/>
        <w:gridCol w:w="146"/>
        <w:gridCol w:w="2146"/>
        <w:gridCol w:w="146"/>
        <w:gridCol w:w="1666"/>
        <w:gridCol w:w="146"/>
        <w:gridCol w:w="916"/>
        <w:gridCol w:w="146"/>
        <w:gridCol w:w="114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 of</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as of</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Mortgages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3.99% - 6.05%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Nov 2026</w:t>
            </w:r>
            <w:r>
              <w:rPr>
                <w:rFonts w:ascii="Times New Roman" w:hAnsi="Times New Roman"/>
                <w:color w:val="000000"/>
                <w:sz w:val="20"/>
              </w:rPr>
              <w:t> </w:t>
            </w:r>
            <w:r>
              <w:rPr>
                <w:rFonts w:ascii="Times New Roman" w:hAnsi="Times New Roman"/>
                <w:color w:val="000000"/>
                <w:sz w:val="16"/>
              </w:rPr>
              <w:t>- Apr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$227,684</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Fund II </w:t>
            </w:r>
            <w:r>
              <w:rPr>
                <w:rFonts w:ascii="Times New Roman" w:hAnsi="Times New Roman"/>
                <w:color w:val="000000"/>
                <w:sz w:val="11"/>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137,500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27,249</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SOFR+1.40% - SOFR+3.10%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Dec 2026</w:t>
            </w:r>
            <w:r>
              <w:rPr>
                <w:rFonts w:ascii="Times New Roman" w:hAnsi="Times New Roman"/>
                <w:color w:val="000000"/>
                <w:sz w:val="20"/>
              </w:rPr>
              <w:t> </w:t>
            </w:r>
            <w:r>
              <w:rPr>
                <w:rFonts w:ascii="Times New Roman" w:hAnsi="Times New Roman"/>
                <w:color w:val="000000"/>
                <w:sz w:val="16"/>
              </w:rPr>
              <w:t>- Apr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505,184</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Mortgages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$480,045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$893,944</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Unsecured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Term Loans </w:t>
            </w:r>
            <w:r>
              <w:rPr>
                <w:rFonts w:ascii="Times New Roman" w:hAnsi="Times New Roman"/>
                <w:color w:val="000000"/>
                <w:sz w:val="11"/>
              </w:rPr>
              <w:t>(b,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SOFR+1.15% - SOFR+1.20%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May 2030</w:t>
            </w:r>
            <w:r>
              <w:rPr>
                <w:rFonts w:ascii="Times New Roman" w:hAnsi="Times New Roman"/>
                <w:color w:val="000000"/>
                <w:sz w:val="20"/>
              </w:rPr>
              <w:t> </w:t>
            </w:r>
            <w:r>
              <w:rPr>
                <w:rFonts w:ascii="Times New Roman" w:hAnsi="Times New Roman"/>
                <w:color w:val="000000"/>
                <w:sz w:val="16"/>
              </w:rPr>
              <w:t>- Apr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5.86% - 5.94%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Aug 2027</w:t>
            </w:r>
            <w:r>
              <w:rPr>
                <w:rFonts w:ascii="Times New Roman" w:hAnsi="Times New Roman"/>
                <w:color w:val="000000"/>
                <w:sz w:val="20"/>
              </w:rPr>
              <w:t> </w:t>
            </w:r>
            <w:r>
              <w:rPr>
                <w:rFonts w:ascii="Times New Roman" w:hAnsi="Times New Roman"/>
                <w:color w:val="000000"/>
                <w:sz w:val="16"/>
              </w:rPr>
              <w:t>- Aug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 Loan A-3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61,250</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(6,788)</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Unsecured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$879,462</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Revolving Credit Facility </w:t>
            </w:r>
            <w:r>
              <w:rPr>
                <w:rFonts w:ascii="Times New Roman" w:hAnsi="Times New Roman"/>
                <w:color w:val="000000"/>
                <w:sz w:val="11"/>
              </w:rPr>
              <w:t>(c,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$89,500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Total Debt </w:t>
            </w:r>
            <w:r>
              <w:rPr>
                <w:rFonts w:ascii="Times New Roman" w:hAnsi="Times New Roman"/>
                <w:color w:val="000000"/>
                <w:sz w:val="11"/>
              </w:rPr>
              <w:t>(e)(f)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$1,873,367</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(11,387)</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$1,637,018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$1,862,906</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sz w:val="20"/>
        </w:rPr>
      </w:pPr>
      <w:r>
        <w:rPr>
          <w:rFonts w:ascii="Times New Roman" w:hAnsi="Times New Roman"/>
          <w:color w:val="000000"/>
          <w:sz w:val="16"/>
        </w:rPr>
        <w:t>In connection with the refinance of the secured mortgage loan related to a Fund II asset during the three months ended June 30, 2026, the Operating Partnership's $20.0</w:t>
      </w:r>
      <w:r>
        <w:rPr>
          <w:rFonts w:ascii="Times New Roman" w:hAnsi="Times New Roman"/>
          <w:color w:val="000000"/>
          <w:sz w:val="20"/>
        </w:rPr>
        <w:t xml:space="preserve"> </w:t>
      </w:r>
      <w:r>
        <w:rPr>
          <w:rFonts w:ascii="Times New Roman" w:hAnsi="Times New Roman"/>
          <w:color w:val="000000"/>
          <w:sz w:val="16"/>
        </w:rPr>
        <w:t>million recourse guarantee of principal payments associated with this mortgage loan was extinguished.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The $75.0</w:t>
      </w:r>
      <w:r>
        <w:rPr>
          <w:rFonts w:ascii="Times New Roman" w:hAnsi="Times New Roman"/>
          <w:color w:val="000000"/>
          <w:sz w:val="20"/>
        </w:rPr>
        <w:t xml:space="preserve"> </w:t>
      </w:r>
      <w:r>
        <w:rPr>
          <w:rFonts w:ascii="Times New Roman" w:hAnsi="Times New Roman"/>
          <w:color w:val="000000"/>
          <w:sz w:val="16"/>
        </w:rPr>
        <w:t>Million Term Loan is guaranteed by the Trust and certain subsidiaries of the Trust (</w:t>
      </w:r>
      <w:hyperlink w:anchor="n9_commitments_contingencies">
        <w:r>
          <w:rPr>
            <w:rStyle w:val="InternetLink"/>
            <w:rFonts w:ascii="Times New Roman" w:hAnsi="Times New Roman"/>
            <w:color w:val="0000FF"/>
            <w:sz w:val="16"/>
            <w:u w:val="single"/>
          </w:rPr>
          <w:t>Note 9</w:t>
        </w:r>
      </w:hyperlink>
      <w:r>
        <w:rPr>
          <w:rFonts w:ascii="Times New Roman" w:hAnsi="Times New Roman"/>
          <w:color w:val="000000"/>
          <w:sz w:val="16"/>
        </w:rPr>
        <w: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pPr>
      <w:r>
        <w:rPr>
          <w:rFonts w:ascii="Times New Roman" w:hAnsi="Times New Roman"/>
          <w:color w:val="000000"/>
          <w:sz w:val="16"/>
        </w:rPr>
        <w:t>The Company has entered into various swap agreements to effectively fix its interest costs on a portion of the Revolving Credit Facility and term loans as of June 30, 2026 and December 31, 2025 (</w:t>
      </w:r>
      <w:hyperlink w:anchor="n8_financial_instruments_fair_value_meas">
        <w:r>
          <w:rPr>
            <w:rStyle w:val="InternetLink"/>
            <w:rFonts w:ascii="Times New Roman" w:hAnsi="Times New Roman"/>
            <w:color w:val="0000FF"/>
            <w:sz w:val="16"/>
            <w:u w:val="single"/>
          </w:rPr>
          <w:t>Note 8</w:t>
        </w:r>
      </w:hyperlink>
      <w:r>
        <w:rPr>
          <w:rFonts w:ascii="Times New Roman" w:hAnsi="Times New Roman"/>
          <w:color w:val="000000"/>
          <w:sz w:val="16"/>
        </w:rPr>
        <w: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sz w:val="20"/>
        </w:rPr>
      </w:pPr>
      <w:r>
        <w:rPr>
          <w:rFonts w:ascii="Times New Roman" w:hAnsi="Times New Roman"/>
          <w:color w:val="000000"/>
          <w:sz w:val="16"/>
        </w:rPr>
        <w:t>The total available credit under the Revolving Credit Facility was</w:t>
      </w:r>
      <w:r>
        <w:rPr>
          <w:rFonts w:ascii="Times New Roman" w:hAnsi="Times New Roman"/>
          <w:color w:val="000000"/>
          <w:sz w:val="20"/>
        </w:rPr>
        <w:t xml:space="preserve"> </w:t>
      </w:r>
      <w:r>
        <w:rPr>
          <w:rFonts w:ascii="Times New Roman" w:hAnsi="Times New Roman"/>
          <w:color w:val="000000"/>
          <w:sz w:val="16"/>
        </w:rPr>
        <w:t>$481.7</w:t>
      </w:r>
      <w:r>
        <w:rPr>
          <w:rFonts w:ascii="Times New Roman" w:hAnsi="Times New Roman"/>
          <w:color w:val="000000"/>
          <w:sz w:val="20"/>
        </w:rPr>
        <w:t xml:space="preserve"> </w:t>
      </w:r>
      <w:r>
        <w:rPr>
          <w:rFonts w:ascii="Times New Roman" w:hAnsi="Times New Roman"/>
          <w:color w:val="000000"/>
          <w:sz w:val="16"/>
        </w:rPr>
        <w:t>million and $435.5</w:t>
      </w:r>
      <w:r>
        <w:rPr>
          <w:rFonts w:ascii="Times New Roman" w:hAnsi="Times New Roman"/>
          <w:color w:val="000000"/>
          <w:sz w:val="20"/>
        </w:rPr>
        <w:t xml:space="preserve"> </w:t>
      </w:r>
      <w:r>
        <w:rPr>
          <w:rFonts w:ascii="Times New Roman" w:hAnsi="Times New Roman"/>
          <w:color w:val="000000"/>
          <w:sz w:val="16"/>
        </w:rPr>
        <w:t>million at June 30, 2026 and December 31, 2025, respectively. There are no</w:t>
      </w:r>
      <w:r>
        <w:rPr>
          <w:rFonts w:ascii="Times New Roman" w:hAnsi="Times New Roman"/>
          <w:color w:val="000000"/>
          <w:sz w:val="20"/>
        </w:rPr>
        <w:t xml:space="preserve"> </w:t>
      </w:r>
      <w:r>
        <w:rPr>
          <w:rFonts w:ascii="Times New Roman" w:hAnsi="Times New Roman"/>
          <w:color w:val="000000"/>
          <w:sz w:val="16"/>
        </w:rPr>
        <w:t>letters of credit outstanding.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rFonts w:ascii="Times New Roman" w:hAnsi="Times New Roman"/>
          <w:sz w:val="20"/>
        </w:rPr>
      </w:pPr>
      <w:r>
        <w:rPr>
          <w:rFonts w:ascii="Times New Roman" w:hAnsi="Times New Roman"/>
          <w:color w:val="000000"/>
          <w:sz w:val="16"/>
        </w:rPr>
        <w:t>As of June 30, 2026 and December 31, 2025, the Company had $1,034.2</w:t>
      </w:r>
      <w:r>
        <w:rPr>
          <w:rFonts w:ascii="Times New Roman" w:hAnsi="Times New Roman"/>
          <w:color w:val="000000"/>
          <w:sz w:val="20"/>
        </w:rPr>
        <w:t xml:space="preserve"> </w:t>
      </w:r>
      <w:r>
        <w:rPr>
          <w:rFonts w:ascii="Times New Roman" w:hAnsi="Times New Roman"/>
          <w:color w:val="000000"/>
          <w:sz w:val="16"/>
        </w:rPr>
        <w:t>million and $1,216.7</w:t>
      </w:r>
      <w:r>
        <w:rPr>
          <w:rFonts w:ascii="Times New Roman" w:hAnsi="Times New Roman"/>
          <w:color w:val="000000"/>
          <w:sz w:val="20"/>
        </w:rPr>
        <w:t xml:space="preserve"> </w:t>
      </w:r>
      <w:r>
        <w:rPr>
          <w:rFonts w:ascii="Times New Roman" w:hAnsi="Times New Roman"/>
          <w:color w:val="000000"/>
          <w:sz w:val="16"/>
        </w:rPr>
        <w:t>million, respectively, of variable-rate debt that has been fixed with interest rate swap agreements as of the periods presented. The effective fixed rates ranged from 1.98%</w:t>
      </w:r>
      <w:r>
        <w:rPr>
          <w:rFonts w:ascii="Times New Roman" w:hAnsi="Times New Roman"/>
          <w:color w:val="000000"/>
          <w:sz w:val="20"/>
        </w:rPr>
        <w:t xml:space="preserve"> </w:t>
      </w:r>
      <w:r>
        <w:rPr>
          <w:rFonts w:ascii="Times New Roman" w:hAnsi="Times New Roman"/>
          <w:color w:val="000000"/>
          <w:sz w:val="16"/>
        </w:rPr>
        <w:t>to 4.50%.</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jc w:val="both"/>
        <w:rPr>
          <w:rFonts w:ascii="Times New Roman" w:hAnsi="Times New Roman"/>
          <w:sz w:val="20"/>
        </w:rPr>
      </w:pPr>
      <w:r>
        <w:rPr>
          <w:rFonts w:ascii="Times New Roman" w:hAnsi="Times New Roman"/>
          <w:color w:val="000000"/>
          <w:sz w:val="16"/>
        </w:rPr>
        <w:t>Includes $32.2</w:t>
      </w:r>
      <w:r>
        <w:rPr>
          <w:rFonts w:ascii="Times New Roman" w:hAnsi="Times New Roman"/>
          <w:color w:val="000000"/>
          <w:sz w:val="20"/>
        </w:rPr>
        <w:t xml:space="preserve"> </w:t>
      </w:r>
      <w:r>
        <w:rPr>
          <w:rFonts w:ascii="Times New Roman" w:hAnsi="Times New Roman"/>
          <w:color w:val="000000"/>
          <w:sz w:val="16"/>
        </w:rPr>
        <w:t>million of variable-rate debt that is subject to interest cap agreements at each June 30, 2026 and December 31, 2025. The effective fixed rate was 5.00%.</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Mortgages Payable</w:t>
      </w:r>
    </w:p>
    <w:p>
      <w:pPr>
        <w:pStyle w:val="TextBody"/>
        <w:bidi w:val="0"/>
        <w:spacing w:before="200" w:after="283"/>
        <w:jc w:val="both"/>
        <w:rPr>
          <w:rFonts w:ascii="Times New Roman" w:hAnsi="Times New Roman"/>
          <w:sz w:val="20"/>
        </w:rPr>
      </w:pPr>
      <w:r>
        <w:rPr>
          <w:rFonts w:ascii="Times New Roman" w:hAnsi="Times New Roman"/>
          <w:color w:val="000000"/>
          <w:sz w:val="20"/>
        </w:rPr>
        <w:t>At June 30, 2026 and December 31, 2025, the Company’s property mortgage loans were collateralized by 35 and 45</w:t>
      </w:r>
      <w:r>
        <w:rPr>
          <w:rFonts w:ascii="Times New Roman" w:hAnsi="Times New Roman"/>
          <w:color w:val="FF0000"/>
          <w:sz w:val="20"/>
        </w:rPr>
        <w:t xml:space="preserve"> </w:t>
      </w:r>
      <w:r>
        <w:rPr>
          <w:rFonts w:ascii="Times New Roman" w:hAnsi="Times New Roman"/>
          <w:color w:val="000000"/>
          <w:sz w:val="20"/>
        </w:rPr>
        <w:t xml:space="preserve">properties, respectively, as well as the related tenant leases. The Company was in compliance with its debt covenants as of June 30, 2026.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Investment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Fourth Amended and Restated Credit Facility, during the quarter ended June 30, 2026, the Operating Partnership used proceeds from Term Loan A-3, discussed below, to refinance a secured mortgage loan related to a Fund II asset which had an outstanding balance of $137.5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through its Investment Management platform: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repaid $285.1</w:t>
      </w:r>
      <w:r>
        <w:rPr>
          <w:color w:val="000000"/>
        </w:rPr>
        <w:t xml:space="preserve"> </w:t>
      </w:r>
      <w:r>
        <w:rPr>
          <w:rFonts w:ascii="Times New Roman" w:hAnsi="Times New Roman"/>
          <w:color w:val="000000"/>
          <w:sz w:val="20"/>
        </w:rPr>
        <w:t>million of consolidated Investment Management property mortgage loans, using proceeds from the assets sales and the recapitalization transactions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extended the maturities of two Investment Management property mortgage loans to an aggregate outstanding balance of $82.4</w:t>
      </w:r>
      <w:r>
        <w:rPr>
          <w:color w:val="000000"/>
        </w:rPr>
        <w:t xml:space="preserve"> </w:t>
      </w:r>
      <w:r>
        <w:rPr>
          <w:rFonts w:ascii="Times New Roman" w:hAnsi="Times New Roman"/>
          <w:color w:val="000000"/>
          <w:sz w:val="20"/>
        </w:rPr>
        <w:t>million (an increase of $9.4</w:t>
      </w:r>
      <w:r>
        <w:rPr>
          <w:color w:val="000000"/>
        </w:rPr>
        <w:t xml:space="preserve"> </w:t>
      </w:r>
      <w:r>
        <w:rPr>
          <w:rFonts w:ascii="Times New Roman" w:hAnsi="Times New Roman"/>
          <w:color w:val="000000"/>
          <w:sz w:val="20"/>
        </w:rPr>
        <w:t>million);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refinanced a property mortgage loan secured by a Fund V property, maintained the $32.2</w:t>
      </w:r>
      <w:r>
        <w:rPr>
          <w:color w:val="000000"/>
        </w:rPr>
        <w:t xml:space="preserve"> </w:t>
      </w:r>
      <w:r>
        <w:rPr>
          <w:rFonts w:ascii="Times New Roman" w:hAnsi="Times New Roman"/>
          <w:color w:val="000000"/>
          <w:sz w:val="20"/>
        </w:rPr>
        <w:t>million</w:t>
      </w:r>
      <w:r>
        <w:rPr>
          <w:color w:val="000000"/>
        </w:rPr>
        <w:t xml:space="preserve"> </w:t>
      </w:r>
      <w:r>
        <w:rPr>
          <w:rFonts w:ascii="Times New Roman" w:hAnsi="Times New Roman"/>
          <w:color w:val="000000"/>
          <w:sz w:val="20"/>
        </w:rPr>
        <w:t>principal amount, and extended the maturity from September 2026</w:t>
      </w:r>
      <w:r>
        <w:rPr>
          <w:color w:val="000000"/>
        </w:rPr>
        <w:t xml:space="preserve"> </w:t>
      </w:r>
      <w:r>
        <w:rPr>
          <w:rFonts w:ascii="Times New Roman" w:hAnsi="Times New Roman"/>
          <w:color w:val="000000"/>
          <w:sz w:val="20"/>
        </w:rPr>
        <w:t>to June 2029, and reduced the interest rate from SOFR +</w:t>
      </w:r>
      <w:r>
        <w:rPr>
          <w:color w:val="000000"/>
        </w:rPr>
        <w:t xml:space="preserve"> </w:t>
      </w:r>
      <w:r>
        <w:rPr>
          <w:rFonts w:ascii="Times New Roman" w:hAnsi="Times New Roman"/>
          <w:color w:val="000000"/>
          <w:sz w:val="20"/>
        </w:rPr>
        <w:t>2.80% to SOFR + 1.40%.</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Unsecured Notes Payable and Unsecured Line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 compliance with its unsecured notes payable and unsecured line of credit debt covenant requirements as of June 30,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17, 2026, the Operating Partnership entered into a Fourth Amended and Restated Credit Agreement (the "Amendment") to amend and expand its senior unsecured credit facility (the “Credit Facility”). The Amendment (i) extended the maturity of the $525.0 million revolving credit facility (the “Revolving Credit Facility”), the size of which remained unchanged, from April 15, 2028 to April 17, 2030, subject to two six-month extension options; (ii) increased the borrowing capacity of Term Loan A-1 from $400.0 million to $512.5 million and extended its maturity from April 15, 2028 to April 17, 2031; and (iii) established a new $137.5 million unsecured term loan facility (“Term Loan A-3”) maturing April 17, 2031. The Operating Partnership's existing $250.0 million Term Loan A-2, maturing May 29, 2030, was not modified by the Amendment. The Amendment also increased the accordion feature under the Credit Facility to up to $2.0 billion, at the Operating Partnership's option and subject to customary conditions.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Revolving Credit Facility, Term Loan A-1 and Term Loan A-3 bear interest at floating rates based on SOFR plus an applicable margin determined by reference to the Company’s leverage ratio or credit ratings. As of June 30, 2026, the applicable rates were SOFR plus 1.00% on the Revolving Credit Facility and SOFR plus 1.15% on each of Term Loan A-1 and Term Loan A-3.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of $4.8 million associated with the prior facility were carried forward and are being amortized over the term of the amended facility, and the Company capitalized $11.7 million of new deferred financing costs in connection with the Amendment, which are being amortized over the remaining term of the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outstanding borrowings were $512.5 million under Term Loan A-1, $250.0 million under Term Loan A-2, and $137.5 million under Term Loan A-3. The Revolving Credit Facility had an outstanding balance of $43.3 million and remaining borrowing capacity of $481.7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Scheduled Debt Principal Payments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summarizes the scheduled principal repayments, without regard to available extension options (described further below), of the Company’s consolidated indebtedness, as of June 30, 2026 (in thousands):</w:t>
      </w:r>
    </w:p>
    <w:p>
      <w:pPr>
        <w:pStyle w:val="TextBody"/>
        <w:bidi w:val="0"/>
        <w:jc w:val="left"/>
        <w:rPr/>
      </w:pPr>
      <w:r>
        <w:rPr/>
        <w:t> </w:t>
      </w:r>
    </w:p>
    <w:tbl>
      <w:tblPr>
        <w:tblW w:w="5398" w:type="dxa"/>
        <w:jc w:val="left"/>
        <w:tblInd w:w="0" w:type="dxa"/>
        <w:tblLayout w:type="fixed"/>
        <w:tblCellMar>
          <w:top w:w="28" w:type="dxa"/>
          <w:left w:w="28" w:type="dxa"/>
          <w:bottom w:w="28" w:type="dxa"/>
          <w:right w:w="28" w:type="dxa"/>
        </w:tblCellMar>
      </w:tblPr>
      <w:tblGrid>
        <w:gridCol w:w="3061"/>
        <w:gridCol w:w="146"/>
        <w:gridCol w:w="366"/>
        <w:gridCol w:w="1614"/>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Repayments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indebtedness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0"/>
        </w:rPr>
      </w:pPr>
      <w:r>
        <w:rPr>
          <w:rFonts w:ascii="Times New Roman" w:hAnsi="Times New Roman"/>
          <w:color w:val="000000"/>
          <w:sz w:val="16"/>
        </w:rPr>
        <w:t>The table does not reflect available extension options. The Company has the option to extend $160.3</w:t>
      </w:r>
      <w:r>
        <w:rPr>
          <w:rFonts w:ascii="Times New Roman" w:hAnsi="Times New Roman"/>
          <w:color w:val="000000"/>
          <w:sz w:val="20"/>
        </w:rPr>
        <w:t xml:space="preserve"> </w:t>
      </w:r>
      <w:r>
        <w:rPr>
          <w:rFonts w:ascii="Times New Roman" w:hAnsi="Times New Roman"/>
          <w:color w:val="000000"/>
          <w:sz w:val="16"/>
        </w:rPr>
        <w:t>million, $48.5</w:t>
      </w:r>
      <w:r>
        <w:rPr>
          <w:rFonts w:ascii="Times New Roman" w:hAnsi="Times New Roman"/>
          <w:color w:val="000000"/>
          <w:sz w:val="20"/>
        </w:rPr>
        <w:t xml:space="preserve"> </w:t>
      </w:r>
      <w:r>
        <w:rPr>
          <w:rFonts w:ascii="Times New Roman" w:hAnsi="Times New Roman"/>
          <w:color w:val="000000"/>
          <w:sz w:val="16"/>
        </w:rPr>
        <w:t>million, and $55.0</w:t>
      </w:r>
      <w:r>
        <w:rPr>
          <w:rFonts w:ascii="Times New Roman" w:hAnsi="Times New Roman"/>
          <w:color w:val="000000"/>
          <w:sz w:val="20"/>
        </w:rPr>
        <w:t xml:space="preserve"> </w:t>
      </w:r>
      <w:r>
        <w:rPr>
          <w:rFonts w:ascii="Times New Roman" w:hAnsi="Times New Roman"/>
          <w:color w:val="000000"/>
          <w:sz w:val="16"/>
        </w:rPr>
        <w:t>million of maturities in 2026, 2027, and 2028, respectively, subject to customary conditions.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7" w:name="n8_financial_instruments_fair_value_meas"/>
      <w:bookmarkEnd w:id="17"/>
      <w:r>
        <w:rPr>
          <w:rFonts w:ascii="Times New Roman" w:hAnsi="Times New Roman"/>
          <w:b/>
          <w:color w:val="000000"/>
          <w:sz w:val="20"/>
        </w:rPr>
        <w:t>8. Financial Instruments and Fair Value Measurements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Items Measured at Fair Value on a Recurring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Company’s fair value hierarchy for those assets and liabilities measured at fair value on a recurring basis (in thousands):</w:t>
      </w:r>
    </w:p>
    <w:p>
      <w:pPr>
        <w:pStyle w:val="TextBody"/>
        <w:bidi w:val="0"/>
        <w:jc w:val="both"/>
        <w:rPr/>
      </w:pPr>
      <w:r>
        <w:rPr/>
        <w:t> </w:t>
      </w:r>
    </w:p>
    <w:tbl>
      <w:tblPr>
        <w:tblW w:w="9107" w:type="dxa"/>
        <w:jc w:val="left"/>
        <w:tblInd w:w="0" w:type="dxa"/>
        <w:tblLayout w:type="fixed"/>
        <w:tblCellMar>
          <w:top w:w="28" w:type="dxa"/>
          <w:left w:w="28" w:type="dxa"/>
          <w:bottom w:w="28" w:type="dxa"/>
          <w:right w:w="28" w:type="dxa"/>
        </w:tblCellMar>
      </w:tblPr>
      <w:tblGrid>
        <w:gridCol w:w="2731"/>
        <w:gridCol w:w="146"/>
        <w:gridCol w:w="217"/>
        <w:gridCol w:w="518"/>
        <w:gridCol w:w="146"/>
        <w:gridCol w:w="146"/>
        <w:gridCol w:w="146"/>
        <w:gridCol w:w="676"/>
        <w:gridCol w:w="166"/>
        <w:gridCol w:w="146"/>
        <w:gridCol w:w="217"/>
        <w:gridCol w:w="518"/>
        <w:gridCol w:w="146"/>
        <w:gridCol w:w="146"/>
        <w:gridCol w:w="217"/>
        <w:gridCol w:w="518"/>
        <w:gridCol w:w="146"/>
        <w:gridCol w:w="146"/>
        <w:gridCol w:w="146"/>
        <w:gridCol w:w="631"/>
        <w:gridCol w:w="166"/>
        <w:gridCol w:w="146"/>
        <w:gridCol w:w="217"/>
        <w:gridCol w:w="51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levels of the fair value hierarchy during the six months ended June 30, 2026, and 2025.</w:t>
      </w:r>
    </w:p>
    <w:p>
      <w:pPr>
        <w:pStyle w:val="TextBody"/>
        <w:bidi w:val="0"/>
        <w:spacing w:before="300" w:after="283"/>
        <w:jc w:val="both"/>
        <w:rPr>
          <w:rFonts w:ascii="Times New Roman" w:hAnsi="Times New Roman"/>
          <w:sz w:val="20"/>
        </w:rPr>
      </w:pPr>
      <w:r>
        <w:rPr>
          <w:rFonts w:ascii="Times New Roman" w:hAnsi="Times New Roman"/>
          <w:b/>
          <w:i/>
          <w:color w:val="000000"/>
          <w:sz w:val="20"/>
        </w:rPr>
        <w:t>Items Measured at Fair Value on a Nonrecurring Basis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Redeemable Noncontrolling Interests</w:t>
      </w:r>
    </w:p>
    <w:p>
      <w:pPr>
        <w:pStyle w:val="TextBody"/>
        <w:bidi w:val="0"/>
        <w:jc w:val="both"/>
        <w:rPr/>
      </w:pPr>
      <w:r>
        <w:rPr>
          <w:rFonts w:ascii="Times New Roman" w:hAnsi="Times New Roman"/>
          <w:color w:val="000000"/>
          <w:sz w:val="20"/>
        </w:rPr>
        <w:t xml:space="preserve">During the six months ended June 30, 2026, the Company recorded an adjustment of redeemable noncontrolling interest to its estimated redemption value. Refer to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for further discussion regarding these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the following interest rate swaps and caps for the periods presented (information is as of June 30, 2026, unless otherwise noted, and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1"/>
        <w:gridCol w:w="146"/>
        <w:gridCol w:w="265"/>
        <w:gridCol w:w="936"/>
        <w:gridCol w:w="146"/>
        <w:gridCol w:w="146"/>
        <w:gridCol w:w="989"/>
        <w:gridCol w:w="146"/>
        <w:gridCol w:w="993"/>
        <w:gridCol w:w="146"/>
        <w:gridCol w:w="453"/>
        <w:gridCol w:w="346"/>
        <w:gridCol w:w="487"/>
        <w:gridCol w:w="146"/>
        <w:gridCol w:w="1227"/>
        <w:gridCol w:w="146"/>
        <w:gridCol w:w="196"/>
        <w:gridCol w:w="601"/>
        <w:gridCol w:w="166"/>
        <w:gridCol w:w="146"/>
        <w:gridCol w:w="227"/>
        <w:gridCol w:w="664"/>
        <w:gridCol w:w="216"/>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Strike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May 2022</w:t>
            </w:r>
            <w:r>
              <w:rPr>
                <w:rFonts w:ascii="Times New Roman" w:hAnsi="Times New Roman"/>
                <w:color w:val="000000"/>
                <w:sz w:val="20"/>
              </w:rPr>
              <w:t>—</w:t>
            </w:r>
            <w:r>
              <w:rPr>
                <w:rFonts w:ascii="Times New Roman" w:hAnsi="Times New Roman"/>
                <w:color w:val="000000"/>
                <w:sz w:val="16"/>
              </w:rPr>
              <w:t>Aug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Jul 2027</w:t>
            </w:r>
            <w:r>
              <w:rPr>
                <w:rFonts w:ascii="Times New Roman" w:hAnsi="Times New Roman"/>
                <w:color w:val="000000"/>
                <w:sz w:val="20"/>
              </w:rPr>
              <w:t>—</w:t>
            </w:r>
            <w:r>
              <w:rPr>
                <w:rFonts w:ascii="Times New Roman" w:hAnsi="Times New Roman"/>
                <w:color w:val="000000"/>
                <w:sz w:val="16"/>
              </w:rPr>
              <w:t>Jul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May 2026</w:t>
            </w:r>
            <w:r>
              <w:rPr>
                <w:rFonts w:ascii="Times New Roman" w:hAnsi="Times New Roman"/>
                <w:color w:val="000000"/>
                <w:sz w:val="20"/>
              </w:rPr>
              <w:t>—</w:t>
            </w:r>
            <w:r>
              <w:rPr>
                <w:rFonts w:ascii="Times New Roman" w:hAnsi="Times New Roman"/>
                <w:color w:val="000000"/>
                <w:sz w:val="16"/>
              </w:rPr>
              <w:t>Dec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Cap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8"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8"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it is estimated that approximately $12.0 million included in Accumulated other comprehensive income related to derivatives will be reclassified as a reduction to interest expense within the next twelve months.</w:t>
      </w:r>
    </w:p>
    <w:p>
      <w:pPr>
        <w:pStyle w:val="TextBody"/>
        <w:bidi w:val="0"/>
        <w:spacing w:before="200" w:after="283"/>
        <w:jc w:val="both"/>
        <w:rPr/>
      </w:pPr>
      <w:r>
        <w:rPr>
          <w:rFonts w:ascii="Times New Roman" w:hAnsi="Times New Roman"/>
          <w:color w:val="000000"/>
          <w:sz w:val="20"/>
        </w:rPr>
        <w:t>During the six months ended June 30, 2026, the Company terminated five swaps with an aggregate notional value of $162.0 million in conjunction with the repayment of debt that occurred as part of the Fund V recapitalization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values and fair values of Company’s other financial assets and liabilities that are not measured at fair value on its Condensed Consolidated Balance Sheets are as follows as of the dates shown (dollars in thousands, inclusive of amounts attributable to noncontrolling interests where applicable):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25"/>
        <w:gridCol w:w="146"/>
        <w:gridCol w:w="239"/>
        <w:gridCol w:w="347"/>
        <w:gridCol w:w="146"/>
        <w:gridCol w:w="146"/>
        <w:gridCol w:w="211"/>
        <w:gridCol w:w="931"/>
        <w:gridCol w:w="146"/>
        <w:gridCol w:w="146"/>
        <w:gridCol w:w="211"/>
        <w:gridCol w:w="931"/>
        <w:gridCol w:w="146"/>
        <w:gridCol w:w="146"/>
        <w:gridCol w:w="211"/>
        <w:gridCol w:w="781"/>
        <w:gridCol w:w="146"/>
        <w:gridCol w:w="146"/>
        <w:gridCol w:w="215"/>
        <w:gridCol w:w="797"/>
        <w:gridCol w:w="192"/>
      </w:tblGrid>
      <w:tr>
        <w:trPr/>
        <w:tc>
          <w:tcPr>
            <w:tcW w:w="3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Notes Receivable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City Point Loan </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Mortgage and Other Notes Payable </w:t>
            </w:r>
            <w:r>
              <w:rPr>
                <w:rFonts w:ascii="Times New Roman" w:hAnsi="Times New Roman"/>
                <w:color w:val="000000"/>
                <w:sz w:val="13"/>
              </w:rPr>
              <w:t>(a,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 non-traded equity securities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Unsecured notes payable and Unsecured line of credit </w:t>
            </w:r>
            <w:r>
              <w:rPr>
                <w:rFonts w:ascii="Times New Roman" w:hAnsi="Times New Roman"/>
                <w:color w:val="000000"/>
                <w:sz w:val="13"/>
              </w:rPr>
              <w:t>(c,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981,271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sz w:val="24"/>
        </w:rPr>
      </w:pPr>
      <w:r>
        <w:rPr>
          <w:rFonts w:ascii="Times New Roman" w:hAnsi="Times New Roman"/>
          <w:color w:val="000000"/>
          <w:sz w:val="16"/>
        </w:rPr>
        <w:t>The Company estimates the fair value of financial instruments using a discounted cash flow model. This model incorporates assumptions such as current market rates and, where applicable, the credit quality of the borrower or tenant. In addition, the Company evaluates the value of the underlying collateral, considering factors such as collateral quality, borrower creditworthiness, time to maturity, and prevailing market conditions. These fair value estimates exclude unamortized discounts and deferred loan costs. As of the reporting date, the estimated market interest rates used in the valuation ranged from 3.46%</w:t>
      </w:r>
      <w:r>
        <w:rPr>
          <w:rFonts w:ascii="Times New Roman" w:hAnsi="Times New Roman"/>
          <w:color w:val="000000"/>
          <w:sz w:val="24"/>
        </w:rPr>
        <w:t xml:space="preserve"> </w:t>
      </w:r>
      <w:r>
        <w:rPr>
          <w:rFonts w:ascii="Times New Roman" w:hAnsi="Times New Roman"/>
          <w:color w:val="000000"/>
          <w:sz w:val="16"/>
        </w:rPr>
        <w:t>to 11.21%</w:t>
      </w:r>
      <w:r>
        <w:rPr>
          <w:rFonts w:ascii="Times New Roman" w:hAnsi="Times New Roman"/>
          <w:color w:val="000000"/>
          <w:sz w:val="24"/>
        </w:rPr>
        <w:t xml:space="preserve"> </w:t>
      </w:r>
      <w:r>
        <w:rPr>
          <w:rFonts w:ascii="Times New Roman" w:hAnsi="Times New Roman"/>
          <w:color w:val="000000"/>
          <w:sz w:val="16"/>
        </w:rPr>
        <w:t>for the Company’s notes receivable and City Point Loan, and from 5.26%</w:t>
      </w:r>
      <w:r>
        <w:rPr>
          <w:rFonts w:ascii="Times New Roman" w:hAnsi="Times New Roman"/>
          <w:color w:val="000000"/>
          <w:sz w:val="24"/>
        </w:rPr>
        <w:t xml:space="preserve"> </w:t>
      </w:r>
      <w:r>
        <w:rPr>
          <w:rFonts w:ascii="Times New Roman" w:hAnsi="Times New Roman"/>
          <w:color w:val="000000"/>
          <w:sz w:val="16"/>
        </w:rPr>
        <w:t>to 7.12%</w:t>
      </w:r>
      <w:r>
        <w:rPr>
          <w:rFonts w:ascii="Times New Roman" w:hAnsi="Times New Roman"/>
          <w:color w:val="000000"/>
          <w:sz w:val="24"/>
        </w:rPr>
        <w:t xml:space="preserve"> </w:t>
      </w:r>
      <w:r>
        <w:rPr>
          <w:rFonts w:ascii="Times New Roman" w:hAnsi="Times New Roman"/>
          <w:color w:val="000000"/>
          <w:sz w:val="16"/>
        </w:rPr>
        <w:t>for the Company’s property mortgage loans and other notes payable, depending on the specific characteristics of each loan.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Includes the Operating Partnership’s cost-method investment in Fifth Wall (</w:t>
      </w:r>
      <w:hyperlink w:anchor="n4_investments_in_advances_to_unconsolid">
        <w:r>
          <w:rPr>
            <w:rStyle w:val="InternetLink"/>
            <w:rFonts w:ascii="Times New Roman" w:hAnsi="Times New Roman"/>
            <w:color w:val="0000FF"/>
            <w:sz w:val="16"/>
            <w:u w:val="single"/>
          </w:rPr>
          <w:t>Note 4</w:t>
        </w:r>
      </w:hyperlink>
      <w:r>
        <w:rPr>
          <w:rFonts w:ascii="Times New Roman" w:hAnsi="Times New Roman"/>
          <w:color w:val="000000"/>
          <w:sz w:val="16"/>
        </w:rPr>
        <w:t>).</w:t>
      </w:r>
      <w:r>
        <w:rPr>
          <w:rFonts w:ascii="Times New Roman" w:hAnsi="Times New Roman"/>
          <w:color w:val="000000"/>
          <w:sz w:val="24"/>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Company estimates the fair value of its unsecured notes payable and unsecured line of credit using quoted market prices in active or brokered markets, when available. In instances where observable market prices are not available due to limited or no trading activity, the Company estimates fair value using a discounted cash flow model. This model incorporates a rate that reflects the average yield of comparable instruments issued by market participants with similar credit risk profiles.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sz w:val="24"/>
        </w:rPr>
      </w:pPr>
      <w:r>
        <w:rPr>
          <w:rFonts w:ascii="Times New Roman" w:hAnsi="Times New Roman"/>
          <w:color w:val="000000"/>
          <w:sz w:val="16"/>
        </w:rPr>
        <w:t>Carrying amounts exclude unamortized debt issuance costs of $2.2</w:t>
      </w:r>
      <w:r>
        <w:rPr>
          <w:rFonts w:ascii="Times New Roman" w:hAnsi="Times New Roman"/>
          <w:color w:val="000000"/>
          <w:sz w:val="24"/>
        </w:rPr>
        <w:t xml:space="preserve"> </w:t>
      </w:r>
      <w:r>
        <w:rPr>
          <w:rFonts w:ascii="Times New Roman" w:hAnsi="Times New Roman"/>
          <w:color w:val="000000"/>
          <w:sz w:val="16"/>
        </w:rPr>
        <w:t>million and $4.6</w:t>
      </w:r>
      <w:r>
        <w:rPr>
          <w:rFonts w:ascii="Times New Roman" w:hAnsi="Times New Roman"/>
          <w:color w:val="000000"/>
          <w:sz w:val="24"/>
        </w:rPr>
        <w:t xml:space="preserve"> </w:t>
      </w:r>
      <w:r>
        <w:rPr>
          <w:rFonts w:ascii="Times New Roman" w:hAnsi="Times New Roman"/>
          <w:color w:val="000000"/>
          <w:sz w:val="16"/>
        </w:rPr>
        <w:t>million and unamortized premiums of $0.5</w:t>
      </w:r>
      <w:r>
        <w:rPr>
          <w:rFonts w:ascii="Times New Roman" w:hAnsi="Times New Roman"/>
          <w:color w:val="000000"/>
          <w:sz w:val="24"/>
        </w:rPr>
        <w:t xml:space="preserve"> </w:t>
      </w:r>
      <w:r>
        <w:rPr>
          <w:rFonts w:ascii="Times New Roman" w:hAnsi="Times New Roman"/>
          <w:color w:val="000000"/>
          <w:sz w:val="16"/>
        </w:rPr>
        <w:t>million and $0.9</w:t>
      </w:r>
      <w:r>
        <w:rPr>
          <w:rFonts w:ascii="Times New Roman" w:hAnsi="Times New Roman"/>
          <w:color w:val="000000"/>
          <w:sz w:val="24"/>
        </w:rPr>
        <w:t xml:space="preserve"> </w:t>
      </w:r>
      <w:r>
        <w:rPr>
          <w:rFonts w:ascii="Times New Roman" w:hAnsi="Times New Roman"/>
          <w:color w:val="000000"/>
          <w:sz w:val="16"/>
        </w:rPr>
        <w:t>million as of June 30, 2026 and December 31, 2025,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rFonts w:ascii="Times New Roman" w:hAnsi="Times New Roman"/>
          <w:sz w:val="24"/>
        </w:rPr>
      </w:pPr>
      <w:r>
        <w:rPr>
          <w:rFonts w:ascii="Times New Roman" w:hAnsi="Times New Roman"/>
          <w:color w:val="000000"/>
          <w:sz w:val="16"/>
        </w:rPr>
        <w:t>Carrying amounts exclude unamortized debt issuance costs of $13.6</w:t>
      </w:r>
      <w:r>
        <w:rPr>
          <w:rFonts w:ascii="Times New Roman" w:hAnsi="Times New Roman"/>
          <w:color w:val="000000"/>
          <w:sz w:val="24"/>
        </w:rPr>
        <w:t xml:space="preserve"> </w:t>
      </w:r>
      <w:r>
        <w:rPr>
          <w:rFonts w:ascii="Times New Roman" w:hAnsi="Times New Roman"/>
          <w:color w:val="000000"/>
          <w:sz w:val="16"/>
        </w:rPr>
        <w:t>million and $6.8</w:t>
      </w:r>
      <w:r>
        <w:rPr>
          <w:rFonts w:ascii="Times New Roman" w:hAnsi="Times New Roman"/>
          <w:color w:val="000000"/>
          <w:sz w:val="24"/>
        </w:rPr>
        <w:t xml:space="preserve"> </w:t>
      </w:r>
      <w:r>
        <w:rPr>
          <w:rFonts w:ascii="Times New Roman" w:hAnsi="Times New Roman"/>
          <w:color w:val="000000"/>
          <w:sz w:val="16"/>
        </w:rPr>
        <w:t>million as of June 30, 2026 and December 31, 2025,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jc w:val="both"/>
        <w:rPr/>
      </w:pPr>
      <w:r>
        <w:rPr>
          <w:rFonts w:ascii="Times New Roman" w:hAnsi="Times New Roman"/>
          <w:color w:val="000000"/>
          <w:sz w:val="16"/>
        </w:rPr>
        <w:t>The City Point Loan was repaid in June 2026 (</w:t>
      </w:r>
      <w:hyperlink w:anchor="n10_shareholders_equity_noncontrolling_i">
        <w:r>
          <w:rPr>
            <w:rStyle w:val="InternetLink"/>
            <w:rFonts w:ascii="Times New Roman" w:hAnsi="Times New Roman"/>
            <w:color w:val="0000FF"/>
            <w:sz w:val="16"/>
            <w:u w:val="single"/>
          </w:rPr>
          <w:t>Note 10</w:t>
        </w:r>
      </w:hyperlink>
      <w:r>
        <w:rPr>
          <w:rFonts w:ascii="Times New Roman" w:hAnsi="Times New Roman"/>
          <w:color w:val="000000"/>
          <w:sz w:val="16"/>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carrying amounts of the Company’s cash and cash equivalents, restricted cash, rents receivable, accounts payable, and certain financial instruments classified as Level 1 within other assets and other liabilities approximated their fair values. This approximation is due to the short-term nature and high liquidity of these instruments.</w:t>
      </w:r>
    </w:p>
    <w:p>
      <w:pPr>
        <w:pStyle w:val="TextBody"/>
        <w:bidi w:val="0"/>
        <w:spacing w:before="240" w:after="283"/>
        <w:jc w:val="both"/>
        <w:rPr>
          <w:rFonts w:ascii="Times New Roman" w:hAnsi="Times New Roman"/>
          <w:b/>
          <w:color w:val="000000"/>
          <w:sz w:val="20"/>
        </w:rPr>
      </w:pPr>
      <w:bookmarkStart w:id="18" w:name="n9_commitments_contingencies"/>
      <w:bookmarkEnd w:id="18"/>
      <w:r>
        <w:rPr>
          <w:rFonts w:ascii="Times New Roman" w:hAnsi="Times New Roman"/>
          <w:b/>
          <w:color w:val="000000"/>
          <w:sz w:val="20"/>
        </w:rPr>
        <w:t>9. Commitments and Contingencies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involved in various matters of litigation arising out of, or incidental to, its business. While the Company is unable to predict with certainty the outcome of any particular matter, management does not expect, when such litigation is resolved, that the Company’s resulting exposure to loss contingencies, if any, will have a material adverse effect on its consolidated financial position or results of operations.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Commitments and Guaranties</w:t>
      </w:r>
    </w:p>
    <w:p>
      <w:pPr>
        <w:pStyle w:val="TextBody"/>
        <w:bidi w:val="0"/>
        <w:spacing w:before="240" w:after="283"/>
        <w:jc w:val="both"/>
        <w:rPr/>
      </w:pPr>
      <w:r>
        <w:rPr>
          <w:rFonts w:ascii="Times New Roman" w:hAnsi="Times New Roman"/>
          <w:color w:val="000000"/>
          <w:sz w:val="20"/>
        </w:rPr>
        <w:t>The Operating Partnership is jointly and severally liable for the obligations under the Fund IV Term Loan, which may result in an obligation for the payment of principal, interest, and any other amounts due. As of June 30, 2026, the Company did not expect the Operating Partnership to make any payments under this arrangement. The outstanding balance of the facility was $52.3 million as of June 30, 2026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w:t>
      </w:r>
    </w:p>
    <w:p>
      <w:pPr>
        <w:pStyle w:val="TextBody"/>
        <w:bidi w:val="0"/>
        <w:spacing w:before="240" w:after="283"/>
        <w:jc w:val="both"/>
        <w:rPr/>
      </w:pPr>
      <w:r>
        <w:rPr>
          <w:rFonts w:ascii="Times New Roman" w:hAnsi="Times New Roman"/>
          <w:color w:val="000000"/>
          <w:sz w:val="20"/>
        </w:rPr>
        <w:t>Additionally, in connection with the refinancing of the La Frontera Village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property mortgage loan of $57.0 million, which is collateralized by the investment property, Fund V guaranteed the joint venture’s obligation under the loan. Fund V acted as guarantor under the non-recourse carveout guaranty. At June 30, 2026 and December 31, 2025, $0.1 million and $0.1 million related to the guarantee was recorded as a liability in the Company’s Condensed Consolidated Balance Sheets, respectively. </w:t>
      </w:r>
    </w:p>
    <w:p>
      <w:pPr>
        <w:pStyle w:val="TextBody"/>
        <w:bidi w:val="0"/>
        <w:spacing w:before="195" w:after="45"/>
        <w:jc w:val="left"/>
        <w:rPr>
          <w:rFonts w:ascii="Times New Roman" w:hAnsi="Times New Roman"/>
          <w:i/>
          <w:color w:val="000000"/>
          <w:sz w:val="20"/>
        </w:rPr>
      </w:pPr>
      <w:r>
        <w:rPr>
          <w:rFonts w:ascii="Times New Roman" w:hAnsi="Times New Roman"/>
          <w:i/>
          <w:color w:val="000000"/>
          <w:sz w:val="20"/>
        </w:rPr>
        <w:t>Construction and Tenant Improvement Commitments</w:t>
      </w:r>
    </w:p>
    <w:p>
      <w:pPr>
        <w:pStyle w:val="TextBody"/>
        <w:bidi w:val="0"/>
        <w:spacing w:before="195" w:after="283"/>
        <w:jc w:val="both"/>
        <w:rPr>
          <w:rFonts w:ascii="Times New Roman" w:hAnsi="Times New Roman"/>
          <w:color w:val="000000"/>
          <w:sz w:val="20"/>
        </w:rPr>
      </w:pPr>
      <w:r>
        <w:rPr>
          <w:rFonts w:ascii="Times New Roman" w:hAnsi="Times New Roman"/>
          <w:color w:val="000000"/>
          <w:sz w:val="20"/>
        </w:rPr>
        <w:t xml:space="preserve">In conjunction with the development and expansion of various properties, the Company has entered into agreements with general contractors for the construction or development of properties aggregating approximately $39.1 million and $68.6 million, of which the Company’s share is $34.8 million and $64.8 million as of June 30, 2026 and December 31, 2025, respectively.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Company has committed to fund tenant improvements under executed leases totaling approximately $63.3 million and $44.1 million, as of June 30, 2026 and December 31, 2025, respectively. The Company’s share of these obligations is approximately $46.6 million and $37.1 million, respectively. The timing and amounts of these payments are uncertain and are subject to the satisfaction of certain performance conditions.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Insurance Coverage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insurance coverage on its properties in different types and amounts, with deductibles, that management believes are consistent with coverage typically carried by owners of similar properties.</w:t>
      </w:r>
    </w:p>
    <w:p>
      <w:pPr>
        <w:pStyle w:val="TextBody"/>
        <w:bidi w:val="0"/>
        <w:spacing w:before="240" w:after="283"/>
        <w:jc w:val="left"/>
        <w:rPr>
          <w:rFonts w:ascii="Times New Roman" w:hAnsi="Times New Roman"/>
          <w:sz w:val="20"/>
        </w:rPr>
      </w:pPr>
      <w:bookmarkStart w:id="19" w:name="n10_shareholders_equity_noncontrolling_i"/>
      <w:bookmarkEnd w:id="19"/>
      <w:r>
        <w:rPr>
          <w:rFonts w:ascii="Times New Roman" w:hAnsi="Times New Roman"/>
          <w:b/>
          <w:color w:val="000000"/>
          <w:sz w:val="20"/>
        </w:rPr>
        <w:t>10. Shareholders’ Equity, Noncontrolling</w:t>
      </w:r>
      <w:r>
        <w:rPr>
          <w:rFonts w:ascii="Times New Roman" w:hAnsi="Times New Roman"/>
          <w:color w:val="000000"/>
          <w:sz w:val="20"/>
        </w:rPr>
        <w:t xml:space="preserve"> </w:t>
      </w:r>
      <w:r>
        <w:rPr>
          <w:rFonts w:ascii="Times New Roman" w:hAnsi="Times New Roman"/>
          <w:b/>
          <w:color w:val="000000"/>
          <w:sz w:val="20"/>
        </w:rPr>
        <w:t>Interests and Other Comprehensive Loss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Public Offerings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the Company may offer its shares of beneficial interest through public offerings registered with the SEC or through private offerings pursuant to one or more exemptions from registration under the Securities Act. In connection with such offerings, the Company may issue and sell the offered shares upon settlement of the offering or, alternatively, enter into forward sale agreements with respect to all or a portion of the sold in such public offerings, pursuant to which the offered shares are borrowed by the forward sale purchasers and the issuance of such shares takes place upon settlement of the applicable forward sale agreement in accordance with its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11, 2026, the Company completed an offering of 9,000,000 Common Shares at an initial forward sale price of $21.80 per share. These shares are subject to forward sale agreements, which require settlement within one-year of the various effective dates. In connection with the offering, in July 2026, the underwriters partially exercised their over-allotment option, resulting in the issuance of an additional 242,996 Common Shares for an aggregate of 9,242,996 Common Shares subject to forward sale agreements. The Company did not initially receive any proceeds from the sale of Common Shares in the offering, which were sold to the underwriters by the forward purchasers or their respective affiliates. Assuming full physical settlement, the Company expects to receive net proceeds of approximately $201.1 million after deduction of estimated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an at-the-market equity issuance program (“ATM Program”) that provides the Company with an efficient vehicle for raising public equity capital to fund its needs.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 months ended June 30, 2026, the Company physically settled 6,209,562 Common Shares outstanding under the forward contracts pursuant to the ATM Program, and received proceeds of $128.0 million. This included settlements of $55.9 million in March and $72.1 million in June.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8,529,275 Common Shares subject to forward sales agreements outstanding under its ATM Program at a weighted-average net offering price of $19.90 per share. All forward sales agreements require settlement within one-year of the various effective dates and are expected to result in net cash proceeds of approximately $167.9 million if the Company were to physically settle all outstanding Common Shares subject to forward sales agreements. An additional $199.1 million remains available for future share issuance under the 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receive any proceeds at the time it entered into each of the respective forward sale agreements. The Company determined that the ATM forward sales agreements qualify for equity classification and are therefore exempt from derivative accounting. Accordingly, the ATM forward sales agreements were recorded at fair value at inception, which was determined to be zero, with no subsequent fair value adjustments required.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Common Shares and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withheld 6,546 shares of its restricted Common Shares (“Restricted Shares”) to pay the employees’ statutory minimum income tax withholding obligations upon vesting. For the three and six months ended June 30, 2026, the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00" w:after="283"/>
        <w:jc w:val="both"/>
        <w:rPr/>
      </w:pPr>
      <w:r>
        <w:rPr>
          <w:rFonts w:ascii="Times New Roman" w:hAnsi="Times New Roman"/>
          <w:color w:val="000000"/>
          <w:sz w:val="20"/>
        </w:rPr>
        <w:t>Company recognized $2.9 million and $9.3 million, respectively, of compensation expense in connection with Restricted Shares and Common OP Units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a share repurchase authorization of up to $200.0 million of outstanding Common Shares (the “Share Repurchase Program”), providing flexibility to return capital to shareholders when appropriate. No shares were repurchased during the six months ended June 30, 2026 or 2025. As of June 30, 2026, $122.5 million remains available under the Share Repurchase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Dividends and 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each of the three months ended June 30, 2026 and 2025, the Company declared distributions of $0.20 per Common Share/OP Unit. During the six months ended June 30, 2026 and 2025, the Company declared aggregate distributions of $0.40 per Common Share/OP Unit in each period.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summarize the change in the noncontrolling interests for the three and six months ended June 30, 2026 and 2025 (dollars in thousands, except per unit data):</w:t>
      </w:r>
    </w:p>
    <w:tbl>
      <w:tblPr>
        <w:tblW w:w="10205" w:type="dxa"/>
        <w:jc w:val="left"/>
        <w:tblInd w:w="0" w:type="dxa"/>
        <w:tblLayout w:type="fixed"/>
        <w:tblCellMar>
          <w:top w:w="28" w:type="dxa"/>
          <w:left w:w="28" w:type="dxa"/>
          <w:bottom w:w="28" w:type="dxa"/>
          <w:right w:w="28" w:type="dxa"/>
        </w:tblCellMar>
      </w:tblPr>
      <w:tblGrid>
        <w:gridCol w:w="3154"/>
        <w:gridCol w:w="146"/>
        <w:gridCol w:w="296"/>
        <w:gridCol w:w="1100"/>
        <w:gridCol w:w="166"/>
        <w:gridCol w:w="146"/>
        <w:gridCol w:w="322"/>
        <w:gridCol w:w="1194"/>
        <w:gridCol w:w="166"/>
        <w:gridCol w:w="146"/>
        <w:gridCol w:w="211"/>
        <w:gridCol w:w="781"/>
        <w:gridCol w:w="166"/>
        <w:gridCol w:w="146"/>
        <w:gridCol w:w="440"/>
        <w:gridCol w:w="1412"/>
        <w:gridCol w:w="213"/>
      </w:tblGrid>
      <w:tr>
        <w:trPr/>
        <w:tc>
          <w:tcPr>
            <w:tcW w:w="3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Operating</w:t>
              <w:br/>
              <w:t xml:space="preserve">Partnership </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Partially-Owned</w:t>
              <w:br/>
              <w:t xml:space="preserve">Affiliates </w:t>
            </w:r>
            <w:r>
              <w:rPr>
                <w:rFonts w:ascii="Times New Roman" w:hAnsi="Times New Roman"/>
                <w:b/>
                <w:color w:val="000000"/>
                <w:sz w:val="13"/>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Redeemable Noncontrolling Interests</w:t>
            </w:r>
            <w:r>
              <w:rPr>
                <w:rFonts w:ascii="Times New Roman" w:hAnsi="Times New Roman"/>
                <w:color w:val="000000"/>
                <w:sz w:val="20"/>
              </w:rPr>
              <w:t> </w:t>
            </w:r>
            <w:r>
              <w:rPr>
                <w:rFonts w:ascii="Times New Roman" w:hAnsi="Times New Roman"/>
                <w:b/>
                <w:color w:val="000000"/>
                <w:sz w:val="13"/>
              </w:rPr>
              <w:t>(c)</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$0.20 per Common OP Unit and distributions on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26,360 Common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loss on valuation of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noncontrolling interest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April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$0.20 per Common OP Unit and distributions on Preferred OP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23,118 Common OP Units to Common Shares by limited partners of the Operating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gain on valuation of swap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30"/>
        <w:gridCol w:w="146"/>
        <w:gridCol w:w="296"/>
        <w:gridCol w:w="1100"/>
        <w:gridCol w:w="166"/>
        <w:gridCol w:w="146"/>
        <w:gridCol w:w="304"/>
        <w:gridCol w:w="1212"/>
        <w:gridCol w:w="166"/>
        <w:gridCol w:w="146"/>
        <w:gridCol w:w="211"/>
        <w:gridCol w:w="841"/>
        <w:gridCol w:w="166"/>
        <w:gridCol w:w="146"/>
        <w:gridCol w:w="432"/>
        <w:gridCol w:w="1385"/>
        <w:gridCol w:w="212"/>
      </w:tblGrid>
      <w:tr>
        <w:trPr/>
        <w:tc>
          <w:tcPr>
            <w:tcW w:w="3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Operating</w:t>
              <w:br/>
              <w:t xml:space="preserve">Partnership </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Partially-Owned</w:t>
              <w:br/>
              <w:t xml:space="preserve">Affiliates </w:t>
            </w:r>
            <w:r>
              <w:rPr>
                <w:rFonts w:ascii="Times New Roman" w:hAnsi="Times New Roman"/>
                <w:b/>
                <w:color w:val="000000"/>
                <w:sz w:val="13"/>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Redeemable Noncontrolling Interests</w:t>
            </w:r>
            <w:r>
              <w:rPr>
                <w:rFonts w:ascii="Times New Roman" w:hAnsi="Times New Roman"/>
                <w:color w:val="000000"/>
                <w:sz w:val="20"/>
              </w:rPr>
              <w:t> </w:t>
            </w:r>
            <w:r>
              <w:rPr>
                <w:rFonts w:ascii="Times New Roman" w:hAnsi="Times New Roman"/>
                <w:b/>
                <w:color w:val="000000"/>
                <w:sz w:val="13"/>
              </w:rPr>
              <w:t>(c)</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$0.40 per Common OP Unit and distributions on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43,971 Common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loss on valuation of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$0.40 per Common OP Unit and distributions on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136,210 Common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gain on valuation of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342,434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437,033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21,174</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Noncontrolling interests in the Operating Partnership are comprised of (i) the limited partners’ 2,285,342</w:t>
      </w:r>
      <w:r>
        <w:rPr>
          <w:rFonts w:ascii="Times New Roman" w:hAnsi="Times New Roman"/>
          <w:color w:val="000000"/>
          <w:sz w:val="20"/>
        </w:rPr>
        <w:t xml:space="preserve"> </w:t>
      </w:r>
      <w:r>
        <w:rPr>
          <w:rFonts w:ascii="Times New Roman" w:hAnsi="Times New Roman"/>
          <w:color w:val="000000"/>
          <w:sz w:val="16"/>
        </w:rPr>
        <w:t>and 2,054,386</w:t>
      </w:r>
      <w:r>
        <w:rPr>
          <w:rFonts w:ascii="Times New Roman" w:hAnsi="Times New Roman"/>
          <w:color w:val="000000"/>
          <w:sz w:val="20"/>
        </w:rPr>
        <w:t xml:space="preserve"> </w:t>
      </w:r>
      <w:r>
        <w:rPr>
          <w:rFonts w:ascii="Times New Roman" w:hAnsi="Times New Roman"/>
          <w:color w:val="000000"/>
          <w:sz w:val="16"/>
        </w:rPr>
        <w:t>Common OP Units as of June 30, 2026 and 2025; (ii) 188</w:t>
      </w:r>
      <w:r>
        <w:rPr>
          <w:rFonts w:ascii="Times New Roman" w:hAnsi="Times New Roman"/>
          <w:color w:val="000000"/>
          <w:sz w:val="20"/>
        </w:rPr>
        <w:t xml:space="preserve"> </w:t>
      </w:r>
      <w:r>
        <w:rPr>
          <w:rFonts w:ascii="Times New Roman" w:hAnsi="Times New Roman"/>
          <w:color w:val="000000"/>
          <w:sz w:val="16"/>
        </w:rPr>
        <w:t>Series A Preferred OP Units as of June 30, 2026 and 2025; (iii) 66,519</w:t>
      </w:r>
      <w:r>
        <w:rPr>
          <w:rFonts w:ascii="Times New Roman" w:hAnsi="Times New Roman"/>
          <w:color w:val="000000"/>
          <w:sz w:val="20"/>
        </w:rPr>
        <w:t xml:space="preserve"> </w:t>
      </w:r>
      <w:r>
        <w:rPr>
          <w:rFonts w:ascii="Times New Roman" w:hAnsi="Times New Roman"/>
          <w:color w:val="000000"/>
          <w:sz w:val="16"/>
        </w:rPr>
        <w:t>Series C Preferred OP Units as of June 30, 2025, with none outstanding as of June 30, 2026; and (iv) 6,180,693</w:t>
      </w:r>
      <w:r>
        <w:rPr>
          <w:rFonts w:ascii="Times New Roman" w:hAnsi="Times New Roman"/>
          <w:color w:val="000000"/>
          <w:sz w:val="20"/>
        </w:rPr>
        <w:t xml:space="preserve"> </w:t>
      </w:r>
      <w:r>
        <w:rPr>
          <w:rFonts w:ascii="Times New Roman" w:hAnsi="Times New Roman"/>
          <w:color w:val="000000"/>
          <w:sz w:val="16"/>
        </w:rPr>
        <w:t>and 5,248,423</w:t>
      </w:r>
      <w:r>
        <w:rPr>
          <w:rFonts w:ascii="Times New Roman" w:hAnsi="Times New Roman"/>
          <w:color w:val="000000"/>
          <w:sz w:val="20"/>
        </w:rPr>
        <w:t xml:space="preserve"> </w:t>
      </w:r>
      <w:r>
        <w:rPr>
          <w:rFonts w:ascii="Times New Roman" w:hAnsi="Times New Roman"/>
          <w:color w:val="000000"/>
          <w:sz w:val="16"/>
        </w:rPr>
        <w:t>LTIP units as of June 30, 2026 and 2025, respectively, as discussed in the Amended and Restated 2020 Plan (</w:t>
      </w:r>
      <w:hyperlink w:anchor="n13_share_incentive_or_compensation">
        <w:r>
          <w:rPr>
            <w:rStyle w:val="InternetLink"/>
            <w:rFonts w:ascii="Times New Roman" w:hAnsi="Times New Roman"/>
            <w:color w:val="0000FF"/>
            <w:sz w:val="16"/>
            <w:u w:val="single"/>
          </w:rPr>
          <w:t>Note 13</w:t>
        </w:r>
      </w:hyperlink>
      <w:r>
        <w:rPr>
          <w:rFonts w:ascii="Times New Roman" w:hAnsi="Times New Roman"/>
          <w:color w:val="000000"/>
          <w:sz w:val="16"/>
        </w:rPr>
        <w:t>). Distributions declared for Preferred OP Units are reflected in net income (loss) in the table above.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Noncontrolling interests in partially-owned affiliates comprise third-party interests in Funds II, III, IV and V, and nine other subsidiaries.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Redeemable noncontrolling interests comprise third-party interests that have been granted put rights, as further described below.</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rFonts w:ascii="Times New Roman" w:hAnsi="Times New Roman"/>
          <w:color w:val="000000"/>
          <w:sz w:val="16"/>
        </w:rPr>
      </w:pPr>
      <w:r>
        <w:rPr>
          <w:rFonts w:ascii="Times New Roman" w:hAnsi="Times New Roman"/>
          <w:color w:val="000000"/>
          <w:sz w:val="16"/>
        </w:rPr>
        <w:t>Adjustment reflects the difference between the fair value of the consideration received or paid and the book value of the Common Shares, Common OP Units, Preferred OP Units, and LTIP Units involving changes in ownership.</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Redeemable Noncontrolling Interests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Williamsburg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Williamsburg Portfolio acquisition in February 2022, the venture partner has a one-time right to put its 50.01% interest in the property to the Company for redemption at fair value after five years have passed (“Williamsburg NCI”). As it was unlikely as of the acquisition date that the venture partner would receive any consideration on redemption due to the Company’s preferential returns, the initial fair value of the Williamsburg NCI was determined to be zero. As of June 30, 2026, the fair value of the Williamsburg NCI was zero.</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City Point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2022, the Company provided a loan of $65.9 million (“City Point Loan”) to the other Fund II investors in City Point to fund their pro-rata contribution required to complete the refinancing of the City Point debt. The City Point Loan was collateralized by the investors’ equity in City Point (“City Point NCI”) and, because it was granted in return for a capital contribution, it was presented as a reduction of the City Point NCI balance on the Company’s Condensed Consolidated Balance Sheets. In connection with the City Point Loan, each investor received a one-time right, beginning in August 2023, to put its City Point NCI to the Company for redemption in exchange for settlement of its proportionate share of the City Point Loan plus either (i) a fixed cash amount or (ii) a cash amount equal to the value of a fixed number of the Company’s Common Shares on the trading day prior to election (“Redemption Value”). Accordingly, the City Point NCI, net of the City Point Loan, was classified as Redeemable noncontrolling interests on the Company’s Condensed Consolidated Balance Sheets.</w:t>
      </w:r>
    </w:p>
    <w:p>
      <w:pPr>
        <w:pStyle w:val="TextBody"/>
        <w:bidi w:val="0"/>
        <w:jc w:val="both"/>
        <w:rPr/>
      </w:pPr>
      <w:r>
        <w:rPr/>
        <w:t> </w:t>
      </w:r>
    </w:p>
    <w:p>
      <w:pPr>
        <w:pStyle w:val="TextBody"/>
        <w:bidi w:val="0"/>
        <w:jc w:val="both"/>
        <w:rPr/>
      </w:pPr>
      <w:r>
        <w:rPr>
          <w:rFonts w:ascii="Times New Roman" w:hAnsi="Times New Roman"/>
          <w:color w:val="000000"/>
          <w:sz w:val="20"/>
        </w:rPr>
        <w:t>During the three months ended June 30, 2026, the Company acquired the remaining interests of the other Fund II investors in City Point for total consideration of $67.1 million, comprised of the assumption of the remaining investors’ portion of the City Point Loan and accrued interest balance of $58.5 million and a cash payment of $8.6 million. Following the transaction, the Company owns 100% of Fund II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 As the Company retained control of the subsidiary, no gain or loss was recognized in the Condensed Consolidated Statement of Operations.</w:t>
      </w:r>
    </w:p>
    <w:p>
      <w:pPr>
        <w:pStyle w:val="TextBody"/>
        <w:bidi w:val="0"/>
        <w:jc w:val="both"/>
        <w:rPr/>
      </w:pPr>
      <w:r>
        <w:rPr/>
        <w:t> </w:t>
      </w:r>
    </w:p>
    <w:p>
      <w:pPr>
        <w:pStyle w:val="TextBody"/>
        <w:bidi w:val="0"/>
        <w:jc w:val="both"/>
        <w:rPr/>
      </w:pPr>
      <w:r>
        <w:rPr>
          <w:rFonts w:ascii="Times New Roman" w:hAnsi="Times New Roman"/>
          <w:color w:val="000000"/>
          <w:sz w:val="20"/>
        </w:rPr>
        <w:t>For the six months ended June 30, 2026, the Company recorded aggregate adjustments of $5.6 million to increase the carrying value of the City Point NCI to its Redemption Value. Because the redemption feature was not based on fair value, these adjustments were recorded as reductions of net income attributable to Acadia shareholders in the calculation of earnings per share (</w:t>
      </w:r>
      <w:hyperlink w:anchor="n14_earnings_per_common_share">
        <w:r>
          <w:rPr>
            <w:rStyle w:val="InternetLink"/>
            <w:rFonts w:ascii="Times New Roman" w:hAnsi="Times New Roman"/>
            <w:color w:val="0000FF"/>
            <w:sz w:val="20"/>
            <w:u w:val="single"/>
          </w:rPr>
          <w:t>Note 14</w:t>
        </w:r>
      </w:hyperlink>
      <w:r>
        <w:rPr>
          <w:rFonts w:ascii="Times New Roman" w:hAnsi="Times New Roman"/>
          <w:color w:val="000000"/>
          <w:sz w:val="2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8833 Beverly Boulevard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July 2023, the Company entered into a limited partnership agreement to own and operate the 8833 Beverly Boulevard property. Following the formation of the partnership, the Company retained a 97.0% controlling interest. At a future point in time, either party may elect a buy-out right, where either the Company may purchase the venture partner’s interest, or the venture partner may sell its 3.0% interest in the partnership (the “8833 Beverly NCI”) to the Company for fair value. As a result of these redemption rights, the 8833 Beverly NCI was initially recorded at fair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recorded an adjustment of $0.2 million to adjust the carrying value of the NCI to its redemption value. As this interest is redeemable at fair value, the adjustment to redemption value was recognized as an adjustment to Additional Paid-in Capital and had no impact on consolidated Net (loss) income, or Net income attributable to Acadia shareholders in the Company’s Condensed Consolidated Statements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Henderson</w:t>
      </w:r>
    </w:p>
    <w:p>
      <w:pPr>
        <w:pStyle w:val="TextBody"/>
        <w:bidi w:val="0"/>
        <w:jc w:val="both"/>
        <w:rPr/>
      </w:pPr>
      <w:r>
        <w:rPr/>
        <w:t> </w:t>
      </w:r>
    </w:p>
    <w:p>
      <w:pPr>
        <w:pStyle w:val="TextBody"/>
        <w:bidi w:val="0"/>
        <w:jc w:val="both"/>
        <w:rPr/>
      </w:pPr>
      <w:r>
        <w:rPr>
          <w:rFonts w:ascii="Times New Roman" w:hAnsi="Times New Roman"/>
          <w:color w:val="000000"/>
          <w:sz w:val="20"/>
        </w:rPr>
        <w:t>In May 2026, the Company entered into a limited liability company agreement to own and operate the Henderson JV, a mixed-use ground-up development project located on N. Henderson Avenue in Dallas, Texas. The Company retained a 95.0% controlling interest, with the venture partner holding a 5.0% interest (the “Henderson NCI”). The Henderson JV was determined to be a VIE for which the Company is the primary beneficiary, as the Company has both the power to direct the activities that most significantly impact the Henderson JV’s economic performance and the obligation to absorb losses or right to receive benefits that could be significant to the Henderson JV. Accordingly, as the development project was wholly-owned prior to this transaction, the Henderson JV continues to be consolidated in the Company’s Condensed Consolidated Financial Statements (</w:t>
      </w:r>
      <w:hyperlink w:anchor="n15_subsequent_events">
        <w:r>
          <w:rPr>
            <w:rStyle w:val="InternetLink"/>
            <w:rFonts w:ascii="Times New Roman" w:hAnsi="Times New Roman"/>
            <w:color w:val="0000FF"/>
            <w:sz w:val="20"/>
            <w:u w:val="single"/>
          </w:rPr>
          <w:t>Note 15</w:t>
        </w:r>
      </w:hyperlink>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venture partner holds a one-time right to require the Company to purchase all or a portion of the Henderson NCI for cash at fair value during the 24-month period following stabilization of the project. Following the expiration of that period, the Company may require the venture partner to sell its interest to the Company at fair value. Because redemption is exercisable at the option of the venture partner and is outside the Company’s control, the Henderson NCI is classified as Redeemable noncontrolling interests on the Company’s Condensed Consolidated Balance Sheets.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Henderson NCI is measured at the greater of its carrying amount or redemption value. Adjustments to redemption value are recognized through Additional Paid-in Capital when the redemption becomes probable. As of June 30, 2026, no adjustment to redemption value was required.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Preferred OP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1999, the Operating Partnership issued 1,580 Series A Preferred OP Units in connection with the acquisition of a property, which have a stated value of $1,000 per unit, and are entitled to a preferred quarterly distribution of the greater of (i) $22.50 (9.00% annually) per Series A Preferred OP Unit or (ii) the quarterly distribution attributable to a Series A Preferred OP Unit if such unit was converted into a Common OP Unit. Through June 30, 2026, 1,392 Series A Preferred OP Units were converted into 185,600 Common OP Units and then into Common Shares. The 188 remaining Series A Preferred OP Units are currently convertible into Common OP Units based on the stated value divided by $7.50. Either the Company or the holders can currently call for the conversion of the Series A Preferred OP Units at the lesser of $7.50 or the market price of the Common Shares as of the conversion date.</w:t>
      </w:r>
    </w:p>
    <w:p>
      <w:pPr>
        <w:pStyle w:val="TextBody"/>
        <w:bidi w:val="0"/>
        <w:spacing w:before="240" w:after="283"/>
        <w:jc w:val="both"/>
        <w:rPr>
          <w:rFonts w:ascii="Times New Roman" w:hAnsi="Times New Roman"/>
          <w:sz w:val="20"/>
        </w:rPr>
      </w:pPr>
      <w:bookmarkStart w:id="20" w:name="n11_leases"/>
      <w:bookmarkEnd w:id="20"/>
      <w:r>
        <w:rPr>
          <w:rFonts w:ascii="Times New Roman" w:hAnsi="Times New Roman"/>
          <w:b/>
          <w:color w:val="000000"/>
          <w:sz w:val="20"/>
        </w:rPr>
        <w:t>11. Leases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Lessor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Company was party to approximately 1,000 leases, which include both properties owned directly and those operated under long-term ground leases. These lease agreements have contractual terms that extend through January 31, 2099, and many include tenant renewal options. Certain leases also provide tenants with early termination rights. During the three and six months ended June 30, 2026 and 2025, no single tenant or property collectively comprised more than 10% of the Company’s total revenues. </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Lease terms generally range from one month to sixty years. In addition to fixed base rent, many leases include provisions for variable lease payments, such as reimbursements for operating expenses and rent based on a percentage of the tenant’s sales volume.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presents the components of rental revenue, disaggregated into fixed and variable lease income (in thousands):</w:t>
      </w:r>
    </w:p>
    <w:tbl>
      <w:tblPr>
        <w:tblW w:w="7442" w:type="dxa"/>
        <w:jc w:val="left"/>
        <w:tblInd w:w="0" w:type="dxa"/>
        <w:tblLayout w:type="fixed"/>
        <w:tblCellMar>
          <w:top w:w="28" w:type="dxa"/>
          <w:left w:w="28" w:type="dxa"/>
          <w:bottom w:w="28" w:type="dxa"/>
          <w:right w:w="28" w:type="dxa"/>
        </w:tblCellMar>
      </w:tblPr>
      <w:tblGrid>
        <w:gridCol w:w="1951"/>
        <w:gridCol w:w="268"/>
        <w:gridCol w:w="859"/>
        <w:gridCol w:w="185"/>
        <w:gridCol w:w="185"/>
        <w:gridCol w:w="268"/>
        <w:gridCol w:w="859"/>
        <w:gridCol w:w="146"/>
        <w:gridCol w:w="146"/>
        <w:gridCol w:w="221"/>
        <w:gridCol w:w="818"/>
        <w:gridCol w:w="153"/>
        <w:gridCol w:w="153"/>
        <w:gridCol w:w="221"/>
        <w:gridCol w:w="81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revenue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151,880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37,876</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rental revenue</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189,756</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scheduled future minimum rental revenues under non-cancelable tenant leases with remaining terms greater than one year, as of June 30, 2026. These amounts assume no new or renegotiated leases or exercise of renewal options not deemed reasonably certain (in thousands):</w:t>
      </w:r>
    </w:p>
    <w:tbl>
      <w:tblPr>
        <w:tblW w:w="4283" w:type="dxa"/>
        <w:jc w:val="left"/>
        <w:tblInd w:w="0" w:type="dxa"/>
        <w:tblLayout w:type="fixed"/>
        <w:tblCellMar>
          <w:top w:w="28" w:type="dxa"/>
          <w:left w:w="28" w:type="dxa"/>
          <w:bottom w:w="28" w:type="dxa"/>
          <w:right w:w="28" w:type="dxa"/>
        </w:tblCellMar>
      </w:tblPr>
      <w:tblGrid>
        <w:gridCol w:w="2401"/>
        <w:gridCol w:w="146"/>
        <w:gridCol w:w="285"/>
        <w:gridCol w:w="126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Minimum Rental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2025, the Company recognized $8.4 million as rental and termination income related to a lease termination at City Center, a REIT Portfolio property, which is included in Other revenue on the Company’s Condensed Consolidated Statements of Operations.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Lessee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scheduled future minimum rental payments under non-cancelable leases as of June 30, 2026 (in thousands):</w:t>
      </w:r>
    </w:p>
    <w:tbl>
      <w:tblPr>
        <w:tblW w:w="6020" w:type="dxa"/>
        <w:jc w:val="left"/>
        <w:tblInd w:w="0" w:type="dxa"/>
        <w:tblLayout w:type="fixed"/>
        <w:tblCellMar>
          <w:top w:w="28" w:type="dxa"/>
          <w:left w:w="28" w:type="dxa"/>
          <w:bottom w:w="28" w:type="dxa"/>
          <w:right w:w="28" w:type="dxa"/>
        </w:tblCellMar>
      </w:tblPr>
      <w:tblGrid>
        <w:gridCol w:w="2401"/>
        <w:gridCol w:w="146"/>
        <w:gridCol w:w="428"/>
        <w:gridCol w:w="1372"/>
        <w:gridCol w:w="178"/>
        <w:gridCol w:w="156"/>
        <w:gridCol w:w="226"/>
        <w:gridCol w:w="902"/>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Minimum Rental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Leases </w:t>
            </w:r>
            <w:r>
              <w:rPr>
                <w:rFonts w:ascii="Times New Roman" w:hAnsi="Times New Roman"/>
                <w:b/>
                <w:color w:val="000000"/>
                <w:sz w:val="13"/>
              </w:rPr>
              <w:t>(a)</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Finance </w:t>
              <w:br/>
              <w:t>Leases</w:t>
            </w:r>
            <w:r>
              <w:rPr>
                <w:rFonts w:ascii="Times New Roman" w:hAnsi="Times New Roman"/>
                <w:color w:val="000000"/>
                <w:sz w:val="20"/>
              </w:rPr>
              <w:t> </w:t>
            </w:r>
            <w:r>
              <w:rPr>
                <w:rFonts w:ascii="Times New Roman" w:hAnsi="Times New Roman"/>
                <w:b/>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60" w:after="200"/>
        <w:jc w:val="left"/>
        <w:rPr>
          <w:rFonts w:ascii="Times New Roman" w:hAnsi="Times New Roman"/>
          <w:color w:val="000000"/>
          <w:sz w:val="16"/>
        </w:rPr>
      </w:pPr>
      <w:r>
        <w:rPr>
          <w:rFonts w:ascii="Times New Roman" w:hAnsi="Times New Roman"/>
          <w:color w:val="000000"/>
          <w:sz w:val="16"/>
        </w:rPr>
        <w:t>(a)</w:t>
      </w:r>
    </w:p>
    <w:p>
      <w:pPr>
        <w:pStyle w:val="TextBody"/>
        <w:bidi w:val="0"/>
        <w:spacing w:before="60" w:after="200"/>
        <w:jc w:val="left"/>
        <w:rPr>
          <w:rFonts w:ascii="Times New Roman" w:hAnsi="Times New Roman"/>
          <w:sz w:val="20"/>
        </w:rPr>
      </w:pPr>
      <w:r>
        <w:rPr>
          <w:rFonts w:ascii="Times New Roman" w:hAnsi="Times New Roman"/>
          <w:color w:val="000000"/>
          <w:sz w:val="16"/>
        </w:rPr>
        <w:t>Minimum rental payments include $5.7</w:t>
      </w:r>
      <w:r>
        <w:rPr>
          <w:rFonts w:ascii="Times New Roman" w:hAnsi="Times New Roman"/>
          <w:color w:val="000000"/>
          <w:sz w:val="20"/>
        </w:rPr>
        <w:t xml:space="preserve"> </w:t>
      </w:r>
      <w:r>
        <w:rPr>
          <w:rFonts w:ascii="Times New Roman" w:hAnsi="Times New Roman"/>
          <w:color w:val="000000"/>
          <w:sz w:val="16"/>
        </w:rPr>
        <w:t>million of interest related to operating leases and $127.7</w:t>
      </w:r>
      <w:r>
        <w:rPr>
          <w:rFonts w:ascii="Times New Roman" w:hAnsi="Times New Roman"/>
          <w:color w:val="000000"/>
          <w:sz w:val="20"/>
        </w:rPr>
        <w:t xml:space="preserve"> </w:t>
      </w:r>
      <w:r>
        <w:rPr>
          <w:rFonts w:ascii="Times New Roman" w:hAnsi="Times New Roman"/>
          <w:color w:val="000000"/>
          <w:sz w:val="16"/>
        </w:rPr>
        <w:t>million related to finance leases. These amounts exclude lease renewal options that are not reasonably certain to be exercised.</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summarizes additional lease cost information for the Company’s lessee arrangements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39"/>
        <w:gridCol w:w="282"/>
        <w:gridCol w:w="766"/>
        <w:gridCol w:w="195"/>
        <w:gridCol w:w="195"/>
        <w:gridCol w:w="282"/>
        <w:gridCol w:w="766"/>
        <w:gridCol w:w="146"/>
        <w:gridCol w:w="146"/>
        <w:gridCol w:w="229"/>
        <w:gridCol w:w="621"/>
        <w:gridCol w:w="158"/>
        <w:gridCol w:w="158"/>
        <w:gridCol w:w="229"/>
        <w:gridCol w:w="621"/>
        <w:gridCol w:w="158"/>
        <w:gridCol w:w="214"/>
      </w:tblGrid>
      <w:tr>
        <w:trPr/>
        <w:tc>
          <w:tcPr>
            <w:tcW w:w="50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Subtotal</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1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operating lease obligations - operating activities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interest on finance lease obligations - operating activities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finance lease obligations - financing activities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74" w:type="dxa"/>
        <w:jc w:val="left"/>
        <w:tblInd w:w="0" w:type="dxa"/>
        <w:tblLayout w:type="fixed"/>
        <w:tblCellMar>
          <w:top w:w="28" w:type="dxa"/>
          <w:left w:w="28" w:type="dxa"/>
          <w:bottom w:w="28" w:type="dxa"/>
          <w:right w:w="28" w:type="dxa"/>
        </w:tblCellMar>
      </w:tblPr>
      <w:tblGrid>
        <w:gridCol w:w="5371"/>
        <w:gridCol w:w="146"/>
        <w:gridCol w:w="146"/>
        <w:gridCol w:w="466"/>
        <w:gridCol w:w="271"/>
        <w:gridCol w:w="146"/>
        <w:gridCol w:w="146"/>
        <w:gridCol w:w="466"/>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2025, the Company entered into a new corporate office lease and recorded a right-of-use assets - operating lease and corresponding lease liability - operating lease of $2.1 million.</w:t>
      </w:r>
    </w:p>
    <w:p>
      <w:pPr>
        <w:pStyle w:val="TextBody"/>
        <w:bidi w:val="0"/>
        <w:spacing w:before="240" w:after="283"/>
        <w:jc w:val="left"/>
        <w:rPr>
          <w:rFonts w:ascii="Times New Roman" w:hAnsi="Times New Roman"/>
          <w:b/>
          <w:color w:val="000000"/>
          <w:sz w:val="20"/>
        </w:rPr>
      </w:pPr>
      <w:bookmarkStart w:id="21" w:name="n12_segment_reporting"/>
      <w:bookmarkEnd w:id="21"/>
      <w:r>
        <w:rPr>
          <w:rFonts w:ascii="Times New Roman" w:hAnsi="Times New Roman"/>
          <w:b/>
          <w:color w:val="000000"/>
          <w:sz w:val="20"/>
        </w:rPr>
        <w:t>12.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identified three reportable segments: REIT Portfolio, Investment Management and Structured Financing. The Company’s Chief Operating Decision Maker (“CODM”), its Chief Executive Officer, evaluates the performance of these segments and allocates resources based on financial information presented at the segment level. The CODM primarily uses net income as the key measure of segment profitability, as it reflects a comprehensive view of the segments’ financial performance, including all revenues and expenses.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pPr>
      <w:r>
        <w:rPr>
          <w:rFonts w:ascii="Times New Roman" w:hAnsi="Times New Roman"/>
          <w:color w:val="000000"/>
          <w:sz w:val="20"/>
        </w:rPr>
        <w:t>The Company’s REIT Portfolio segment consists primarily of high-quality retail properties located primarily in high-barrier-to-entry, densely-populated metropolitan areas with a long-term investment horizon. The Company’s Investment Management segment holds primarily retail real estate in which the Company co-invests with high-quality institutional investors. The Company’s Structured Financing segment consists of earnings and expenses related to notes and mortgages receivable (</w:t>
      </w:r>
      <w:hyperlink w:anchor="n3_notes_receivable_net">
        <w:r>
          <w:rPr>
            <w:rStyle w:val="InternetLink"/>
            <w:rFonts w:ascii="Times New Roman" w:hAnsi="Times New Roman"/>
            <w:color w:val="0000FF"/>
            <w:sz w:val="20"/>
            <w:u w:val="single"/>
          </w:rPr>
          <w:t>Note 3</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Fees earned by the Company as the general partner or managing member through consolidated Investment Management entities are eliminated in the Company’s Condensed Consolidated Financial Statements and are not presented in the Company’s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selected financial information for each reportable segment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378"/>
        <w:gridCol w:w="146"/>
        <w:gridCol w:w="211"/>
        <w:gridCol w:w="736"/>
        <w:gridCol w:w="166"/>
        <w:gridCol w:w="146"/>
        <w:gridCol w:w="270"/>
        <w:gridCol w:w="946"/>
        <w:gridCol w:w="166"/>
        <w:gridCol w:w="146"/>
        <w:gridCol w:w="271"/>
        <w:gridCol w:w="735"/>
        <w:gridCol w:w="146"/>
        <w:gridCol w:w="146"/>
        <w:gridCol w:w="250"/>
        <w:gridCol w:w="876"/>
        <w:gridCol w:w="166"/>
        <w:gridCol w:w="146"/>
        <w:gridCol w:w="211"/>
        <w:gridCol w:w="736"/>
        <w:gridCol w:w="211"/>
      </w:tblGrid>
      <w:tr>
        <w:trPr/>
        <w:tc>
          <w:tcPr>
            <w:tcW w:w="3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(losses)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378"/>
        <w:gridCol w:w="146"/>
        <w:gridCol w:w="211"/>
        <w:gridCol w:w="736"/>
        <w:gridCol w:w="166"/>
        <w:gridCol w:w="146"/>
        <w:gridCol w:w="270"/>
        <w:gridCol w:w="946"/>
        <w:gridCol w:w="166"/>
        <w:gridCol w:w="146"/>
        <w:gridCol w:w="271"/>
        <w:gridCol w:w="735"/>
        <w:gridCol w:w="146"/>
        <w:gridCol w:w="146"/>
        <w:gridCol w:w="250"/>
        <w:gridCol w:w="876"/>
        <w:gridCol w:w="166"/>
        <w:gridCol w:w="146"/>
        <w:gridCol w:w="211"/>
        <w:gridCol w:w="736"/>
        <w:gridCol w:w="211"/>
      </w:tblGrid>
      <w:tr>
        <w:trPr/>
        <w:tc>
          <w:tcPr>
            <w:tcW w:w="3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88"/>
        <w:gridCol w:w="146"/>
        <w:gridCol w:w="211"/>
        <w:gridCol w:w="931"/>
        <w:gridCol w:w="166"/>
        <w:gridCol w:w="146"/>
        <w:gridCol w:w="224"/>
        <w:gridCol w:w="992"/>
        <w:gridCol w:w="166"/>
        <w:gridCol w:w="146"/>
        <w:gridCol w:w="213"/>
        <w:gridCol w:w="793"/>
        <w:gridCol w:w="146"/>
        <w:gridCol w:w="146"/>
        <w:gridCol w:w="250"/>
        <w:gridCol w:w="876"/>
        <w:gridCol w:w="166"/>
        <w:gridCol w:w="146"/>
        <w:gridCol w:w="211"/>
        <w:gridCol w:w="931"/>
        <w:gridCol w:w="211"/>
      </w:tblGrid>
      <w:tr>
        <w:trPr/>
        <w:tc>
          <w:tcPr>
            <w:tcW w:w="2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or for the 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(losses)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161,941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Real estate at cost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4,876,473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assets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4,617,507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acquisition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development and property improvement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88"/>
        <w:gridCol w:w="146"/>
        <w:gridCol w:w="211"/>
        <w:gridCol w:w="931"/>
        <w:gridCol w:w="166"/>
        <w:gridCol w:w="146"/>
        <w:gridCol w:w="224"/>
        <w:gridCol w:w="992"/>
        <w:gridCol w:w="166"/>
        <w:gridCol w:w="146"/>
        <w:gridCol w:w="213"/>
        <w:gridCol w:w="793"/>
        <w:gridCol w:w="146"/>
        <w:gridCol w:w="146"/>
        <w:gridCol w:w="250"/>
        <w:gridCol w:w="876"/>
        <w:gridCol w:w="166"/>
        <w:gridCol w:w="146"/>
        <w:gridCol w:w="211"/>
        <w:gridCol w:w="931"/>
        <w:gridCol w:w="211"/>
      </w:tblGrid>
      <w:tr>
        <w:trPr/>
        <w:tc>
          <w:tcPr>
            <w:tcW w:w="2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or for the 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16,084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at cost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5,096,641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assets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4,875,569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acquisition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development and property improvement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sz w:val="20"/>
        </w:rPr>
      </w:pPr>
      <w:r>
        <w:rPr>
          <w:rFonts w:ascii="Times New Roman" w:hAnsi="Times New Roman"/>
          <w:color w:val="000000"/>
          <w:sz w:val="16"/>
        </w:rPr>
        <w:t>Total assets for the Investment Management segment include $516.1</w:t>
      </w:r>
      <w:r>
        <w:rPr>
          <w:rFonts w:ascii="Times New Roman" w:hAnsi="Times New Roman"/>
          <w:color w:val="000000"/>
          <w:sz w:val="20"/>
        </w:rPr>
        <w:t xml:space="preserve"> </w:t>
      </w:r>
      <w:r>
        <w:rPr>
          <w:rFonts w:ascii="Times New Roman" w:hAnsi="Times New Roman"/>
          <w:color w:val="000000"/>
          <w:sz w:val="16"/>
        </w:rPr>
        <w:t>million and $533.7</w:t>
      </w:r>
      <w:r>
        <w:rPr>
          <w:rFonts w:ascii="Times New Roman" w:hAnsi="Times New Roman"/>
          <w:color w:val="000000"/>
          <w:sz w:val="20"/>
        </w:rPr>
        <w:t xml:space="preserve"> </w:t>
      </w:r>
      <w:r>
        <w:rPr>
          <w:rFonts w:ascii="Times New Roman" w:hAnsi="Times New Roman"/>
          <w:color w:val="000000"/>
          <w:sz w:val="16"/>
        </w:rPr>
        <w:t>million related to Fund II’s City Point property as of June 30, 2026 and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bookmarkStart w:id="22" w:name="n13_share_incentive_or_compensation"/>
      <w:bookmarkEnd w:id="22"/>
      <w:r>
        <w:rPr>
          <w:rFonts w:ascii="Times New Roman" w:hAnsi="Times New Roman"/>
          <w:b/>
          <w:color w:val="000000"/>
          <w:sz w:val="20"/>
        </w:rPr>
        <w:t>13. Share Incentive and Other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and Restated 2020 Share Incentive Plan (the “Amended and Restated 2020 Plan”), as approved by the Board and the Company’s shareholders, authorizes the issuance of up to 3,883,564 Common Shares. The Amended and Restated 2020 Plan allows for the issuance of options, Restricted Shares, LTIP Units, and other securities (collectively, the “Awards”) to, among others, the Company’s officers, trustees, and employees. As of June 30, 2026 a total of 1,269,950 shares remained available for issuance under the Amended and Restated 2020 Plan.</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June 30, 2026, there was $27.3 million of total unrecognized compensation cost related to unvested share-based compensation arrangements granted under the Amended and Restated 2020 Plan. That cost is expected to be recognized over a weighted-average period of 1.6 years.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total fair value of Restricted Shares that vested during the six months ended June 30, 2026 and the year ended December 31, 2025, was $0.7 million and $0.7 million, respectively. The total fair value of LTIP Units that vested (LTIP units vest primarily during the first quarter) during the six months ended June 30, 2026 and the year ended December 31, 2025, was $15.6 million and $9.9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issued 593,577 time-based LTIP Units and 25,350 time-based restricted share units (“Restricted Share Units”), to employees of the Company pursuant to the Amended and Restated 2020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awarded 360,666 performance-based LTIP Units and 368 performance-based Restricted Share Units. These awards were measured at their fair value on the grant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valuation of the 2026 and 2025 performance-based award grants, a Monte Carlo simulation was used to estimate the fair values of the grants. The assumptions include volatility (24.0% and 29.0%) and risk-free interest rates (3.6% and 4.4%) for 2026 and 2025, respectively. The total fair value of the 2026 and 2025 grants will be expensed on a graded vesting basis over the vesting period of the award.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weighted-average grant date fair value for Restricted Shares and LTIP Units granted for the six months ended June 30, 2026 and the year ended December 31, 2025 were $17.33 and $21.29, respectively. The total fair value of the above Restricted Share Units and LTIP Units as of the grant date was $15.2 million for the six months ended June 30, 2026 and $14.7 million for the year ended December 31, 2025. Total long-term incentive compensation expense, including the expense related to the Amended and Restated 2020 Plan, was $3.0 million and $2.9 million for the three months ended June 30, 2026 and 2025, respectively, and was $9.3 million and $5.3 million for the six months ended June 30, 2026 and 2025, respectively, and is recorded in General and administrative expenses in the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members of the Board have been issued shares and units under the Amended and Restated 2020 Plan. During the six months ended June 30, 2026, the Company issued 29,202 LTIP Units and 21,954 Restricted Share Units to Trustees of the Company. Total trustee fee expense, including the expense related to the Amended and Restated 2020 Plan, was $0.4 million and $0.4 million for the three months ended June 30, 2026 and 2025, respectively, and $0.8 million and $0.7 million for the six months ended June 30, 2026 and 2025, respectively, and is recorded in General and administrative expenses in the Condensed Consolidated Statements of Operations. </w:t>
      </w:r>
    </w:p>
    <w:p>
      <w:pPr>
        <w:pStyle w:val="TextBody"/>
        <w:bidi w:val="0"/>
        <w:spacing w:before="240" w:after="283"/>
        <w:jc w:val="left"/>
        <w:rPr>
          <w:rFonts w:ascii="Times New Roman" w:hAnsi="Times New Roman"/>
          <w:b/>
          <w:color w:val="000000"/>
          <w:sz w:val="20"/>
        </w:rPr>
      </w:pPr>
      <w:bookmarkStart w:id="23" w:name="n14_earnings_per_common_share"/>
      <w:bookmarkEnd w:id="23"/>
      <w:r>
        <w:rPr>
          <w:rFonts w:ascii="Times New Roman" w:hAnsi="Times New Roman"/>
          <w:b/>
          <w:color w:val="000000"/>
          <w:sz w:val="20"/>
        </w:rPr>
        <w:t>14. Earnings Per Common Share</w:t>
      </w:r>
    </w:p>
    <w:p>
      <w:pPr>
        <w:pStyle w:val="TextBody"/>
        <w:bidi w:val="0"/>
        <w:jc w:val="left"/>
        <w:rPr/>
      </w:pPr>
      <w:r>
        <w:rPr/>
        <w:t> </w:t>
      </w:r>
    </w:p>
    <w:p>
      <w:pPr>
        <w:pStyle w:val="TextBody"/>
        <w:bidi w:val="0"/>
        <w:jc w:val="both"/>
        <w:rPr/>
      </w:pPr>
      <w:r>
        <w:rPr>
          <w:rFonts w:ascii="Times New Roman" w:hAnsi="Times New Roman"/>
          <w:color w:val="000000"/>
          <w:sz w:val="20"/>
        </w:rPr>
        <w:t>The Company’s unvested LTIP Units are entitled to non-forfeitable dividend equivalent rights and are therefore considered participating securities. Accordingly, basic earnings per Common Share is computed using the two-class method. Diluted earnings per Common Share reflects the potential dilutive effect of Restricted Share Units issued under the Company’s Amended and Restated 2020 Plan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and the shares issuable upon settlement of any outstanding forward sale agreements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calculated using the treasury stock method. The assumed conversion of Common Operating Partnership Units is excluded from both basic and diluted earnings per Common Share, as the related income is reflected as noncontrolling interests and their conversion would have no net impact on diluted earnings per Common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the Series A Preferred Operating Partnership Units were dilutive and are therefore included in the denominator for diluted earnings per Common Share. For the three and six months ended June 30, 2025, the Series A Preferred Operating Partnership Units were anti-dilutive and are therefore excluded from the computation of diluted earnings per Common Share.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(dollars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adjustment of redeemable non-controlling interest to estimated redemption value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net of income attributable to participating securities for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for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133,626,890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130,981,401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126,181,730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unvested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settlement of forward sales agreements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133,824,937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130,981,401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132,641,713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126,181,730</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 from continuing operations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 from continuing operations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Shares Excluded from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 - Common share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OP Units - Common share equivalent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under the forward sales agreement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24" w:name="n16_variable_interest_entities"/>
      <w:bookmarkEnd w:id="24"/>
      <w:r>
        <w:rPr>
          <w:rFonts w:ascii="Times New Roman" w:hAnsi="Times New Roman"/>
          <w:b/>
          <w:color w:val="000000"/>
          <w:sz w:val="20"/>
        </w:rPr>
        <w:t>15. Variable Interest Entities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consolidates certain VIEs in which it has determined it is the primary beneficiary. As of June 30, 2026, the Company had identified nine consolidated VIEs, including the Operating Partnership and the Funds.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Excluding the Operating Partnership and the Funds, the Company’s consolidated VIEs include in-service REIT Portfolio operating properties: the Williamsburg Portfolio, 239 Greenwich Avenue, 8833 Beverly Boulevard, the Renaissance Portfolio, and the Henderson Avenue Development Project. The following table presents the assets and liabilities of the consolidated VIEs included in the Condensed Consolidated Balance sheets (in thousands):</w:t>
      </w:r>
    </w:p>
    <w:p>
      <w:pPr>
        <w:pStyle w:val="TextBody"/>
        <w:bidi w:val="0"/>
        <w:jc w:val="both"/>
        <w:rPr/>
      </w:pPr>
      <w:r>
        <w:rPr/>
        <w:t> </w:t>
      </w:r>
    </w:p>
    <w:tbl>
      <w:tblPr>
        <w:tblW w:w="8340" w:type="dxa"/>
        <w:jc w:val="left"/>
        <w:tblInd w:w="0" w:type="dxa"/>
        <w:tblLayout w:type="fixed"/>
        <w:tblCellMar>
          <w:top w:w="28" w:type="dxa"/>
          <w:left w:w="28" w:type="dxa"/>
          <w:bottom w:w="28" w:type="dxa"/>
          <w:right w:w="28" w:type="dxa"/>
        </w:tblCellMar>
      </w:tblPr>
      <w:tblGrid>
        <w:gridCol w:w="4711"/>
        <w:gridCol w:w="146"/>
        <w:gridCol w:w="235"/>
        <w:gridCol w:w="1040"/>
        <w:gridCol w:w="146"/>
        <w:gridCol w:w="146"/>
        <w:gridCol w:w="318"/>
        <w:gridCol w:w="1407"/>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VIE assets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1,967,885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operating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VIE liabilities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982,280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pPr>
      <w:r>
        <w:rPr>
          <w:rFonts w:ascii="Times New Roman" w:hAnsi="Times New Roman"/>
          <w:color w:val="000000"/>
          <w:sz w:val="16"/>
        </w:rPr>
        <w:t>The Operating Partnership is joint and severally liable for the outstanding balance of the Fund IV Term Loan, which had a balance of $52.3</w:t>
      </w:r>
      <w:r>
        <w:rPr>
          <w:rFonts w:ascii="Times New Roman" w:hAnsi="Times New Roman"/>
          <w:color w:val="000000"/>
          <w:sz w:val="20"/>
        </w:rPr>
        <w:t xml:space="preserve"> </w:t>
      </w:r>
      <w:r>
        <w:rPr>
          <w:rFonts w:ascii="Times New Roman" w:hAnsi="Times New Roman"/>
          <w:color w:val="000000"/>
          <w:sz w:val="16"/>
        </w:rPr>
        <w:t>million as of June 30, 2026 (</w:t>
      </w:r>
      <w:hyperlink w:anchor="n7_debt">
        <w:r>
          <w:rPr>
            <w:rStyle w:val="InternetLink"/>
          </w:rPr>
          <w:t>Note 7</w:t>
        </w:r>
      </w:hyperlink>
      <w:r>
        <w:rPr>
          <w:rFonts w:ascii="Times New Roman" w:hAnsi="Times New Roman"/>
          <w:color w:val="0000FF"/>
          <w:sz w:val="16"/>
          <w:u w:val="single"/>
        </w:rPr>
        <w:t xml:space="preserve">, </w:t>
      </w:r>
      <w:hyperlink w:anchor="n9_commitments_contingencies">
        <w:r>
          <w:rPr>
            <w:rStyle w:val="InternetLink"/>
          </w:rPr>
          <w:t>Note 9</w:t>
        </w:r>
      </w:hyperlink>
      <w:r>
        <w:rPr>
          <w:rFonts w:ascii="Times New Roman" w:hAnsi="Times New Roman"/>
          <w:color w:val="000000"/>
          <w:sz w:val="16"/>
        </w:rPr>
        <w:t>). The remaining VIE assets are generally encumbered by third-party non-recourse mortgage debt and serve as collateral under the respective property mortgage loans. These assets are restricted and may only be used to settle the corresponding obligations of the VIEs. Similarly, the remaining VIE liabilities are obligations of these consolidated VIEs and do not have recourse to the Operating Partnership or the Company.</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Unconsolidated VIEs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had interests in two unconsolidated VIEs: 1238 Wisconsin Avenue and the Georgetown Portfolio. The Company’s investment in the assets of these unconsolidated VIEs was $41.9 million and $42.6 million, respectively. The Company’s share of the liabilities of these unconsolidated VIEs was $38.9 million and $38.9 million as of June 30, 2026 and December 31, 2025,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holds a preferred equity investment in an unconsolidated VIE with a carrying value of $82.9 million as of June 30, 2026, which represents the Company’s maximum exposure to loss.</w:t>
      </w:r>
    </w:p>
    <w:p>
      <w:pPr>
        <w:pStyle w:val="TextBody"/>
        <w:bidi w:val="0"/>
        <w:spacing w:before="240" w:after="283"/>
        <w:jc w:val="left"/>
        <w:rPr>
          <w:rFonts w:ascii="Times New Roman" w:hAnsi="Times New Roman"/>
          <w:b/>
          <w:color w:val="000000"/>
          <w:sz w:val="20"/>
        </w:rPr>
      </w:pPr>
      <w:bookmarkStart w:id="25" w:name="n15_subsequent_events"/>
      <w:bookmarkEnd w:id="25"/>
      <w:r>
        <w:rPr>
          <w:rFonts w:ascii="Times New Roman" w:hAnsi="Times New Roman"/>
          <w:b/>
          <w:color w:val="000000"/>
          <w:sz w:val="20"/>
        </w:rPr>
        <w:t>16.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2026, the Company acquired a single-tenant retail building at 8800-8804 Melrose Avenue in West Hollywood, California for $29.0 million, which was added to the REIT Portfolio. During the same period, the Company disposed of the parking garage at 1035 Third Avenue in New York, New York, a consolidated Fund IV Investment Management property, for $8.3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through its Structured Financing segment, the Company originated a note receivable and funded an initial advance of $54.0 million at closing. The note matures in July 2029, subject to extension options.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6" w:name="item_2_managements_discussion_analysis_f"/>
      <w:bookmarkEnd w:id="26"/>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Acadia Realty Trust (the “Trust”, collectively with its consolidated subsidiaries, the “Company”, “Acadia”, “we”, “us” or “our”), a Maryland real estate investment trust (“REIT”), is a fully-integrated equity REIT focused on the ownership, acquisition, development, and management of retail properties located primarily in high-barrier-to-entry, supply-constrained, densely populated metropolitan areas in the United States.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operates through two primary platforms: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REIT Portfolio</w:t>
      </w:r>
      <w:r>
        <w:rPr>
          <w:rFonts w:ascii="Times New Roman" w:hAnsi="Times New Roman"/>
          <w:color w:val="000000"/>
          <w:sz w:val="20"/>
        </w:rPr>
        <w:t>: The REIT Portfolio consists of open-air and street retail properties located in premier urban retail corridors and select suburban markets characterized by strong demographics and limited new supply. These assets generate recurring rental revenues and benefit from contractual rent escalations and leasing activity.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Investment Management (“IM”)</w:t>
      </w:r>
      <w:r>
        <w:rPr>
          <w:rFonts w:ascii="Times New Roman" w:hAnsi="Times New Roman"/>
          <w:color w:val="000000"/>
          <w:sz w:val="20"/>
        </w:rPr>
        <w:t>: Through its Investment Management platform, the Company manages opportunistic and value-add retail real estate investments through its strategic opportunity funds (Fund II, Fund III, Fund IV, and Fund V) and select co-investment ventures. While Fund III, Fund IV and Fund V currently include institutional partner capital, Fund II is presently wholly owned by the Company and is being managed within the IM platform, with the potential for future third-party capital participation. From time to time, assets previously held in the Company’s strategic opportunity funds may be recapitalized or transitioned into new joint ventures with third-party partners as part of the portfolio lifecycle, while the Company retains an ownership interest and continues its role as operator and manager. The Company earns management fees and, in certain cases, incentive-based performance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Company’s assets are held by, and all of its operations are conducted through, Acadia Realty Limited Partnership (the “Operating Partnership”) and its subsidiaries. As of June 30, 2026, the Trust controlled approximately 96% of the Operating Partnership as its sole general partner.</w:t>
      </w:r>
    </w:p>
    <w:p>
      <w:pPr>
        <w:pStyle w:val="TextBody"/>
        <w:bidi w:val="0"/>
        <w:spacing w:before="240" w:after="283"/>
        <w:jc w:val="both"/>
        <w:rPr/>
      </w:pPr>
      <w:r>
        <w:rPr>
          <w:rFonts w:ascii="Times New Roman" w:hAnsi="Times New Roman"/>
          <w:color w:val="000000"/>
          <w:sz w:val="20"/>
        </w:rPr>
        <w:t>As of June 30, 2026, the Company owned or had an ownership interest in 231 properties, including development or redevelopment projects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 xml:space="preserve">). The Company’s operating income is primarily derived from rental revenues from operating properties, including tenant expense recoveries, net of property operating and corporate overhead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 maintains a Structured Financing (“SF”) program through which it selectively invests in first mortgage loans and other real estate-backed notes.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Company’s wholly owned and partially owned retail properties and related physical occupancy as of June 30, 2026:</w:t>
      </w:r>
    </w:p>
    <w:tbl>
      <w:tblPr>
        <w:tblW w:w="9715" w:type="dxa"/>
        <w:jc w:val="left"/>
        <w:tblInd w:w="0" w:type="dxa"/>
        <w:tblLayout w:type="fixed"/>
        <w:tblCellMar>
          <w:top w:w="28" w:type="dxa"/>
          <w:left w:w="28" w:type="dxa"/>
          <w:bottom w:w="28" w:type="dxa"/>
          <w:right w:w="28" w:type="dxa"/>
        </w:tblCellMar>
      </w:tblPr>
      <w:tblGrid>
        <w:gridCol w:w="4111"/>
        <w:gridCol w:w="146"/>
        <w:gridCol w:w="408"/>
        <w:gridCol w:w="972"/>
        <w:gridCol w:w="187"/>
        <w:gridCol w:w="187"/>
        <w:gridCol w:w="239"/>
        <w:gridCol w:w="617"/>
        <w:gridCol w:w="146"/>
        <w:gridCol w:w="146"/>
        <w:gridCol w:w="146"/>
        <w:gridCol w:w="916"/>
        <w:gridCol w:w="146"/>
        <w:gridCol w:w="146"/>
        <w:gridCol w:w="203"/>
        <w:gridCol w:w="713"/>
        <w:gridCol w:w="28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Properties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Development or</w:t>
              <w:br/>
              <w:t xml:space="preserve">Redevelopment </w:t>
            </w:r>
            <w:r>
              <w:rPr>
                <w:rFonts w:ascii="Times New Roman" w:hAnsi="Times New Roman"/>
                <w:b/>
                <w:color w:val="000000"/>
                <w:sz w:val="11"/>
              </w:rPr>
              <w:t>(1)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Occupancy</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Chicago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 Angeles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San Francisco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Dallas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Washington D.C.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Boston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Florida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Suburban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3,880,285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5,411,822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3,327,308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8,683,095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REIT and 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14,094,917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REIT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7,223,380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 pre-stabilized properties in the REIT Portfolio.</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SIGNIFICANT ACTIVITIES DURING 2026</w:t>
      </w:r>
    </w:p>
    <w:p>
      <w:pPr>
        <w:pStyle w:val="TextBody"/>
        <w:bidi w:val="0"/>
        <w:jc w:val="both"/>
        <w:rPr/>
      </w:pPr>
      <w:r>
        <w:rPr>
          <w:rFonts w:ascii="Times New Roman" w:hAnsi="Times New Roman"/>
          <w:color w:val="000000"/>
          <w:sz w:val="20"/>
        </w:rPr>
        <w:t xml:space="preserve">See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 xml:space="preserve"> in the Notes to Condensed Consolidated Financial Statements for an overview of our three reportable segments: REIT Portfolio, Investment Management and Structured Financing. For purposes of the tables included below, these segments are abbreviated as “REIT”, “IM” and “SF”,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completed a number of transactions across its REIT Portfolio and Investment Management segments reflecting continued portfolio growth and deepening of relationships with key institutional partners.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REIT Portfolio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REIT Portfolio, the Company continued to selectively deploy capital into retail assets located in established, high-barrier markets. During six months ended June 30, 2026, the Company completed consolidated acquisitions totaling approximately $198.4 million,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$110.2 million acquisition of retail condominium units at 4-6 and 28 Newbury Street in Boston, 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$43.5 million acquisition of retail units at 225 Worth Avenue in Palm Beach, Florida;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$21.3 million acquisition of retail condominium units at 1045 and 1165 Madison Avenue in New York 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$9.6 million acquisition of a retail unit at 129 Fifth Avenue in New York 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$9.5 million strategic add-on acquisition of ground-lease interests at Rhode Island Place in Washington, D.C.;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 million strategic add-on acquisition of a retail property and residential units at 846 West Armitage Avenue in Chicago.</w:t>
      </w:r>
    </w:p>
    <w:p>
      <w:pPr>
        <w:pStyle w:val="TextBody"/>
        <w:bidi w:val="0"/>
        <w:jc w:val="left"/>
        <w:rPr/>
      </w:pPr>
      <w:r>
        <w:rPr/>
        <w:t> </w:t>
      </w:r>
    </w:p>
    <w:p>
      <w:pPr>
        <w:pStyle w:val="TextBody"/>
        <w:bidi w:val="0"/>
        <w:jc w:val="left"/>
        <w:rPr/>
      </w:pPr>
      <w:r>
        <w:rPr>
          <w:rFonts w:ascii="Times New Roman" w:hAnsi="Times New Roman"/>
          <w:color w:val="000000"/>
          <w:sz w:val="20"/>
        </w:rPr>
        <w:t>These acquisitions were integrated into the Company’s existing REIT Portfolio and are consolidated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left"/>
        <w:rPr/>
      </w:pPr>
      <w:r>
        <w:rPr/>
        <w:t> </w:t>
      </w:r>
    </w:p>
    <w:p>
      <w:pPr>
        <w:pStyle w:val="TextBody"/>
        <w:bidi w:val="0"/>
        <w:jc w:val="both"/>
        <w:rPr/>
      </w:pPr>
      <w:r>
        <w:rPr>
          <w:rFonts w:ascii="Times New Roman" w:hAnsi="Times New Roman"/>
          <w:color w:val="000000"/>
          <w:sz w:val="20"/>
        </w:rPr>
        <w:t>In July 2026, the Company acquired a single-tenant retail building at 8800-8804 Melrose Avenue in West Hollywood, California for $29.0 million, which was added to the REIT Portfolio. During the same period, the Company disposed of the parking garage at 1035 Third Avenue in New York, New York, a consolidated Fund IV Investment Management property, for $8.3 million (</w:t>
      </w:r>
      <w:hyperlink w:anchor="n15_subsequent_events">
        <w:r>
          <w:rPr>
            <w:rStyle w:val="InternetLink"/>
            <w:rFonts w:ascii="Times New Roman" w:hAnsi="Times New Roman"/>
            <w:color w:val="0000FF"/>
            <w:sz w:val="20"/>
            <w:u w:val="single"/>
          </w:rPr>
          <w:t>Note 16</w:t>
        </w:r>
      </w:hyperlink>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Management</w:t>
      </w:r>
    </w:p>
    <w:p>
      <w:pPr>
        <w:pStyle w:val="TextBody"/>
        <w:bidi w:val="0"/>
        <w:jc w:val="both"/>
        <w:rPr/>
      </w:pPr>
      <w:r>
        <w:rPr/>
        <w:t> </w:t>
      </w:r>
    </w:p>
    <w:p>
      <w:pPr>
        <w:pStyle w:val="TextBody"/>
        <w:bidi w:val="0"/>
        <w:jc w:val="both"/>
        <w:rPr/>
      </w:pPr>
      <w:r>
        <w:rPr>
          <w:rFonts w:ascii="Times New Roman" w:hAnsi="Times New Roman"/>
          <w:color w:val="000000"/>
          <w:sz w:val="20"/>
        </w:rPr>
        <w:t>During the six months ended June 30, 2026, the Company completed several transactions through its Investment Management segment, consisting of equity investments in unconsolidated joint ventures and recapitalizations of existing assets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xml:space="preserve">,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acquired a 20% equity interest in a joint venture that purchased the Shops at Skyview, a retail shopping center located in Queens, New York, for a total purchase price of $424.1 million. At closing, the joint venture secured a mortgage loan with a total commitment of $290.0 million, of which $277.0 million was funded at closing. Additionally, the Company provided a preferred equity investment of approximately $41.7 million. The Company’s equity contribution to the joint venture totaled approximately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2026, the Company completed a $435.8 million recapitalization of a seven-property, open-air retail portfolio. Six of the properties were previously held in Fund V, while one property (Avenue at West Cobb) was previously held in the Company’s wholly-owned portfolio. In connection with the transaction, the properties were contributed to two newly formed joint ventures and the Company retained a 20% non-controlling equity interest. Additionally, the Company provided seller financing to the Atlantic Portfolio joint venture in the form of a $27.5 million preferred equity investment. The transaction resulted in the deconsolidation of the properties and the recognition of a gain on disposition and deconsolidation of $112.3 million, of which the Company’s proportionate share was $22.1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the Company completed a recapitalization of Pinewood Square, an open-air retail center in Lake Worth, Florida, with a gross transaction value of $68.4 million. The property was contributed to a newly formed joint venture, with the Company retaining a 20% non-controlling equity interest. The transaction resulted in the deconsolidation of the property and the recognition of a gain on deconsolidation of $4.1 million. </w:t>
      </w:r>
    </w:p>
    <w:p>
      <w:pPr>
        <w:pStyle w:val="TextBody"/>
        <w:bidi w:val="0"/>
        <w:jc w:val="both"/>
        <w:rPr/>
      </w:pPr>
      <w:r>
        <w:rPr/>
        <w:t> </w:t>
      </w:r>
    </w:p>
    <w:p>
      <w:pPr>
        <w:pStyle w:val="TextBody"/>
        <w:bidi w:val="0"/>
        <w:jc w:val="both"/>
        <w:rPr/>
      </w:pPr>
      <w:r>
        <w:rPr>
          <w:rFonts w:ascii="Times New Roman" w:hAnsi="Times New Roman"/>
          <w:color w:val="000000"/>
          <w:sz w:val="20"/>
        </w:rPr>
        <w:t>During the six months ended June 30, 2026, the Company completed consolidated property dispositions within its Investment Management platform totaling approximately $128.1 million, including the sale of Landstown Commons for $102.0 million, the sale of 1964 Union Street for $2.6 million and the sale of New Towne Center for $23.5 million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0"/>
        </w:rPr>
        <w:t>During the six months ended June 30, 2026, the Company completed unconsolidated property dispositions within its Investment Management platform totaling approximately $83.0 million, including the sale of 650 Bald Hill Road for $20.5 million, and the sale of Tri-City Plaza for $62.5 million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transactions reflect the Company’s continued execution of its strategic objectives, including portfolio growth, balance sheet optimization, and the expansion of its Investment Management platform.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Financing and Capital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Investment Management disposition and recapitalization activity, the Company retired approximately $334.3 million of property-level mortgage loans associated with assets sold or contributed to joint ventures. The Company also terminated related interest rate hedges in conjunction with these repayments.</w:t>
      </w:r>
    </w:p>
    <w:p>
      <w:pPr>
        <w:pStyle w:val="TextBody"/>
        <w:bidi w:val="0"/>
        <w:spacing w:before="240" w:after="283"/>
        <w:jc w:val="both"/>
        <w:rPr/>
      </w:pPr>
      <w:r>
        <w:rPr>
          <w:rFonts w:ascii="Times New Roman" w:hAnsi="Times New Roman"/>
          <w:color w:val="000000"/>
          <w:sz w:val="20"/>
        </w:rPr>
        <w:t>On April 17, 2026, we entered into the Fourth Amended and Restated Credit Facility, which extended the maturity of our $525.0 million revolving credit facility (the size of which remained unchanged) from April 15, 2028 to April 17, 2030 (subject to two six-month extension options), increased our existing $400.0 million term loan to $512.5 million and extended its maturity from April 15, 2028 to April 17, 2031, and provided for a new $137.5 million term loan maturing April 17, 2031. The existing $250.0 million term loan maturing May 29, 2030 remained unchanged. The Fourth Amended and Restated Credit Facility also includes an accordion feature permitting the Operating Partnership, at its option and subject to customary conditions, to increase total capacity to up to $2.0 billion. We believe the refinancing extended our weighted average debt maturity and enhanced our liquidity position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Share Activity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11, 2026, we completed a forward equity offering of 9,000,000 Common Shares at an initial forward sale price of $21.80 per share. In July 2026, the underwriters partially exercised their over-allotment option for an additional 242,996 Common Shares. We did not receive any proceeds at the time of the offering and related underwriters’ option exercise; upon settlement of the forward sale agreements, which must occur within one-year of the effective date, we expect to receive net proceeds of approximately $201.1 million, which we intend to use to fund acquisition opportunities, repay outstanding indebtedness, and for general corporate purposes. We believe the offering provides additional flexibility to manage the timing of our capital raising activities relative to our capital needs.</w:t>
      </w:r>
    </w:p>
    <w:p>
      <w:pPr>
        <w:pStyle w:val="TextBody"/>
        <w:bidi w:val="0"/>
        <w:spacing w:before="200" w:after="283"/>
        <w:jc w:val="both"/>
        <w:rPr/>
      </w:pPr>
      <w:r>
        <w:rPr>
          <w:rFonts w:ascii="Times New Roman" w:hAnsi="Times New Roman"/>
          <w:color w:val="000000"/>
          <w:sz w:val="20"/>
        </w:rPr>
        <w:t>During the six months ended June 30, 2026, we settled 6,209,562 outstanding forward shares under the Company’s $500.0 million “at-the-market” program (the “ATM Program”) and received proceeds of $128.0 million. This included settlements of $55.9 million in March and $72.1 million in June. Proceeds were used to reduce outstanding borrowings and fund investment activity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Economic and Other Considerations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Macroeconomic conditions, including inflationary pressures, elevated energy prices, higher interest rates, and broader geopolitical developments, continue to present risks for our business and the businesses of our tenants. While inflation has moderated from prior periods, certain operating and capital costs remain elevated. However, the majority of our leases include contractual rent escalations and expense recovery provisions, which help mitigate the impact of inflation on operating results. We also seek to manage operating expenses through cost-conscious property management practices and the use of multi-year service contracts where appropriate. </w:t>
      </w:r>
    </w:p>
    <w:p>
      <w:pPr>
        <w:pStyle w:val="TextBody"/>
        <w:bidi w:val="0"/>
        <w:spacing w:before="200" w:after="283"/>
        <w:jc w:val="both"/>
        <w:rPr/>
      </w:pPr>
      <w:r>
        <w:rPr>
          <w:rFonts w:ascii="Times New Roman" w:hAnsi="Times New Roman"/>
          <w:color w:val="000000"/>
          <w:sz w:val="20"/>
        </w:rPr>
        <w:t xml:space="preserve">We seek to drive value across our portfolio through leasing momentum, active development and redevelopment projects, and strategic deployment of capital into high-quality assets. The Company manages its exposure to interest rate fluctuations primarily through the use of fixed-rate debt and interest rate derivative instruments, including interest rate swaps and caps that are designated as hedging instruments </w:t>
      </w:r>
      <w:hyperlink w:anchor="n8_financial_instruments_fair_value_meas">
        <w:r>
          <w:rPr>
            <w:rStyle w:val="InternetLink"/>
            <w:rFonts w:ascii="Times New Roman" w:hAnsi="Times New Roman"/>
            <w:color w:val="0000FF"/>
            <w:sz w:val="20"/>
            <w:u w:val="single"/>
          </w:rPr>
          <w:t>(Note 8</w:t>
        </w:r>
      </w:hyperlink>
      <w:r>
        <w:rPr>
          <w:rFonts w:ascii="Times New Roman" w:hAnsi="Times New Roman"/>
          <w:color w:val="000000"/>
          <w:sz w:val="20"/>
        </w:rPr>
        <w:t>). While higher interest rates have increased borrowing costs, we believe our capital structure and hedging strategy provide meaningful protection against interest rate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evolving trade policies, tariffs, sanctions and related geopolitical developments could impact certain tenants’ operations or consumer demand in our markets. The ultimate impact of these factors remains uncertain, and the Company continues to monitor these developments closely.</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Comparison of Results for the</w:t>
      </w:r>
      <w:r>
        <w:rPr>
          <w:rFonts w:ascii="Times New Roman" w:hAnsi="Times New Roman"/>
          <w:color w:val="000000"/>
          <w:sz w:val="20"/>
        </w:rPr>
        <w:t xml:space="preserve"> </w:t>
      </w:r>
      <w:r>
        <w:rPr>
          <w:rFonts w:ascii="Times New Roman" w:hAnsi="Times New Roman"/>
          <w:b/>
          <w:i/>
          <w:color w:val="000000"/>
          <w:sz w:val="20"/>
        </w:rPr>
        <w:t>Three Months Ended June 30, 2026</w:t>
      </w:r>
      <w:r>
        <w:rPr>
          <w:rFonts w:ascii="Times New Roman" w:hAnsi="Times New Roman"/>
          <w:color w:val="000000"/>
          <w:sz w:val="20"/>
        </w:rPr>
        <w:t xml:space="preserve"> </w:t>
      </w:r>
      <w:r>
        <w:rPr>
          <w:rFonts w:ascii="Times New Roman" w:hAnsi="Times New Roman"/>
          <w:b/>
          <w:i/>
          <w:color w:val="000000"/>
          <w:sz w:val="20"/>
        </w:rPr>
        <w:t>to the</w:t>
      </w:r>
      <w:r>
        <w:rPr>
          <w:rFonts w:ascii="Times New Roman" w:hAnsi="Times New Roman"/>
          <w:color w:val="000000"/>
          <w:sz w:val="20"/>
        </w:rPr>
        <w:t xml:space="preserve"> </w:t>
      </w:r>
      <w:r>
        <w:rPr>
          <w:rFonts w:ascii="Times New Roman" w:hAnsi="Times New Roman"/>
          <w:b/>
          <w:i/>
          <w:color w:val="000000"/>
          <w:sz w:val="20"/>
        </w:rPr>
        <w:t>Three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operations by reportable segment for the three months ended June 30, 2026 compared to the three months ended June 30, 2025 are summarized in the table below (in millions, totals may not add due to rounding):</w:t>
      </w:r>
    </w:p>
    <w:p>
      <w:pPr>
        <w:pStyle w:val="TextBody"/>
        <w:bidi w:val="0"/>
        <w:spacing w:before="120" w:after="283"/>
        <w:jc w:val="both"/>
        <w:rPr/>
      </w:pPr>
      <w:r>
        <w:rPr/>
        <w:t> </w:t>
      </w:r>
    </w:p>
    <w:tbl>
      <w:tblPr>
        <w:tblW w:w="12594" w:type="dxa"/>
        <w:jc w:val="left"/>
        <w:tblInd w:w="0" w:type="dxa"/>
        <w:tblLayout w:type="fixed"/>
        <w:tblCellMar>
          <w:top w:w="28" w:type="dxa"/>
          <w:left w:w="28" w:type="dxa"/>
          <w:bottom w:w="28" w:type="dxa"/>
          <w:right w:w="28" w:type="dxa"/>
        </w:tblCellMar>
      </w:tblPr>
      <w:tblGrid>
        <w:gridCol w:w="1171"/>
        <w:gridCol w:w="146"/>
        <w:gridCol w:w="196"/>
        <w:gridCol w:w="481"/>
        <w:gridCol w:w="166"/>
        <w:gridCol w:w="146"/>
        <w:gridCol w:w="196"/>
        <w:gridCol w:w="481"/>
        <w:gridCol w:w="166"/>
        <w:gridCol w:w="146"/>
        <w:gridCol w:w="196"/>
        <w:gridCol w:w="346"/>
        <w:gridCol w:w="146"/>
        <w:gridCol w:w="146"/>
        <w:gridCol w:w="196"/>
        <w:gridCol w:w="481"/>
        <w:gridCol w:w="166"/>
        <w:gridCol w:w="146"/>
        <w:gridCol w:w="196"/>
        <w:gridCol w:w="481"/>
        <w:gridCol w:w="166"/>
        <w:gridCol w:w="146"/>
        <w:gridCol w:w="196"/>
        <w:gridCol w:w="481"/>
        <w:gridCol w:w="166"/>
        <w:gridCol w:w="146"/>
        <w:gridCol w:w="196"/>
        <w:gridCol w:w="346"/>
        <w:gridCol w:w="146"/>
        <w:gridCol w:w="146"/>
        <w:gridCol w:w="196"/>
        <w:gridCol w:w="481"/>
        <w:gridCol w:w="166"/>
        <w:gridCol w:w="146"/>
        <w:gridCol w:w="196"/>
        <w:gridCol w:w="391"/>
        <w:gridCol w:w="166"/>
        <w:gridCol w:w="146"/>
        <w:gridCol w:w="196"/>
        <w:gridCol w:w="481"/>
        <w:gridCol w:w="166"/>
        <w:gridCol w:w="146"/>
        <w:gridCol w:w="196"/>
        <w:gridCol w:w="391"/>
        <w:gridCol w:w="166"/>
        <w:gridCol w:w="146"/>
        <w:gridCol w:w="196"/>
        <w:gridCol w:w="48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(loss)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(losses)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REIT Portfolio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income attributable to Acadia shareholders for the REIT Portfolio increased $1.9 million compared to the prior 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Rental revenue increased $8.2 million, primarily reflecting $4.5 million from acquisitions completed during 2025 and 2026 and $3.0 million from tenant lease-up activity.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and amortization increased $1.6 million, property operating expenses increased $1.4 million, and real estate taxes increased $1.2 million, primarily due to new property acquisitions in 2026 and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increased $2.5 million, primarily due to higher average outstanding borrowings associated with acquisitions completed during 2025 and 2026.</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 amounts below are consolidated amounts and are not representative of our proportionate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income attributable to Acadia shareholders for Investment Management increased $7.5 million compared to the prior 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Rental revenue decreased $15.4 million primarily due to reduced rental income following property dispositions and recapitalization activity within Fund V completed in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revenue increased $1.5 million primarily due to higher fee income from acquisitions completed during 2025 and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and amortization, property operating expenses and real estate taxes decreased $5.6 million, $1.8 million, and $1.8 million, respectively, primarily due to the Fund V recapitalization and the disposition of Landstown Commons in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Equity in earnings of unconsolidated affiliates increased $17.7 million primarily due to the gain on sale of Tri-City Plaza, and gain on disposition of properties increased $4.4 million primarily due to the sale of New Towne Center, both completed in 2026.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Results also benefited from the absence of an $18.2 million impairment charge recognized in the prior 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decreased $5.9 million, primarily due to the Fund V recapitalization and disposition activity completed in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attributable to noncontrolling interests increased $33.3 million reflecting the noncontrolling interests' share of the variances discussed above. Net income attributable to noncontrolling interests in Investment Management includes asset management fees earned by the Company of $1.7 million for the three months ended June 30, 2026, compared to $2.4 million for the prior year period.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Unallocated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does not allocate general and administrative expenses and income taxes to its reportable segments. These unallocated amounts are depicted in the table above under the headings labeled “Total.” </w:t>
      </w:r>
    </w:p>
    <w:p>
      <w:pPr>
        <w:pStyle w:val="TextBody"/>
        <w:bidi w:val="0"/>
        <w:jc w:val="both"/>
        <w:rPr>
          <w:rFonts w:ascii="Times New Roman" w:hAnsi="Times New Roman"/>
          <w:sz w:val="20"/>
        </w:rPr>
      </w:pPr>
      <w:r>
        <w:rPr>
          <w:rFonts w:ascii="Times New Roman" w:hAnsi="Times New Roman"/>
          <w:b/>
          <w:i/>
          <w:color w:val="000000"/>
          <w:sz w:val="20"/>
        </w:rPr>
        <w:t>Comparison of Results for the</w:t>
      </w:r>
      <w:r>
        <w:rPr>
          <w:rFonts w:ascii="Times New Roman" w:hAnsi="Times New Roman"/>
          <w:color w:val="000000"/>
          <w:sz w:val="20"/>
        </w:rPr>
        <w:t xml:space="preserve"> </w:t>
      </w:r>
      <w:r>
        <w:rPr>
          <w:rFonts w:ascii="Times New Roman" w:hAnsi="Times New Roman"/>
          <w:b/>
          <w:i/>
          <w:color w:val="000000"/>
          <w:sz w:val="20"/>
        </w:rPr>
        <w:t>Six Months Ended June 30, 2026</w:t>
      </w:r>
      <w:r>
        <w:rPr>
          <w:rFonts w:ascii="Times New Roman" w:hAnsi="Times New Roman"/>
          <w:color w:val="000000"/>
          <w:sz w:val="20"/>
        </w:rPr>
        <w:t xml:space="preserve"> </w:t>
      </w:r>
      <w:r>
        <w:rPr>
          <w:rFonts w:ascii="Times New Roman" w:hAnsi="Times New Roman"/>
          <w:b/>
          <w:i/>
          <w:color w:val="000000"/>
          <w:sz w:val="20"/>
        </w:rPr>
        <w:t>to the</w:t>
      </w:r>
      <w:r>
        <w:rPr>
          <w:rFonts w:ascii="Times New Roman" w:hAnsi="Times New Roman"/>
          <w:color w:val="000000"/>
          <w:sz w:val="20"/>
        </w:rPr>
        <w:t xml:space="preserve"> </w:t>
      </w:r>
      <w:r>
        <w:rPr>
          <w:rFonts w:ascii="Times New Roman" w:hAnsi="Times New Roman"/>
          <w:b/>
          <w:i/>
          <w:color w:val="000000"/>
          <w:sz w:val="20"/>
        </w:rPr>
        <w:t>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operations by reportable segment for the six months ended June 30, 2026 compared to the six months ended June 30, 2025, are summarized in the table below (in millions, totals may not add due to rounding):</w:t>
      </w:r>
    </w:p>
    <w:p>
      <w:pPr>
        <w:pStyle w:val="TextBody"/>
        <w:bidi w:val="0"/>
        <w:spacing w:before="120" w:after="283"/>
        <w:jc w:val="both"/>
        <w:rPr/>
      </w:pPr>
      <w:r>
        <w:rPr/>
        <w:t> </w:t>
      </w:r>
    </w:p>
    <w:tbl>
      <w:tblPr>
        <w:tblW w:w="13194" w:type="dxa"/>
        <w:jc w:val="left"/>
        <w:tblInd w:w="0" w:type="dxa"/>
        <w:tblLayout w:type="fixed"/>
        <w:tblCellMar>
          <w:top w:w="28" w:type="dxa"/>
          <w:left w:w="28" w:type="dxa"/>
          <w:bottom w:w="28" w:type="dxa"/>
          <w:right w:w="28" w:type="dxa"/>
        </w:tblCellMar>
      </w:tblPr>
      <w:tblGrid>
        <w:gridCol w:w="1171"/>
        <w:gridCol w:w="146"/>
        <w:gridCol w:w="196"/>
        <w:gridCol w:w="511"/>
        <w:gridCol w:w="166"/>
        <w:gridCol w:w="146"/>
        <w:gridCol w:w="196"/>
        <w:gridCol w:w="571"/>
        <w:gridCol w:w="166"/>
        <w:gridCol w:w="146"/>
        <w:gridCol w:w="196"/>
        <w:gridCol w:w="421"/>
        <w:gridCol w:w="146"/>
        <w:gridCol w:w="146"/>
        <w:gridCol w:w="196"/>
        <w:gridCol w:w="571"/>
        <w:gridCol w:w="166"/>
        <w:gridCol w:w="146"/>
        <w:gridCol w:w="196"/>
        <w:gridCol w:w="511"/>
        <w:gridCol w:w="166"/>
        <w:gridCol w:w="146"/>
        <w:gridCol w:w="196"/>
        <w:gridCol w:w="481"/>
        <w:gridCol w:w="166"/>
        <w:gridCol w:w="146"/>
        <w:gridCol w:w="196"/>
        <w:gridCol w:w="421"/>
        <w:gridCol w:w="146"/>
        <w:gridCol w:w="146"/>
        <w:gridCol w:w="196"/>
        <w:gridCol w:w="511"/>
        <w:gridCol w:w="166"/>
        <w:gridCol w:w="146"/>
        <w:gridCol w:w="196"/>
        <w:gridCol w:w="391"/>
        <w:gridCol w:w="166"/>
        <w:gridCol w:w="146"/>
        <w:gridCol w:w="196"/>
        <w:gridCol w:w="571"/>
        <w:gridCol w:w="166"/>
        <w:gridCol w:w="146"/>
        <w:gridCol w:w="196"/>
        <w:gridCol w:w="391"/>
        <w:gridCol w:w="166"/>
        <w:gridCol w:w="146"/>
        <w:gridCol w:w="196"/>
        <w:gridCol w:w="57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holding (losses) gains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REIT Portfolio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income attributable to Acadia shareholders for the REIT Portfolio increased $1.4 million compared to the prior 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Rental revenue increased $7.1 million, primarily reflecting $7.6 million from acquisitions completed during 2025 and 2026, $6.0 million from tenant lease-up activity, and $2.1 million from the 2025 consolidation of the Renaissance Portfolio, partially offset by the absence of $8.4 million of non-recurring rental and termination income recognized in the prior year period from Whole Foods at City Center.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and amortization, property operating expenses, and real estate taxes increased $2.2 million, $2.1 million, and $1.7 million, respectively, primarily due to acquired properties.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increased $5.5 million due to higher average outstanding borrowings associated with acquisitions completed during 2025 and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Results also benefited from the absence of a $9.6 million loss on change in control recognized in the prior year period upon the consolidation of the Renaissance Portfolio.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Realized and unrealized holding gains (losses) decreased $2.0 million due to changes in mark-to-market adjustments on marketable securities that were liquidated in 2025.</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(all amounts below are consolidated amounts and are not representative of our proportionate share)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income attributable to Acadia shareholders for Investment Management increased $41.7 million compared to the prior year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Rental revenue decreased $18.3 million primarily due to Fund V property dispositions completed in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revenue increased $4.2 million primarily due to higher fee income from acquisitions completed during 2025 and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property operating expenses and real estate taxes decreased $5.6 million, $2.6 million and $2.6 million, respectively, primarily due to Fund V property dispositions completed in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Gain on disposition of properties increased $146.5 million primarily due to the Fund V recapitalization and the dispositions of Landstown Commons, New Towne Center and Avenue at West Cobb.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Equity in earnings of unconsolidated affiliates increased $18.2 million primarily due to the gain on sale of Tri-City Plaza in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Results also benefited from the absence of $24.6 million of impairment charges recognized in the prior year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decreased $10.1 million primarily due to the Fund V recapitalization and disposition activity completed in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attributable to noncontrolling interests increased $152.8 million reflecting the noncontrolling interests' share of the variances discussed above.</w:t>
      </w:r>
    </w:p>
    <w:p>
      <w:pPr>
        <w:pStyle w:val="TextBody"/>
        <w:bidi w:val="0"/>
        <w:spacing w:before="240" w:after="283"/>
        <w:jc w:val="both"/>
        <w:rPr>
          <w:rFonts w:ascii="Times New Roman" w:hAnsi="Times New Roman"/>
          <w:sz w:val="20"/>
        </w:rPr>
      </w:pPr>
      <w:r>
        <w:rPr>
          <w:rFonts w:ascii="Times New Roman" w:hAnsi="Times New Roman"/>
          <w:i/>
          <w:color w:val="000000"/>
          <w:sz w:val="20"/>
        </w:rPr>
        <w:t>Structured Financing</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Interest income from the Structured Financing portfolio decreased $1.2 million to $11.3 million primarily due to a lower average outstanding investment balance following repayments received during 2025, including the partial repayment of the City Point Loan in 2025.</w:t>
      </w:r>
    </w:p>
    <w:p>
      <w:pPr>
        <w:pStyle w:val="TextBody"/>
        <w:bidi w:val="0"/>
        <w:jc w:val="both"/>
        <w:rPr>
          <w:rFonts w:ascii="Times New Roman" w:hAnsi="Times New Roman"/>
          <w:i/>
          <w:color w:val="000000"/>
          <w:sz w:val="20"/>
        </w:rPr>
      </w:pPr>
      <w:r>
        <w:rPr>
          <w:rFonts w:ascii="Times New Roman" w:hAnsi="Times New Roman"/>
          <w:i/>
          <w:color w:val="000000"/>
          <w:sz w:val="20"/>
        </w:rPr>
        <w:t>Unallocated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does not allocate general and administrative expenses and income taxes to its reportable segments. These unallocated amounts are depicted in the table above under the headings labeled “Total.”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 and administrative expenses increased $4.0 million to $27.1 million primarily due to higher compensation, legal and transaction-related costs. The increase also included accelerated compensation expense resulting from a modification of vesting provisions associated with a change in expected service period</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Property Operating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of net property operating income (“NOI”) and rent spreads on new and renewal leases includes the activity from both our consolidated and our pro-rata share of unconsolidated properties within our REIT Portfolio. We do not consider NOI and rent spreads to be meaningful measures for our Investment Management investments, as Investment Management invests primarily in properties that typically require significant leasing and development, and is primarily comprised of finite-life investment vehicles.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NOI, a non-GAAP financial measure, to evaluate the performance of our properties. We define NOI as income from our REIT portfolio real estate, less our property operating expenses, excluding lease termination income received from tenants and other amounts such as above- or below-market rent, and straight-line rent. We consider NOI and rent spreads on new and renewal leases for our REIT Portfolio to be appropriate supplemental disclosures of portfolio operating performance due to their widespread acceptance and use within the REIT investor and analyst communities. NOI and rent spreads on new and renewal leases are presented to assist investors in analyzing our property performance; however, our method of calculating these may be different from methods used by other REITs and, accordingly, may not be comparable to such other REITs.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of consolidated operating income to net operating income - REIT Portfolio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31"/>
        <w:gridCol w:w="146"/>
        <w:gridCol w:w="232"/>
        <w:gridCol w:w="812"/>
        <w:gridCol w:w="182"/>
        <w:gridCol w:w="160"/>
        <w:gridCol w:w="232"/>
        <w:gridCol w:w="812"/>
        <w:gridCol w:w="166"/>
        <w:gridCol w:w="146"/>
        <w:gridCol w:w="212"/>
        <w:gridCol w:w="846"/>
        <w:gridCol w:w="167"/>
        <w:gridCol w:w="146"/>
        <w:gridCol w:w="212"/>
        <w:gridCol w:w="785"/>
        <w:gridCol w:w="418"/>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78,709</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Above/below-market rent, straight-line rent and other accounts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Termination income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18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124,929</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128,290</w:t>
            </w:r>
          </w:p>
        </w:tc>
        <w:tc>
          <w:tcPr>
            <w:tcW w:w="4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 in consolidated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in consolidated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Partnership's interest in Investment Management NOI included 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Operating Partnership's share of unconsolidated joint ventures NOI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 xml:space="preserve">Includes other accounts such as straight-line rent reserves and fee income.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Termination income related to an early lease termination at City Center.</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Does not include the Operating Partnership’s share of NOI from unconsolidated joint ventures within Investment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use same-property NOI (“Same-Property NOI”), a non-GAAP financial measure, to evaluate the performance of our properties. Same-Property NOI includes REIT Portfolio properties that we owned for both the current and prior periods presented, but excludes those properties which we acquired, sold or expected to sell, redeveloped and developed during these periods. The following table summarizes Same-Property NOI for our REIT Portfolio (dollars in thousands):</w:t>
      </w:r>
    </w:p>
    <w:tbl>
      <w:tblPr>
        <w:tblW w:w="9848" w:type="dxa"/>
        <w:jc w:val="left"/>
        <w:tblInd w:w="0" w:type="dxa"/>
        <w:tblLayout w:type="fixed"/>
        <w:tblCellMar>
          <w:top w:w="28" w:type="dxa"/>
          <w:left w:w="28" w:type="dxa"/>
          <w:bottom w:w="28" w:type="dxa"/>
          <w:right w:w="28" w:type="dxa"/>
        </w:tblCellMar>
      </w:tblPr>
      <w:tblGrid>
        <w:gridCol w:w="4156"/>
        <w:gridCol w:w="146"/>
        <w:gridCol w:w="239"/>
        <w:gridCol w:w="836"/>
        <w:gridCol w:w="307"/>
        <w:gridCol w:w="165"/>
        <w:gridCol w:w="239"/>
        <w:gridCol w:w="836"/>
        <w:gridCol w:w="166"/>
        <w:gridCol w:w="146"/>
        <w:gridCol w:w="211"/>
        <w:gridCol w:w="781"/>
        <w:gridCol w:w="271"/>
        <w:gridCol w:w="146"/>
        <w:gridCol w:w="211"/>
        <w:gridCol w:w="78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45,130</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properties excluded from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change from prior year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Same-Property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(15,009</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Rent Spreads on REIT Portfolio New and Renewal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rent spreads on both a cash basis and straight-line basis for new and renewal leases based on leases executed within our REIT Portfolio for the periods presented. Cash basis represents a comparison of rent most recently paid on the previous lease as compared to the initial rent paid on the new lease. Straight-line basis represents a comparison of rents as adjusted for contractual escalations, abated rent, and lease incentives for the same comparable leases. The table below includes embedded option renewals for which the renewed rent was equal to or approximated existing base rent.</w:t>
      </w:r>
    </w:p>
    <w:p>
      <w:pPr>
        <w:pStyle w:val="TextBody"/>
        <w:bidi w:val="0"/>
        <w:jc w:val="left"/>
        <w:rPr/>
      </w:pPr>
      <w:r>
        <w:rPr/>
        <w:t> </w:t>
      </w:r>
    </w:p>
    <w:tbl>
      <w:tblPr>
        <w:tblW w:w="9952" w:type="dxa"/>
        <w:jc w:val="left"/>
        <w:tblInd w:w="0" w:type="dxa"/>
        <w:tblLayout w:type="fixed"/>
        <w:tblCellMar>
          <w:top w:w="28" w:type="dxa"/>
          <w:left w:w="28" w:type="dxa"/>
          <w:bottom w:w="28" w:type="dxa"/>
          <w:right w:w="28" w:type="dxa"/>
        </w:tblCellMar>
      </w:tblPr>
      <w:tblGrid>
        <w:gridCol w:w="3676"/>
        <w:gridCol w:w="146"/>
        <w:gridCol w:w="1462"/>
        <w:gridCol w:w="209"/>
        <w:gridCol w:w="1419"/>
        <w:gridCol w:w="146"/>
        <w:gridCol w:w="1342"/>
        <w:gridCol w:w="191"/>
        <w:gridCol w:w="136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 Portfolio New and 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Basis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Straight-</w:t>
              <w:br/>
              <w:t>Line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Basis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Straight-</w:t>
              <w:br/>
              <w:t>Line Basis</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new and renewal leases executed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GLA commencing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201,132</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base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growth in base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cost per square foot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 The average cost per square foot includes tenant improvement costs, leasing commissions, and tenant allowances.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Funds from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funds from operations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our performance. It is helpful as it excludes various items included in net income that are not indicative of the operating performance, such as gains (losses) from sales of depreciated property, depreciation and amortization, and impairment of real estate. Our method of calculating FFO may be different from methods used by other REITs and, accordingly, may not be comparable to such other REITs. FFO does not represent cash generated from operations as defined by accounting principles generally accepted in the United States (“GAAP”) and is not indicative of cash available to fund all cash needs, including distributions. It should not be considered as an alternative to net income for the purpose of evaluating our performance or to cash flows as a measure of liquidity. Consistent with the NAREIT definition, we define FFO as net income (computed in accordance with GAAP), excluding gains (losses) from sales of depreciated property and impairment of depreciable real estate assets related to the Company’s main business and land held for the development of property for its operating portfolio, plus depreciation and amortization, after adjustments for unconsolidated partnerships and joint ventures. Also consistent with NAREIT’s definition of FFO, the Company has elected to include gains and losses incidental to its main business in FFO. A reconciliation of net income attributable to Acadia shareholders to FFO follows (dollars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2"/>
        <w:gridCol w:w="146"/>
        <w:gridCol w:w="248"/>
        <w:gridCol w:w="798"/>
        <w:gridCol w:w="195"/>
        <w:gridCol w:w="171"/>
        <w:gridCol w:w="248"/>
        <w:gridCol w:w="798"/>
        <w:gridCol w:w="146"/>
        <w:gridCol w:w="146"/>
        <w:gridCol w:w="227"/>
        <w:gridCol w:w="793"/>
        <w:gridCol w:w="178"/>
        <w:gridCol w:w="157"/>
        <w:gridCol w:w="227"/>
        <w:gridCol w:w="728"/>
        <w:gridCol w:w="197"/>
      </w:tblGrid>
      <w:tr>
        <w:trPr/>
        <w:tc>
          <w:tcPr>
            <w:tcW w:w="4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real estate and amortization of leasing costs (net of</w:t>
              <w:br/>
              <w:t>   noncontrolling interests'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(net of noncontrolling interests'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disposition of properties (net of noncontrolling interests'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 Preferred OP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 attributable to Common Shareholders and</w:t>
              <w:br/>
              <w:t>   Common OP Unit 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82,657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Uses of Liquidity and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our principal uses of liquidity are (i) distributions to our shareholders and OP Unit holders, (ii) investments which include the funding of capital committed to our Investment Management platform and property acquisitions and development/re-tenanting activities within our REIT Portfolio, (iii) distributions to our Investment Management investors, (iv) debt service and loan repayments and (v) share repurchases.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qualify as a REIT for federal income tax purposes, we must distribute at least 90% of our taxable income to our shareholders. During the six months ended June 30, 2026, we paid dividends and distributions on our Common Shares and preferred units of limited partnership interest (“Preferred OP Units”) totaling $56.8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discussed, during the six months ended June 30, 2026, we deployed approximately $252.9 million in cash outlays related to acquisitions within our REIT Portfolio and equity investments and recapitalizations completed through our Investment Management platform.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Structured Financing Investments</w:t>
      </w:r>
    </w:p>
    <w:p>
      <w:pPr>
        <w:pStyle w:val="TextBody"/>
        <w:bidi w:val="0"/>
        <w:spacing w:before="200" w:after="283"/>
        <w:jc w:val="both"/>
        <w:rPr/>
      </w:pPr>
      <w:r>
        <w:rPr>
          <w:rFonts w:ascii="Times New Roman" w:hAnsi="Times New Roman"/>
          <w:color w:val="000000"/>
          <w:sz w:val="20"/>
        </w:rPr>
        <w:t>During the six months ended June 30, 2026, we provided advances under preferred equity investments aggregating to $69.3 million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Capital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share of the remaining capital commitments to the Funds aggregated $11.0 million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to Fund III – Fund III was launched in May 2007 with total committed capital of $450.0 million, of which our original share was $89.6 million. During 2015, we acquired an additional interest, which had an original capital commitment of $20.9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$5.0 million to Fund IV – Fund IV was launched in May 2012 with total committed capital of $530.0 million, of which our original share was $122.5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$5.8 million to Fund V – Fund V was launched in August 2016 with total committed capital of $520.0 million, of which our original share was $104.5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do not have any additional capital commitments to the Funds other than the remaining amounts described above.</w:t>
      </w:r>
    </w:p>
    <w:p>
      <w:pPr>
        <w:pStyle w:val="TextBody"/>
        <w:bidi w:val="0"/>
        <w:jc w:val="both"/>
        <w:rPr/>
      </w:pPr>
      <w:r>
        <w:rPr/>
        <w:t> </w:t>
      </w:r>
    </w:p>
    <w:p>
      <w:pPr>
        <w:pStyle w:val="TextBody"/>
        <w:bidi w:val="0"/>
        <w:jc w:val="both"/>
        <w:rPr/>
      </w:pPr>
      <w:r>
        <w:rPr>
          <w:rFonts w:ascii="Times New Roman" w:hAnsi="Times New Roman"/>
          <w:color w:val="000000"/>
          <w:sz w:val="20"/>
        </w:rPr>
        <w:t>Additionally, the Company has committed to fund tenant improvements under executed leases totaling approximately $63.3 million and $44.1 million, as of June 30, 2026 and December 31, 2025, respectively. The Company’s share of these obligations is approximately $46.6 million and $37.1 million, respectively (</w:t>
      </w:r>
      <w:hyperlink w:anchor="n9_commitments_contingencies">
        <w:r>
          <w:rPr>
            <w:rStyle w:val="InternetLink"/>
            <w:rFonts w:ascii="Times New Roman" w:hAnsi="Times New Roman"/>
            <w:color w:val="0000FF"/>
            <w:sz w:val="20"/>
            <w:u w:val="single"/>
          </w:rPr>
          <w:t>Note 9</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Activities</w:t>
      </w:r>
    </w:p>
    <w:p>
      <w:pPr>
        <w:pStyle w:val="TextBody"/>
        <w:bidi w:val="0"/>
        <w:spacing w:before="240" w:after="283"/>
        <w:jc w:val="both"/>
        <w:rPr/>
      </w:pPr>
      <w:r>
        <w:rPr>
          <w:rFonts w:ascii="Times New Roman" w:hAnsi="Times New Roman"/>
          <w:color w:val="000000"/>
          <w:sz w:val="20"/>
        </w:rPr>
        <w:t>During the six months ended June 30, 2026, capitalized costs associated with development activities totaled $27.2 million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xml:space="preserve">). As of June 30, 2026, we estimated total cost to complete development and redevelopment projects through 2028 was approximately $90.7 million to $128.4 million, respectively. These estimates exclude assets for which redevelopment or development plans are still being evaluated and for which costs are not yet determinable. </w:t>
      </w:r>
    </w:p>
    <w:p>
      <w:pPr>
        <w:pStyle w:val="TextBody"/>
        <w:bidi w:val="0"/>
        <w:spacing w:before="240" w:after="283"/>
        <w:jc w:val="both"/>
        <w:rPr/>
      </w:pPr>
      <w:r>
        <w:rPr>
          <w:rFonts w:ascii="Times New Roman" w:hAnsi="Times New Roman"/>
          <w:color w:val="000000"/>
          <w:sz w:val="20"/>
        </w:rPr>
        <w:t xml:space="preserve">Substantially all remaining development and redevelopment costs are discretionary, other than the construction and tenant improvement commitments disclosed in </w:t>
      </w:r>
      <w:hyperlink w:anchor="n9_commitments_contingencies">
        <w:r>
          <w:rPr>
            <w:rStyle w:val="InternetLink"/>
            <w:rFonts w:ascii="Times New Roman" w:hAnsi="Times New Roman"/>
            <w:color w:val="0000FF"/>
            <w:sz w:val="20"/>
            <w:u w:val="single"/>
          </w:rPr>
          <w:t>Note 9</w:t>
        </w:r>
      </w:hyperlink>
      <w:r>
        <w:rPr>
          <w:rFonts w:ascii="Times New Roman" w:hAnsi="Times New Roman"/>
          <w:color w:val="000000"/>
          <w:sz w:val="20"/>
        </w:rPr>
        <w:t>, and could be affected by various risks and uncertainties, including, but not limited to, the effects of the current inflationary environment, elevated interest rates, global macroeconomic conditions, the imposition of tariffs and other risks detailed in Part I, Item 1A. Risk Factors of our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our consolidated debt, which includes the full amount of Investment Management related obligations and excludes our pro rata share of debt at our unconsolidated subsidiaries, is as follows (in thousands):</w:t>
      </w:r>
    </w:p>
    <w:tbl>
      <w:tblPr>
        <w:tblW w:w="6897" w:type="dxa"/>
        <w:jc w:val="left"/>
        <w:tblInd w:w="0" w:type="dxa"/>
        <w:tblLayout w:type="fixed"/>
        <w:tblCellMar>
          <w:top w:w="28" w:type="dxa"/>
          <w:left w:w="28" w:type="dxa"/>
          <w:bottom w:w="28" w:type="dxa"/>
          <w:right w:w="28" w:type="dxa"/>
        </w:tblCellMar>
      </w:tblPr>
      <w:tblGrid>
        <w:gridCol w:w="3826"/>
        <w:gridCol w:w="146"/>
        <w:gridCol w:w="211"/>
        <w:gridCol w:w="931"/>
        <w:gridCol w:w="166"/>
        <w:gridCol w:w="146"/>
        <w:gridCol w:w="232"/>
        <w:gridCol w:w="1028"/>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 Fixed and Effectively Fixed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 Variable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our consolidated indebtedness aggregated $1,652.3 million, excluding $0.5 million of unamortized premium and $15.8 million of net unamortized loan costs, and was secured by 35 properties and related tenant leases. Maturities on our outstanding indebtedness ranged from November 6, 2026 to April 15, 2035, excluding available extension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Taking into consideration $1,034.2 million of notional principal under variable-to-fixed interest rate swap agreements currently in effect, $1,284.6 million, or 77.7%, of the Company’s consolidated debt was fixed at a weighted-average interest rate of 4.52%, and $367.7 million, or 22.3%, was floating at a weighted-average interest rate of 5.13% as of June 30, 2026. Variable-rate debt included $32.2 million subject to interest rate cap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Without regard to available extension options, as of June 30, 2026, we had (i) $159.9 million of consolidated debt maturing in 2026 at a weighted-average interest rate of 5.88%, (ii) $1.9 million of scheduled principal amortization due during the remainder of 2026, and (iii) $31.5 million representing the Company’s pro-rata share of scheduled principal payments and maturities on unconsolidated debt during 2026. In addition, $160.3 million of consolidated debt and $44.8 million representing the Company’s pro-rata share of unconsolidated debt will mature by March 31, 2027.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extension options on consolidated debt aggregating $160.3 million maturing in 2026 and $48.5 million maturing in 2027; however, there can be no assurance that the Company will be able to successfully execute any or all of its available extension options. With respect to the debt maturing in the remainder of 2026, we are actively pursuing refinancing the remaining obligations, though there can be no assurance that we can refinance such obligations on favorable terms or at all. For the remaining indebtedness, we may not have sufficient cash on hand to repay such obligations, and, therefore, we expect to refinance at least a portion of this indebtedness or select other alternatives based on market conditions as these loans mature; however, there can be no assurance that we will be able to obtain financing on acceptable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financing could be affected by various risks and uncertainties, including, but not limited to, the current inflationary environment, elevated interest rates, tariff policies, and other risks, including, but not limited to those detailed in Part I, Item 1A. Risk Factors of our Annual Report on Form 10-K for the year ended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both"/>
        <w:rPr/>
      </w:pPr>
      <w:r>
        <w:rPr>
          <w:rFonts w:ascii="Times New Roman" w:hAnsi="Times New Roman"/>
          <w:color w:val="000000"/>
          <w:sz w:val="20"/>
        </w:rPr>
        <w:t>We maintain a share repurchase program under which $122.5 million remains available to repurchase as of June 30, 2026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We did not repurchase any Common Shares under this program during the six months ended June 30,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sources of capital for funding our short-term (less than 12 months) and long-term (12 months and longer) liquidity needs include (i) the issuance of both public equity and OP Units, (ii) the issuance of both secured and unsecured debt, (iii) unfunded capital commitments from noncontrolling interests within Investment Management, (iv) future sales of existing properties, (v) repayments of Structured Financing investments, and (vi) cash on hand and future cash flow from operating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on hand in our consolidated subsidiaries as of June 30, 2026 totaled $33.0 million. Our remaining sources of liquidity are described further below. Depending upon the availability and cost of external capital, we believe our sources of capital are sufficient to meet our liquidity needs. Our historical cash flow uses are reflected in our Condensed Consolidated Statements of Cash Flows and are discussed in further detail below.</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Issuances of Common Shares</w:t>
      </w:r>
    </w:p>
    <w:p>
      <w:pPr>
        <w:pStyle w:val="TextBody"/>
        <w:bidi w:val="0"/>
        <w:spacing w:before="200" w:after="283"/>
        <w:jc w:val="both"/>
        <w:rPr/>
      </w:pPr>
      <w:r>
        <w:rPr>
          <w:rFonts w:ascii="Times New Roman" w:hAnsi="Times New Roman"/>
          <w:color w:val="000000"/>
          <w:sz w:val="20"/>
        </w:rPr>
        <w:t>Our ATM Program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provides us with an efficient and low-cost vehicle for raising capital through public equity issuances on an “as-we-go” basis to fund our capital needs. </w:t>
      </w:r>
    </w:p>
    <w:p>
      <w:pPr>
        <w:pStyle w:val="TextBody"/>
        <w:bidi w:val="0"/>
        <w:spacing w:before="200" w:after="283"/>
        <w:jc w:val="both"/>
        <w:rPr/>
      </w:pPr>
      <w:r>
        <w:rPr>
          <w:rFonts w:ascii="Times New Roman" w:hAnsi="Times New Roman"/>
          <w:color w:val="000000"/>
          <w:sz w:val="20"/>
        </w:rPr>
        <w:t>During the six months ended June 30, 2026, we physically settled 6,209,562 forward shares under the ATM Program in exchange for aggregate net proceeds of $128.0 million, which were used to reduce outstanding borrowings and fund investment activity. As of June 30, 2026, we had unsettled forward equity contracts to sell 17,771,271 shares (including 9,242,996 Common Shares sold in an underwritten public offering in June 2026 and related underwriters’ option exercise) for estimated aggregate net cash proceeds of $368.8 million. We also had $199.1 million of remaining availability for future share issuance under the ATM Program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Investment Management Capital</w:t>
      </w:r>
    </w:p>
    <w:p>
      <w:pPr>
        <w:pStyle w:val="TextBody"/>
        <w:bidi w:val="0"/>
        <w:spacing w:before="240" w:after="283"/>
        <w:jc w:val="both"/>
        <w:rPr/>
      </w:pPr>
      <w:r>
        <w:rPr>
          <w:rFonts w:ascii="Times New Roman" w:hAnsi="Times New Roman"/>
          <w:color w:val="000000"/>
          <w:sz w:val="20"/>
        </w:rPr>
        <w:t>As of June 30, 2026, unfunded capital commitments from noncontrolling interests within Funds III, IV and V were $0.6 million, $16.7 million and $22.9 million, respectively. We have no remaining commitments from Fund II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and Debt</w:t>
      </w:r>
    </w:p>
    <w:p>
      <w:pPr>
        <w:pStyle w:val="TextBody"/>
        <w:bidi w:val="0"/>
        <w:spacing w:before="200" w:after="283"/>
        <w:jc w:val="both"/>
        <w:rPr/>
      </w:pPr>
      <w:r>
        <w:rPr>
          <w:rFonts w:ascii="Times New Roman" w:hAnsi="Times New Roman"/>
          <w:color w:val="000000"/>
          <w:sz w:val="20"/>
        </w:rPr>
        <w:t>As of June 30, 2026, we had $490.7 million of capacity under existing REIT Portfolio debt facilities. In addition, our REIT Portfolio and Investment Management platform included 146 unleveraged consolidated properties with an aggregate carrying value of approximately $2.5 billion; however, there can be no assurance that financing would be available for these properties at favorable terms, if at all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See also “—Financing and Capital Activity” for details on our Fourth Amended and Restated Credit Facility entered into in April 2026. </w:t>
      </w:r>
    </w:p>
    <w:p>
      <w:pPr>
        <w:pStyle w:val="TextBody"/>
        <w:bidi w:val="0"/>
        <w:spacing w:before="240" w:after="240"/>
        <w:jc w:val="both"/>
        <w:rPr>
          <w:rFonts w:ascii="Times New Roman" w:hAnsi="Times New Roman"/>
          <w:sz w:val="20"/>
        </w:rPr>
      </w:pPr>
      <w:r>
        <w:rPr>
          <w:rFonts w:ascii="Times New Roman" w:hAnsi="Times New Roman"/>
          <w:b/>
          <w:color w:val="000000"/>
          <w:sz w:val="20"/>
        </w:rPr>
        <w:t>HISTORICAL CASH FLOW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compares the historical cash flow for the six months ended June 30, 2026 with the cash flow for the six months ended June 30, 2025 (in millions, totals may not add due to rounding):</w:t>
      </w:r>
    </w:p>
    <w:tbl>
      <w:tblPr>
        <w:tblW w:w="9517" w:type="dxa"/>
        <w:jc w:val="left"/>
        <w:tblInd w:w="0" w:type="dxa"/>
        <w:tblLayout w:type="fixed"/>
        <w:tblCellMar>
          <w:top w:w="28" w:type="dxa"/>
          <w:left w:w="28" w:type="dxa"/>
          <w:bottom w:w="28" w:type="dxa"/>
          <w:right w:w="28" w:type="dxa"/>
        </w:tblCellMar>
      </w:tblPr>
      <w:tblGrid>
        <w:gridCol w:w="5766"/>
        <w:gridCol w:w="146"/>
        <w:gridCol w:w="211"/>
        <w:gridCol w:w="631"/>
        <w:gridCol w:w="166"/>
        <w:gridCol w:w="146"/>
        <w:gridCol w:w="211"/>
        <w:gridCol w:w="631"/>
        <w:gridCol w:w="166"/>
        <w:gridCol w:w="146"/>
        <w:gridCol w:w="222"/>
        <w:gridCol w:w="664"/>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operating activities primarily reflects the Company’s operating results, adjusted for non-cash items and changes in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operating activities was relatively flat, decreasing by $1.1 million for the six months ended June 30, 2026 compared to the prior year period, despite a $194.5 million increase in net income. The increase in net income was largely driven by non-cash and non-operating items, primarily a $146.1 million gain on property dispositions, that do not impact operating cash flow.</w:t>
      </w:r>
    </w:p>
    <w:p>
      <w:pPr>
        <w:pStyle w:val="TextBody"/>
        <w:bidi w:val="0"/>
        <w:spacing w:before="200" w:after="283"/>
        <w:jc w:val="both"/>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is impacted by our investments in and advances to unconsolidated affiliates, the timing and extent of our real estate development, capital improvements, and acquisition and disposition activities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investing activities increased by $662.9 million for the six months ended June 30, 2026 compared to the prior year period, primarily due to (i) $572.0 million of higher cash inflows from real estate dispositions, (ii) $148.3 million of lower cash outflows for acquisitions, (iii) $20.0 million less cash used for the issuance of a note receivable, and (iv) $15.1 million of higher return of capital from unconsolidated affiliates. These increases were partially offset by (i) $63.1 million of higher cash used for investments in unconsolidated affiliates, (ii) $9.8 million of increased spending on development, construction, and property improvements, (iii) $7.1 million of lower refunds of deposits for properties under contract, (iv) $6.8 million of cash received in the prior year upon the consolidation of a previously unconsolidated investment that did not recur, and (v) $5.4 million of proceeds from the sale of marketable securities in the prior year that did not recur.</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is impacted by the timing and extent of issuances of debt and equity securities, distributions paid to common shareholders and unitholders of the Operating Partnership as well as principal and other payments associated with our outstanding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financing activities increased by $697.5 million for the six months ended June 30, 2026 compared to the prior year period, primarily due to (i) $150.2 million of lower proceeds from the issuance of Common Shares, (ii) $331.5 million of increased net repayments of debt, (iii) $187.0 million of higher capital distributions to noncontrolling interests, (iv) $8.6 million more cash used to acquire noncontrolling interests, (v) $2.5 million of lower contributions from noncontrolling interests, and (vi) $4.0 million of higher dividend payments.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Unconsolidated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the following investments made through joint ventures (that may include, among others, tenancy-in common and other similar investments) for the purpose of investing in operating properties. We account for these investments using the equity method of accounting. As such, our financial statements reflect our investment and our share of income and loss from, but not the individual assets and liabilities, of these joint ventures.</w:t>
      </w:r>
    </w:p>
    <w:p>
      <w:pPr>
        <w:pStyle w:val="TextBody"/>
        <w:bidi w:val="0"/>
        <w:spacing w:before="240" w:after="283"/>
        <w:jc w:val="both"/>
        <w:rPr/>
      </w:pPr>
      <w:r>
        <w:rPr>
          <w:rFonts w:ascii="Times New Roman" w:hAnsi="Times New Roman"/>
          <w:color w:val="000000"/>
          <w:sz w:val="20"/>
        </w:rPr>
        <w:t xml:space="preserve">See </w:t>
      </w:r>
      <w:hyperlink w:anchor="n4_investments_in_advances_to_unconsolid">
        <w:r>
          <w:rPr>
            <w:rStyle w:val="InternetLink"/>
            <w:rFonts w:ascii="Times New Roman" w:hAnsi="Times New Roman"/>
            <w:color w:val="0000FF"/>
            <w:sz w:val="20"/>
            <w:u w:val="single"/>
          </w:rPr>
          <w:t>Note 4</w:t>
        </w:r>
      </w:hyperlink>
      <w:hyperlink w:anchor="n4_investments_in_advances_to_unconsolid">
        <w:r>
          <w:rPr>
            <w:rStyle w:val="InternetLink"/>
            <w:rFonts w:ascii="Times New Roman" w:hAnsi="Times New Roman"/>
            <w:color w:val="0000FF"/>
            <w:sz w:val="20"/>
          </w:rPr>
          <w:t xml:space="preserve"> </w:t>
        </w:r>
      </w:hyperlink>
      <w:r>
        <w:rPr>
          <w:rFonts w:ascii="Times New Roman" w:hAnsi="Times New Roman"/>
          <w:color w:val="000000"/>
          <w:sz w:val="20"/>
        </w:rPr>
        <w:t>for a discussion of our unconsolidated investments. The Operating Partnership’s pro-rata share of unconsolidated non-recourse debt related to those investments is as follows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146"/>
        <w:gridCol w:w="250"/>
        <w:gridCol w:w="801"/>
        <w:gridCol w:w="301"/>
        <w:gridCol w:w="161"/>
        <w:gridCol w:w="417"/>
        <w:gridCol w:w="1132"/>
        <w:gridCol w:w="146"/>
        <w:gridCol w:w="146"/>
        <w:gridCol w:w="502"/>
        <w:gridCol w:w="1604"/>
        <w:gridCol w:w="271"/>
        <w:gridCol w:w="146"/>
        <w:gridCol w:w="1327"/>
      </w:tblGrid>
      <w:tr>
        <w:trPr/>
        <w:tc>
          <w:tcPr>
            <w:tcW w:w="2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Partnership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r>
      <w:tr>
        <w:trPr/>
        <w:tc>
          <w:tcPr>
            <w:tcW w:w="2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w:t>
              <w:br/>
              <w:t>Percentage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Pro-rata Share of</w:t>
              <w:br/>
              <w:t>Mortgage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Effective Interest Rate </w:t>
            </w:r>
            <w:r>
              <w:rPr>
                <w:rFonts w:ascii="Times New Roman" w:hAnsi="Times New Roman"/>
                <w:b/>
                <w:color w:val="000000"/>
                <w:sz w:val="13"/>
              </w:rPr>
              <w:t>(a)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840 N. 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2026</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2027</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 Frontera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Riverdale FC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 2027</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County Square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Georgetown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2027</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LINQ Promenade</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Shoppes at South Hills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2028</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Mohawk Commons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2028</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The Walk at Highwoods Preserve</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 2028</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Shops at Skyview</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 2029</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Atlantic Portfolio</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 2029</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Avenue at West Cobb</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 2029</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Crossroads Shopping Center</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 2029</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Pinewood Square</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2030</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 2034</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Effective interest rates incorporate the effect of interest rate swaps and caps that were in effect as of June 30, 2026, where applicable.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debt has one available 12-month extension option.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debt has two available 12-month extension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rFonts w:ascii="Times New Roman" w:hAnsi="Times New Roman"/>
          <w:color w:val="000000"/>
          <w:sz w:val="16"/>
        </w:rPr>
      </w:pPr>
      <w:r>
        <w:rPr>
          <w:rFonts w:ascii="Times New Roman" w:hAnsi="Times New Roman"/>
          <w:color w:val="000000"/>
          <w:sz w:val="16"/>
        </w:rPr>
        <w:t xml:space="preserve">The debt has one available 24-month extension option.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 in this Report is based upon the Condensed Consolidated Financial Statements, which have been prepared in accordance with GAAP. The preparation of the Condensed Consolidated Financial Statements requires management to make estimates and judgments that affect the reported amounts of assets, liabilities, revenues and expenses. We base our estimates on historical experience and assumptions that are believed to be reasonable under the circumstances, the results of which form the basis for making judgments about carrying value of assets and liabilities that are not readily apparent from other sources. Actual results may differ from these estimates under different assumptions or conditions. We believe there have been no material changes to the items that we disclosed as our critical accounting policies under Item 7, “Management’s Discussion and Analysis of Financial Condition and Results of Operations,” in our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jc w:val="both"/>
        <w:rPr/>
      </w:pPr>
      <w:r>
        <w:rPr/>
        <w:t> </w:t>
      </w:r>
    </w:p>
    <w:p>
      <w:pPr>
        <w:pStyle w:val="TextBody"/>
        <w:bidi w:val="0"/>
        <w:jc w:val="both"/>
        <w:rPr/>
      </w:pPr>
      <w:r>
        <w:rPr>
          <w:rFonts w:ascii="Times New Roman" w:hAnsi="Times New Roman"/>
          <w:color w:val="000000"/>
          <w:sz w:val="20"/>
        </w:rPr>
        <w:t xml:space="preserve">Reference is made to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 xml:space="preserve"> in the Notes to Condensed Consolidated Financial Statements for information about recently issued accounting pronouncements.</w:t>
      </w:r>
    </w:p>
    <w:p>
      <w:pPr>
        <w:pStyle w:val="TextBody"/>
        <w:bidi w:val="0"/>
        <w:spacing w:before="240" w:after="283"/>
        <w:jc w:val="left"/>
        <w:rPr>
          <w:rFonts w:ascii="Times New Roman" w:hAnsi="Times New Roman"/>
          <w:sz w:val="20"/>
        </w:rPr>
      </w:pPr>
      <w:bookmarkStart w:id="27" w:name="item_3_quantitative_qualitative_disclosu"/>
      <w:bookmarkEnd w:id="27"/>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Information as of June 30, 2026</w:t>
      </w:r>
    </w:p>
    <w:p>
      <w:pPr>
        <w:pStyle w:val="TextBody"/>
        <w:bidi w:val="0"/>
        <w:spacing w:before="240" w:after="283"/>
        <w:jc w:val="both"/>
        <w:rPr/>
      </w:pPr>
      <w:r>
        <w:rPr>
          <w:rFonts w:ascii="Times New Roman" w:hAnsi="Times New Roman"/>
          <w:color w:val="000000"/>
          <w:sz w:val="20"/>
        </w:rPr>
        <w:t xml:space="preserve">Our primary market risk exposure is to changes in interest rates related to our property mortgage loans and other debt. See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in the Notes to the Condensed Consolidated Financial Statements for certain quantitative details related to our property mortgage loans and other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we manage our exposure to fluctuations in interest rates primarily through the use of fixed-rate debt and interest rate swap and cap agreements. As of June 30, 2026, total property mortgage loans and other notes payable aggregated $1,652.3 million, excluding $0.5 million of unamortized premium and $15.8 million of net unamortized debt issuance costs. Of this amount, $1,284.6 million, or 77.7%, was fixed-rate, including debt with rates effectively fixed through the use of derivative financial instruments, and $367.7 million, or 22.3%, was variable-rate based upon the Secured Overnight Financing Rate (“SOFR”) or Prime rates plus applicable spreads.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were party to 28 interest rate swap agreements and one interest rate cap agreement, which together hedged interest rate exposure on $1,034.2 million and $32.2 million of variable-rate debt,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decided to employ higher leverage levels, it would be subject to higher debt service requirements and an increased risk of default, which could adversely affect financial condition, cash flows and ability to make distributions to shareholders. In addition, increases or changes in interest rates could increase borrowing costs and may limit the Company’s ability to refinance its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as of June 30, 2026 concerning our long-term debt obligations, including principal cash flows by scheduled maturity (without regard to available extension options) and weighted average effective interest rates of maturing amounts (dollars in millions):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REIT Portfolio Consolidated Mortgage and Other Debt</w:t>
      </w:r>
    </w:p>
    <w:p>
      <w:pPr>
        <w:pStyle w:val="TextBody"/>
        <w:bidi w:val="0"/>
        <w:jc w:val="both"/>
        <w:rPr/>
      </w:pPr>
      <w:r>
        <w:rPr/>
        <w:t> </w:t>
      </w:r>
    </w:p>
    <w:tbl>
      <w:tblPr>
        <w:tblW w:w="7778" w:type="dxa"/>
        <w:jc w:val="left"/>
        <w:tblInd w:w="0" w:type="dxa"/>
        <w:tblLayout w:type="fixed"/>
        <w:tblCellMar>
          <w:top w:w="28" w:type="dxa"/>
          <w:left w:w="28" w:type="dxa"/>
          <w:bottom w:w="28" w:type="dxa"/>
          <w:right w:w="28" w:type="dxa"/>
        </w:tblCellMar>
      </w:tblPr>
      <w:tblGrid>
        <w:gridCol w:w="1591"/>
        <w:gridCol w:w="146"/>
        <w:gridCol w:w="388"/>
        <w:gridCol w:w="858"/>
        <w:gridCol w:w="146"/>
        <w:gridCol w:w="146"/>
        <w:gridCol w:w="224"/>
        <w:gridCol w:w="767"/>
        <w:gridCol w:w="146"/>
        <w:gridCol w:w="146"/>
        <w:gridCol w:w="211"/>
        <w:gridCol w:w="72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Investment Management Consolidated Mortgage and Other Debt</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1591"/>
        <w:gridCol w:w="146"/>
        <w:gridCol w:w="459"/>
        <w:gridCol w:w="787"/>
        <w:gridCol w:w="146"/>
        <w:gridCol w:w="146"/>
        <w:gridCol w:w="267"/>
        <w:gridCol w:w="724"/>
        <w:gridCol w:w="146"/>
        <w:gridCol w:w="146"/>
        <w:gridCol w:w="211"/>
        <w:gridCol w:w="57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Mortgage Debt in Unconsolidated Partnerships (at our Pro-Rata Share)</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1591"/>
        <w:gridCol w:w="146"/>
        <w:gridCol w:w="459"/>
        <w:gridCol w:w="787"/>
        <w:gridCol w:w="146"/>
        <w:gridCol w:w="146"/>
        <w:gridCol w:w="267"/>
        <w:gridCol w:w="724"/>
        <w:gridCol w:w="146"/>
        <w:gridCol w:w="146"/>
        <w:gridCol w:w="211"/>
        <w:gridCol w:w="57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Without regard to available extension options, during the remainder of 2026, $161.8 million of our total consolidated debt and $31.5 million representing our pro-rata share of unconsolidated debt will mature. In addition, $106 million of consolidated debt and $60.5 million representing our pro-rata share of unconsolidated debt will mature in 2027. With respect to this maturing debt, we have extension options on consolidated debt aggregating $160.3 million maturing in 2026 and $48.5 million maturing in 2027 as of June 30, 2026; however, there can be no assurance that the Company will be able to successfully execute any or all of its available extension options.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expects to refinance some or all of such debt at the then-prevailing market interest rates, which may be greater than the current interest rates. Based on outstanding balances, a 100 basis point increase in interest rates on refinanced debt would increase annual interest expense by approximately $3.6 million, of which the Company’s pro-rata share would be $2.3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variable-rate debt of $367.7 million, net of variable-to-fixed interest rate swap agreements currently in effect. A 100 basis point increase in applicable interest rate indices would increase annual interest expense on such debt by approximately $3.7 million, of which the Company’s pro-rata share would be $2.1 million. We may seek additional variable-rate financing if pricing and other commercial and financial terms are favorable and would consider hedging associated interest rate risk through interest rate swaps and protection agreements, or other means.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our outstanding debt balances as of June 30, 2026, the estimated fair value of our total consolidated outstanding debt would decrease by approximately $7.0 million assuming a 100 basis point increase in interest rates. Conversely, a 100 basis point decrease in interest rates would increase the estimated fair value of our total outstanding debt by approximately $4.8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we had consolidated notes receivable of $154.5 million and $154.9 million, respectively. The estimated fair value of our notes receivable was determined by discounting future cash receipts utilizing a discount rate equivalent to the rate at which similar notes receivable would be originated under conditions then existing. Based on our outstanding notes receivable balances as of June 30, 2026, a 100 basis point increase in interest rates would decrease the estimated fair value of our total outstanding notes receivable by approximately $0.8 million, while a 100 basis point decrease would increase the estimated fair value by approximately $0.8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Summarized Information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total property mortgage loans and other notes payable of $1.9 billion, excluding the unamortized premium of $0.9 million and unamortized debt issuance costs of $11.4 million, of which $1.5 billion, or 80.2%, was fixed-rate, inclusive of debt with rates fixed through the use of derivative financial instruments, and $370.6 million, or 19.8%, was variable-rate based upon SOFR rates plus applicable spreads. As of December 31, 2025, we were party to 35 interest rate swap and one interest rate cap agreement to hedge our exposure to changes in interest rates with respect to $1.2 billion and $32.2 million of SOFR-based variable-rate debt,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on our variable-rate debt of $370.6 million, net of variable to fixed-rate swap agreements currently in effect, as of December 31, 2025, would have increased $3.7 million if corresponding rate indices increased by 100 basis points. Based on our outstanding debt balances as of December 31, 2025, the fair value of our total outstanding debt would have decreased by approximately $9.4 million if interest rates increased by 1%. Conversely, if interest rates decreased by 1%, the fair value of our total outstanding debt would have increased by approximately $6.1 million.</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Market Risk Exposures from December 31, 2025 to</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interest rate risk exposure from December 31, 2025, to June 30, 2026 has decreased on an absolute basis, as the $370.6 million of variable-rate debt as of December 31, 2025 has decreased to $367.7 million as of June 30, 2026. Our interest rate exposure as a percentage of total debt has increased, as our variable-rate debt accounted for 19.8% of our consolidated debt as of December 31, 2025 compared to 22.3% as of June 30, 2026.</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8" w:name="item_4_controls_procedures"/>
      <w:bookmarkEnd w:id="2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disclosure controls and procedures include internal controls and other procedures designed to provide reasonable assurance that information required to be disclosed in this and other reports filed under the Exchange Act, is recorded, processed, summarized, and reported within the required time periods specified in the SEC’s rules and forms; and that such information is accumulated and communicated to management, including our Chief Executive Officer and Chief Financial Officer, to allow timely decisions regarding required disclosures. It should be noted that no system of controls can provide complete assurance of achieving a company’s objectives and that future events may impact the effectiveness of a system of controls. Our Chief Executive Officer and Chief Financial Officer, after conducting an evaluation, together with members of our management, of the effectiveness of the design and operation of our disclosure controls and procedures as of June 30, 2026, have concluded that our disclosure controls and procedures (as defined in Rule 13a-15(e) under the Exchange Act) were effective as of June 30, 2026, at a reasonable level of assurance.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recently completed fiscal quarter that have materially affected, or are reasonably likely to materially affect, our internal controls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9" w:name="part_ii_or_information"/>
      <w:bookmarkEnd w:id="29"/>
      <w:r>
        <w:rPr>
          <w:rFonts w:ascii="Times New Roman" w:hAnsi="Times New Roman"/>
          <w:b/>
          <w:color w:val="000000"/>
          <w:sz w:val="20"/>
        </w:rPr>
        <w:t>PART II</w:t>
      </w:r>
      <w:r>
        <w:rPr>
          <w:rFonts w:ascii="Times New Roman" w:hAnsi="Times New Roman"/>
          <w:color w:val="000000"/>
          <w:sz w:val="20"/>
        </w:rPr>
        <w:t xml:space="preserve"> – </w:t>
      </w: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30" w:name="item_1_legal_proceedings"/>
      <w:bookmarkEnd w:id="30"/>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are a party to various legal proceedings, claims or regulatory inquiries and investigations arising out of, or incident to, our ordinary course of business. While we are unable to predict with certainty the outcome of any particular matter, management does not expect, when such matters are resolved, that our resulting exposure to loss contingencies, if any, will have a material adverse effect on our consolidated financial position.</w:t>
      </w:r>
    </w:p>
    <w:p>
      <w:pPr>
        <w:pStyle w:val="TextBody"/>
        <w:bidi w:val="0"/>
        <w:spacing w:before="240" w:after="283"/>
        <w:jc w:val="left"/>
        <w:rPr>
          <w:rFonts w:ascii="Times New Roman" w:hAnsi="Times New Roman"/>
          <w:sz w:val="20"/>
        </w:rPr>
      </w:pPr>
      <w:bookmarkStart w:id="31" w:name="item_1a_risk_factors"/>
      <w:bookmarkEnd w:id="31"/>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both"/>
        <w:rPr/>
      </w:pPr>
      <w:r>
        <w:rPr>
          <w:rFonts w:ascii="Times New Roman" w:hAnsi="Times New Roman"/>
          <w:color w:val="000000"/>
          <w:sz w:val="20"/>
        </w:rPr>
        <w:t>Except to the extent additional factual information disclosed elsewhere in this Report relates to such risk factors (including, without limitation, the matters discussed in Part I, “</w:t>
      </w: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r>
        <w:rPr>
          <w:rFonts w:ascii="Times New Roman" w:hAnsi="Times New Roman"/>
          <w:color w:val="000000"/>
          <w:sz w:val="20"/>
        </w:rPr>
        <w:t>”), there were no material changes to the risk factors disclosed in Part I, “Item 1A. Risk Factors” of our Annual Report on Form 10-K for the year ended December 31, 2025.</w:t>
      </w:r>
    </w:p>
    <w:p>
      <w:pPr>
        <w:pStyle w:val="TextBody"/>
        <w:bidi w:val="0"/>
        <w:spacing w:before="240" w:after="283"/>
        <w:jc w:val="left"/>
        <w:rPr>
          <w:rFonts w:ascii="Times New Roman" w:hAnsi="Times New Roman"/>
          <w:sz w:val="20"/>
        </w:rPr>
      </w:pPr>
      <w:bookmarkStart w:id="32" w:name="item_2_unregistered_sales_equity_securit"/>
      <w:bookmarkEnd w:id="32"/>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33" w:name="item_3_defaults_upon_senior_securities"/>
      <w:bookmarkEnd w:id="33"/>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34" w:name="item_4_mine_safety_disclosures"/>
      <w:bookmarkEnd w:id="34"/>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240" w:after="283"/>
        <w:jc w:val="both"/>
        <w:rPr>
          <w:rFonts w:ascii="Times New Roman" w:hAnsi="Times New Roman"/>
          <w:color w:val="000000"/>
          <w:sz w:val="20"/>
        </w:rPr>
      </w:pPr>
      <w:bookmarkStart w:id="35" w:name="not_applicable"/>
      <w:bookmarkEnd w:id="35"/>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6" w:name="item_5_or_information"/>
      <w:bookmarkEnd w:id="36"/>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Trading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June 30, 2026, none of our officers or trustees (as defined in Rule 16a-1(f) of the Exchange Act) adopted, terminated, or modified any contract, instruction or written plan for the purchase or sale of our securities that was intended to satisfy the affirmative defense conditions of Rule 10b5-1(c) or any non-Rule 10b5-1 trading arrangement (as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37" w:name="item_6_exhibits"/>
      <w:bookmarkEnd w:id="3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an index to all exhibits including (i) those filed with this Quarterly Report on Form 10-Q and (ii) those incorporated by reference herein: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
        <w:gridCol w:w="147"/>
        <w:gridCol w:w="1677"/>
        <w:gridCol w:w="5196"/>
        <w:gridCol w:w="619"/>
        <w:gridCol w:w="205"/>
        <w:gridCol w:w="1727"/>
      </w:tblGrid>
      <w:tr>
        <w:trPr/>
        <w:tc>
          <w:tcPr>
            <w:tcW w:w="6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5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781"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677"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81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205"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Method of Filing</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both"/>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10.1</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Fourth Amended and Restated Credit Agreement, dated as of April 17, 2026, by and among Acadia Realty Limited Partnership, certain subsidiaries of Acadia Realty Limited Partnership, Acadia Realty Trust, and Bank of America, N.A., as administrative agent, Wells Fargo Bank, National Association, M&amp;T Bank, Truist Bank, and PNC Bank, National Association, as syndication agents, BofA Securities, Inc. and Wells Fargo Securities, LLC, as joint bookrunners, BofA Securities, Inc., Wells Fargo Securities, LLC, M&amp;T Bank, Truist Securities, Inc. and PNC Capital Markets LLC, as joint lead arrangers, Citizens Bank, N.A, JPMorgan Chase Bank, N.A. and TD Bank, as documentation agents, and the lenders and letter of credit issuers party thereto</w:t>
            </w:r>
          </w:p>
        </w:tc>
        <w:tc>
          <w:tcPr>
            <w:tcW w:w="619" w:type="dxa"/>
            <w:tcBorders/>
            <w:tcMar>
              <w:top w:w="0" w:type="dxa"/>
              <w:left w:w="0" w:type="dxa"/>
              <w:bottom w:w="0" w:type="dxa"/>
              <w:right w:w="0" w:type="dxa"/>
            </w:tcMar>
            <w:vAlign w:val="center"/>
          </w:tcPr>
          <w:p>
            <w:pPr>
              <w:pStyle w:val="TableContents"/>
              <w:bidi w:val="0"/>
              <w:spacing w:before="0" w:after="283"/>
              <w:jc w:val="both"/>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Incorporated by reference to Exhibit 10.1 to the Company’s Current Report on Form 8-K filed on April 20, 2026</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both"/>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hyperlink w:anchor="akr-ex31_1.htm">
              <w:r>
                <w:rPr>
                  <w:rStyle w:val="InternetLink"/>
                  <w:rFonts w:ascii="Times New Roman" w:hAnsi="Times New Roman"/>
                  <w:color w:val="0000FF"/>
                  <w:sz w:val="20"/>
                  <w:u w:val="single"/>
                </w:rPr>
                <w:t>31.1</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Executive Officer pursuant to rule 13a-14(a)/15d-14(a) of the Securities Exchange Act of 1934, as adopted pursuant to Section 302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Filed herewith</w:t>
            </w:r>
          </w:p>
          <w:p>
            <w:pPr>
              <w:pStyle w:val="TableContents"/>
              <w:bidi w:val="0"/>
              <w:jc w:val="left"/>
              <w:rPr/>
            </w:pPr>
            <w:r>
              <w:rPr/>
              <w:t> </w:t>
            </w:r>
          </w:p>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hyperlink w:anchor="akr-ex31_2.htm">
              <w:r>
                <w:rPr>
                  <w:rStyle w:val="InternetLink"/>
                  <w:rFonts w:ascii="Times New Roman" w:hAnsi="Times New Roman"/>
                  <w:color w:val="0000FF"/>
                  <w:sz w:val="20"/>
                  <w:u w:val="single"/>
                </w:rPr>
                <w:t>31.2</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Financial Officer pursuant to rule 13a-14(a)/15d-14(a) of the Securities Exchange Act of 1934, as adopted pursuant to Section 302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hyperlink w:anchor="akr-ex32_1.htm">
              <w:r>
                <w:rPr>
                  <w:rStyle w:val="InternetLink"/>
                  <w:rFonts w:ascii="Times New Roman" w:hAnsi="Times New Roman"/>
                  <w:color w:val="0000FF"/>
                  <w:sz w:val="20"/>
                  <w:u w:val="single"/>
                </w:rPr>
                <w:t>32.1</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Executive Officer pursuant to 18 U.S.C. Section 1350, as adopted pursuant to Section 906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hyperlink w:anchor="akr-ex32_2.htm">
              <w:r>
                <w:rPr>
                  <w:rStyle w:val="InternetLink"/>
                  <w:rFonts w:ascii="Times New Roman" w:hAnsi="Times New Roman"/>
                  <w:color w:val="0000FF"/>
                  <w:sz w:val="20"/>
                  <w:u w:val="single"/>
                </w:rPr>
                <w:t>32.2</w:t>
              </w:r>
            </w:hyperlink>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Financial Officer pursuant to 18 U.S.C. Section 1350, as adopted pursuant to Section 906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87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451"/>
        <w:gridCol w:w="176"/>
        <w:gridCol w:w="2641"/>
      </w:tblGrid>
      <w:tr>
        <w:trPr/>
        <w:tc>
          <w:tcPr>
            <w:tcW w:w="4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ACADIA REALTY TRUST</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(Registrant)</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Kenneth F. Bernstein</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Kenneth F. Bernstein</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Trustee</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John Gottfried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John Gottfried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and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(Principal Financial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David Buell</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David Buell</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Senior Vice President and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Accounting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July 29, 2026</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akr-ex31_1.htm"/>
      <w:bookmarkStart w:id="40" w:name="ksakrex31_1"/>
      <w:bookmarkEnd w:id="39"/>
      <w:bookmarkEnd w:id="4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EXECUTIVE OFFICER PURSUANT TO RULE 13a - 14(a)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Kenneth F. Bernstein,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Acadia Realty Trust;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akr-ex31_2.htm"/>
      <w:bookmarkStart w:id="42" w:name="ksakrex31_2"/>
      <w:bookmarkEnd w:id="41"/>
      <w:bookmarkEnd w:id="4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FINANCIAL OFFICER PURSUANT TO RULE 13a - 14(a)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Gottfried,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Acadia Realty Trust;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akr-ex32_1.htm"/>
      <w:bookmarkStart w:id="44" w:name="ksakrex32_1"/>
      <w:bookmarkEnd w:id="43"/>
      <w:bookmarkEnd w:id="4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EXECUTIVE OFFICER PURSUANT TO 18 U.S.C. SECTION 1350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Acadia Realty Trust (the “Company”) for the quarter ended June 30, 2026, as filed with the Securities and Exchange Commission on the date hereof (the “Report”), I, Kenneth F. Bernstein, President and Chief Executive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akr-ex32_2.htm"/>
      <w:bookmarkStart w:id="46" w:name="ksakrex32_2"/>
      <w:bookmarkEnd w:id="45"/>
      <w:bookmarkEnd w:id="4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FINANCIAL OFFICER PURSUANT TO 18 U.S.C. SECTION 1350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Acadia Realty Trust (the “Company”) for the quarter ended June 30, 2026, as filed with the Securities and Exchange Commission on the date hereof (the “Report”), I, John Gottfried, Executive Vice President and Chief Financial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99629/000110465926045244/tm2612083d1_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28339</Words>
  <Characters>157103</Characters>
  <CharactersWithSpaces>189967</CharactersWithSpaces>
  <Paragraphs>15536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