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9,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ACADIA REALTY TRUST</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Maryland</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1-12002</w:t>
      </w:r>
    </w:p>
    <w:p>
      <w:pPr>
        <w:spacing w:after="0" w:line="27"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23-2715194</w:t>
      </w:r>
    </w:p>
    <w:p>
      <w:pPr>
        <w:spacing w:after="0" w:line="2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40" w:space="720"/>
            <w:col w:w="2660" w:space="720"/>
            <w:col w:w="3100"/>
          </w:cols>
          <w:pgMar w:left="320" w:top="754"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411 Theodore Fremd Avenue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Rye, New York 10580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(914) 288-8100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4"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43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Title of class of registered</w:t>
            </w:r>
          </w:p>
        </w:tc>
        <w:tc>
          <w:tcPr>
            <w:tcW w:w="27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20"/>
        </w:trPr>
        <w:tc>
          <w:tcPr>
            <w:tcW w:w="434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7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symbol</w:t>
            </w:r>
          </w:p>
        </w:tc>
        <w:tc>
          <w:tcPr>
            <w:tcW w:w="34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43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rPr>
              <w:t>Common shares of beneficial interest, par value</w:t>
            </w:r>
          </w:p>
        </w:tc>
        <w:tc>
          <w:tcPr>
            <w:tcW w:w="2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AKR</w:t>
            </w:r>
          </w:p>
        </w:tc>
        <w:tc>
          <w:tcPr>
            <w:tcW w:w="34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434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8"/>
              </w:rPr>
              <w:t>$0.001 per share</w:t>
            </w:r>
          </w:p>
        </w:tc>
        <w:tc>
          <w:tcPr>
            <w:tcW w:w="270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9, 2026, Acadia Realty Trust (the “Company”) and its operating partnership, Acadia Realty Limited Partnership (the “Operating Partnership”), entered into an underwriting agreement (the “Underwriting Agreement”) with BofA Securities, Inc., Jefferies LLC, Truist Securities, Inc. and Wells Fargo Securities, LLC, in their capacity as underwriters and/or forward sellers, as applicable (collectively, the “Underwriters”), and Bank of America, N.A., Jefferies LLC, Truist Bank and Wells Fargo Bank, National Association, in their capacity as forward purchasers (collectively, the “Forward Purchasers”), relating to the offer and sale (the “Offering”) of 9,000,000 common shares of beneficial interest, par value $0.001 per share (“Common Shares”), of the Company by the Underwriters in connection with the forward sale agreements described below. The Underwriters were granted an option to purchase up to an additional 1,350,000 Common Shares within 30 days from June 9, 2026. The Company will not initially receive any proceeds from the sale of the Common Shares by the Underwriters. The Underwriting Agreement contains customary representations, warranties and covenants among the parties.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on June 9, 2026, the Company also entered into separate forward sale agreements (collectively, the “Forward Sale Agreements”) with each of the Forward Purchasers. On the same day, the Forward Purchasers borrowed from third parties and sold to the Underwriters an aggregate of 9,000,000 Common Shares (subject to increase if the Underwriters exercise their option to purchase additional shares). The Company expects to physically settle the Forward Sale Agreements and receive proceeds, subject to certain adjustments, from the sale of the Common Shares upon one or more such physical settlements no later than June 9, 2027. Although the Company expects to settle the Forward Sale Agreements entirely by the physical delivery of Common Shares for cash proceeds, the Company may also elect to cash settle or net share settle all or a portion of its obligations under the Forward Sale Agreements, in which case, the Company may not receive any proceeds, and the Company may owe cash or Common Shares to the Forward Purchasers.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full physical settlement of the Forward Sale Agreements at an initial forward sale price of $21.80 per share (which is the price at which the Underwriters agreed to buy the Common Shares), the Company expects to receive net proceeds of approximately $195.6 million (or approximately $225.0 million if the Underwriters exercise their option to purchase additional Common Shares in full), after deducting estimated expenses related to the Forward Sale Agreements and the Offering. The initial forward sale price is subject to certain adjustments pursuant to the terms of the Forward Sale Agreements. The Forward Sale Agreements are subject to early termination or settlement under certain circumstances.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contribute the net proceeds it receives upon the settlement of the Forward Sale Agreements to the Operating Partnership, which intends to use the net proceeds to fund acquisition opportunities arising in the Company’s existing street portfolio markets and/or for other general corporate purposes, which may include the repayment of outstanding indebtedness, working capital and other general corporate purpose activities. Pending such usage, the Operating Partnership expects to invest the net proceeds in short-term instruments.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Offering was made pursuant to the Company’s effective shelf registration statement on Form S-3 (Registration No. 333-275356) filed with the Securities and Exchange Commission on November 7, 2023, and a prospectus supplement dated June 9,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Offering occurred on June 11, 2026. The foregoing description of the Underwriting Agreement and the Forward Sale Agreements does not purport to be complete and is qualified in its entirety by reference to the exhibits filed with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Underwriting Agreement, dated as of June 9, 2026, by and among Acadia Realty Trust, Acadia Realty Limited Partnership, and BofA</w:t>
            </w:r>
          </w:p>
        </w:tc>
      </w:tr>
      <w:tr>
        <w:trPr>
          <w:trHeight w:val="196"/>
        </w:trPr>
        <w:tc>
          <w:tcPr>
            <w:tcW w:w="2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9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Securities, Inc., Jefferies LLC, Truist Securities, Inc. and Wells Fargo Securities, LLC, in their capacity as underwriters and/or forward</w:t>
            </w:r>
          </w:p>
        </w:tc>
      </w:tr>
      <w:tr>
        <w:trPr>
          <w:trHeight w:val="196"/>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sellers, and Bank of America, N.A., Jefferies LLC, Truist Bank and Wells Fargo Bank, National Association, in their capacity as forward</w:t>
            </w:r>
          </w:p>
        </w:tc>
      </w:tr>
      <w:tr>
        <w:trPr>
          <w:trHeight w:val="196"/>
        </w:trPr>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purchasers</w:t>
            </w:r>
          </w:p>
        </w:tc>
        <w:tc>
          <w:tcPr>
            <w:tcW w:w="91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2</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9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 Sale Agreement, dated June 9, 2026, between the Company and Bank of America, N.A.</w:t>
            </w:r>
          </w:p>
        </w:tc>
        <w:tc>
          <w:tcPr>
            <w:tcW w:w="2960" w:type="dxa"/>
            <w:vAlign w:val="bottom"/>
            <w:gridSpan w:val="3"/>
          </w:tcPr>
          <w:p>
            <w:pPr>
              <w:spacing w:after="0"/>
              <w:rPr>
                <w:sz w:val="17"/>
                <w:szCs w:val="17"/>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3</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 Sale Agreement, dated June 9, 2026, between the Company and Jefferies LLC</w:t>
            </w:r>
          </w:p>
        </w:tc>
        <w:tc>
          <w:tcPr>
            <w:tcW w:w="3640" w:type="dxa"/>
            <w:vAlign w:val="bottom"/>
            <w:gridSpan w:val="4"/>
          </w:tcPr>
          <w:p>
            <w:pPr>
              <w:spacing w:after="0"/>
              <w:rPr>
                <w:sz w:val="17"/>
                <w:szCs w:val="17"/>
                <w:color w:val="auto"/>
              </w:rPr>
            </w:pPr>
          </w:p>
        </w:tc>
      </w:tr>
      <w:tr>
        <w:trPr>
          <w:trHeight w:val="196"/>
        </w:trPr>
        <w:tc>
          <w:tcPr>
            <w:tcW w:w="2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4</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Forward Sale Agreement, dated June 9, 2026, between the Company and Truist Bank</w:t>
            </w:r>
          </w:p>
        </w:tc>
      </w:tr>
      <w:tr>
        <w:trPr>
          <w:trHeight w:val="20"/>
        </w:trPr>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5</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 Sale Agreement, dated June 9, 2026, between the Company and Wells Fargo Bank, National Association</w:t>
            </w:r>
          </w:p>
        </w:tc>
        <w:tc>
          <w:tcPr>
            <w:tcW w:w="1740" w:type="dxa"/>
            <w:vAlign w:val="bottom"/>
            <w:gridSpan w:val="2"/>
          </w:tcPr>
          <w:p>
            <w:pPr>
              <w:spacing w:after="0"/>
              <w:rPr>
                <w:sz w:val="17"/>
                <w:szCs w:val="17"/>
                <w:color w:val="auto"/>
              </w:rPr>
            </w:pPr>
          </w:p>
        </w:tc>
      </w:tr>
      <w:tr>
        <w:trPr>
          <w:trHeight w:val="196"/>
        </w:trPr>
        <w:tc>
          <w:tcPr>
            <w:tcW w:w="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Venable LLP</w:t>
            </w:r>
          </w:p>
        </w:tc>
        <w:tc>
          <w:tcPr>
            <w:tcW w:w="8160" w:type="dxa"/>
            <w:vAlign w:val="bottom"/>
            <w:gridSpan w:val="7"/>
          </w:tcPr>
          <w:p>
            <w:pPr>
              <w:spacing w:after="0"/>
              <w:rPr>
                <w:sz w:val="17"/>
                <w:szCs w:val="17"/>
                <w:color w:val="auto"/>
              </w:rPr>
            </w:pPr>
          </w:p>
        </w:tc>
      </w:tr>
      <w:tr>
        <w:trPr>
          <w:trHeight w:val="196"/>
        </w:trPr>
        <w:tc>
          <w:tcPr>
            <w:tcW w:w="13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9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Venable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0"/>
                <w:szCs w:val="20"/>
                <w:color w:val="auto"/>
              </w:rPr>
            </w:pPr>
          </w:p>
        </w:tc>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r>
        <w:trPr>
          <w:trHeight w:val="432"/>
        </w:trPr>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2026</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Gottfried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Gottfried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9,000,000 Common Shares of Beneficial Interest</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(par value $0.001 per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740 Battery Ave SE,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Underwriters and Forward Sellers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Bank of America,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c/o Truist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740 Battery Ave SE,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Forward Purchasers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Acadia Realty Trust, a Maryland real estate investment trust (the “Company”), and Acadia Realty Limited Partnership, a Delaware limited partnership (the “Partnership”), BofA Securities, Inc., Jefferies LLC, Truist Securities, Inc. and Wells Fargo Securities, LLC (in such agency capacities, each, a “Forward Seller” and collectively, the “Forward Sellers”) and Bank of America, N.A., Jefferies LLC, Truist Bank and Wells Fargo Bank, National Association at the request of the Company in connection with the Confirmation (as defined below) (in such capacities, each, a “Forward Purchaser” and collectively, the “Forward Purchasers”) confirm their agreement with each of BofA Securities, Inc., Jefferies LLC, Truist Securities, Inc. and Wells Fargo Securities, LLC (each, an Underwriter and collectively, the “Underwriters”) with respect to (i) the sale by the Forward Sellers and the purchase by the Underwriters, acting severally and not jointly, of an aggregate of 9,000,000 shares (the “Borrowed Firm Shares”) of the Company’s common shares of beneficial interest, par value $0.001 per share (“Common Shares”), and (ii) the grant to the Underwriters, acting severally and not jointly, of the option described in Section 2 hereof to purchase all or any part of 1,350,000 additional Common Shares (the “Option Shares”).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Option Shares sold to the Underwriters by a Forward Seller pursuant to Section 2 hereof upon exercise of the option described therein are herein referred to as the “Borrowed Option Shares.” Any Option Shares sold to the Underwriters by the Company pursuant to Section 2 hereof upon exercise of such option and any Company Top-Up Option Shares (as defined in Section 3(a) hereof) are herein referred to as the “Company Option Shares.” The Borrowed Firm Shares and the Company Top-Up Firm Shares (as defined in Section 3(a) hereof) are herein referred to collectively as the “Firm Shares.” The Company Top-Up Firm Shares and the Company Top-Up Option Shares are herein referred to collectively as the “Company Shares.” The Borrowed Firm Shares and the Borrowed Option Shares are herein referred to collectively as the “Borrowed Shares.” The Borrowed Shares and the Company Shares are herein referred to as the “Shares.” The Shares are described in the Prospectus which is referred to below.</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used herein, “Confirmation” means each letter agreement, dated the date hereof, between the Company and each Forward Purchaser, relating to the forward sale by the Company, subject to the Company’s right to elect Cash Settlement or Net Share Settlement (as such terms are defined in the Confirmation), of a number of Common Shares equal to the number of Borrowed Firm Shares sold by the Forward Seller to the Underwriters pursuant to this Agreement. References herein to the “Confirmation” are to the initial Confirmation and/or the Additional Confirmation (as defined in Section 2 hereof) as the context requires.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Shares on the terms set forth herein as soon as the Underwriters deem advisable after this Agreement has been executed and delivered.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Partnership hereby confirm their agreement with each of the Forward Sellers, Forward Purchasers and Underwriters concerning the purchase and sale of the Shares, as follows:</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(File No. 333-275356), including a base prospectus contained therein (the “Base Prospectus”), relating to the Shares. Such registration statement, including the information, if any, deemed pursuant to Rule 430A, 430B or 430C under the Securities Act to be part of the registration statement at the time of its effectiveness (“Rule 430 Information”), is referred to herein as the “Registration Statement”. No post-effective amendment to the Registration Statement has been filed as of the date of this Agreement. If the Company has filed an abbreviated registration statement pursuant to Rule 462(b) under the Securities Act (the “Rule 462 Registration Statement”), then any reference herein to the term “Registration Statement” shall be deemed to include such Rule 462 Registration Statement. Any preliminary prospectus relating to the Shares, including any preliminary prospectus supplement relating to the Shares filed with the Commission, together with the Base Prospectus is herein referred to as a “Preliminary Prospectus”. “Prospectus” means the Base Prospectus together with the final prospectus supplement filed with the Commission pursuant to and within the time limits described in Rule 424(b) under the Securities Act. Any reference in this Agreement to the Registration Statement, any Preliminary Prospectus or the Prospectus, or to any amendment or supplement thereto, shall be deemed to refer to and include the filing of any document under the Securities Exchange Act of 1934, as amended, and the rules and regulations of the Commission thereunder (the “Exchange Act”), which is or is deemed to be incorporated by reference in the Registration Statement, any Preliminary Prospectus or the Prospectus, as the case may be, and, in the case of any reference herein to the Prospectus, also shall be deemed to include any documents incorporated by reference therein, and any supplements or amendments thereto, filed with the Commission after the date of filing of the final prospectus supplement under Rule 424(b) under the Securities Act, and prior to the termination of the offering of the Shares by the Underwriters. At or prior to the Applicable Time (as defined below), the Company had prepared the following information (collectively with the pricing information set forth on Item (b) of Annex A, the “Pricing Disclosure Package”): a Preliminary Prospectus dated June 9, 2026 and each “free-writing prospectus” (as defined pursuant to Rule 405 under the Securities Act) listed on Annex A hereto.</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7:00 P.M., New York City time, on June 9,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Agreement to Sell and Purchase.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the basis of the warranties and representations and subject to the terms and conditions herein set forth, each Forward Seller (with respect to the Borrowed Firm Shares) and the Company (with respect to any Company Top-Up Firm Shares), severally and not jointly, agrees to sell to the Underwriters, and each Underwriter agrees, severally and not jointly, to purchase from each such Forward Sellers (with respect to the Borrowed Firm Shares) and the Company (with respect to any Company Top-Up Firm Shares), at a purchase price of $21.80 (the “Purchase Price”) per Firm Share, the number of Firm Shares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opposite the name of such Underwriter. Each Forward Seller’s obligations extend solely to the respective number of Borrowed Firm Shares set forth opposite the name of such Forward Seller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under the heading “Number of Borrowed Firm Shares To Be Sold” at the Purchase Price.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several Underwriters shall have the option to purchase pursuant to clause (a) or clause (b) below as applicable, severally and not jointly, ratably in accordance with the number of Firm Shares to be purchased by each of them, all or a portion of the Option Shares at a purchase price per Option Share equal to the Purchase Price (the “Option Shares Purchase Price”). This option may be exercised by the Underwriters at any time, and from time to time, on or before the thirtieth day following the date hereof, by written notice to the Company and the Forward Sellers. Such notice shall set forth the aggregate number of Option Shares as to which the option is being exercised and the date and time when the Option Shares are to be delivered (such date and time being herein referred to as the “Additional Closing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Additional Closing Date shall not be (i) earlier than the Closing Date (as defined below) or (ii) unless otherwise agreed to by the Company, the Forward Sellers and the Underwriters, earlier than the second or later than the tenth Business Day after the date on which the option shall have been exercised. Any such notice shall be given at least two Business Days prior to the date and time of delivery specified therein. As used herein “Business Day” shall mean a day on which the New York Stock Exchange (“NYSE”) is open for trading or commercial banks in the City of New York are open for business.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delivery of an exercise notice:</w:t>
      </w:r>
    </w:p>
    <w:p>
      <w:pPr>
        <w:spacing w:after="0" w:line="225" w:lineRule="exact"/>
        <w:rPr>
          <w:sz w:val="20"/>
          <w:szCs w:val="20"/>
          <w:color w:val="auto"/>
        </w:rPr>
      </w:pPr>
    </w:p>
    <w:p>
      <w:pPr>
        <w:jc w:val="both"/>
        <w:ind w:left="980" w:hanging="324"/>
        <w:spacing w:after="0" w:line="253"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use its commercially reasonable best efforts to, within two Business Days after such notice is given, execute and deliver to each Forward Seller an additional letter agreement between the Company and such Forward Purchaser (each, an “Additional Confirmation”) relating to the forward sale by the Company, subject to the Company’s right to elect Cash Settlement or Net Share Settlement (as such terms are defined in such Additional Confirmation), of a number of Common Shares equal to the aggregate number of Option Shares being purchased by the Underwriters from each Forward Seller pursuant to the exercise of such option, on terms substantially similar to the initial Confirmation</w:t>
      </w:r>
      <w:r>
        <w:rPr>
          <w:rFonts w:ascii="Times New Roman" w:cs="Times New Roman" w:eastAsia="Times New Roman" w:hAnsi="Times New Roman"/>
          <w:sz w:val="18"/>
          <w:szCs w:val="18"/>
          <w:i w:val="1"/>
          <w:iCs w:val="1"/>
          <w:color w:val="auto"/>
        </w:rPr>
        <w:t>, mutatis mutandis</w:t>
      </w:r>
      <w:r>
        <w:rPr>
          <w:rFonts w:ascii="Times New Roman" w:cs="Times New Roman" w:eastAsia="Times New Roman" w:hAnsi="Times New Roman"/>
          <w:sz w:val="18"/>
          <w:szCs w:val="18"/>
          <w:color w:val="auto"/>
        </w:rPr>
        <w:t xml:space="preserve">, as agreed by the parties. Upon the Company’s execution and delivery to each Forward Purchaser of such Additional Confirmation, each Forward Purchaser shall promptly execute and deliver such Additional Confirmation to the Company, and upon such execution and delivery to the Company, upon the basis of the warranties and representations and subject to the terms and conditions herein set forth, each Forward Seller (or, in the case of any Company Top-Up Option Shares, the Company), severally and not jointly, hereby agrees to sell to the several Underwriters such number of Option Shares at the Option Shares Purchase Price. Each Forward Seller’s obligations extend solely to the number of Borrowed Option Shares, which shall be not more than the number set forth opposite the name of such Forward Seller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under the heading “Maximum Number of Borrowed Option Shares To Be Sold,” at the Option Shares Purchase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timely execute and deliver an Additional Confirmation pursuant to clause (a) above, then, upon the basis of the warranties and representations and subject to the terms and conditions herein set forth, the Company agrees to sell to the several Underwriters the aggregate number of Option Shares with respect to which the option is being exercised at the Option Shares Purchase Price.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If (i) any of the representations and warranties of the Company contained herein or any certificate delivered by the Company pursuant hereto are not true and correct as of the Closing Date or any Additional Closing Date, as the case may be, as if made as of the Closing Date or such Additional Closing Date, (ii) the Company has not performed all of the obligations required to be performed by it under this Agreement on or prior to the Closing Date or such Additional Closing Date, (iii) any of the conditions set forth in Section 7 hereof have not been satisfied on or prior to the Closing Date or such Additional Closing Date, (iv) this Agreement shall have been terminated pursuant to Section 12 hereof on or prior to the Closing Date or such Additional Closing Date or the Closing Date or such Additional Closing Date shall not have occurred, (v) any of the conditions set forth in Section 3 of the initial Confirmation (or the equivalent section of the Additional Confirmation) shall not have been satisfied on or prior to the Closing Date or such Additional Closing Date or (vi) any of the representations and warranties of the Company contained in the Confirmation are not true and correct as of the Closing Date or such Additional Closing Date as if made as of the Closing Date or such Additional Closing Date (clauses (i) through (vi), together, the “Conditions”), then each Forward Seller, in its sole discretion, may elect not to (or in the case of clause (iv), will not) borrow and deliver for sale to the Underwriters the Borrowed Shares otherwise deliverable on such date. In addition, in the event a Forward Seller determines such Forward Seller is unable to borrow and deliver for sale under this Agreement a number of Common Shares equal to the number of Borrowed Shares pursuant to the terms of the Confirmation to be sold by it hereunder, such Forward Seller shall only be required to deliver for sale to the Underwriters at the Closing Date or any Additional Closing Date, as the case may be, the aggregate number of Common Shares that such Forward Seller or its affiliate is able to so borrow in connection with establishing its commercially reasonable hedge position at or below such cost.</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Forward Seller elects, pursuant to the preceding paragraph not to borrow and deliver for sale to the Underwriters at the Closing Date or any Additional Closing Date, as the case may be, the total number of Borrowed Shares to be sold by it hereunder, such Forward Seller will use its commercially reasonable efforts to notify the Company no later than 5:00 p.m., New York City time, on the Business Day prior to the Closing Date or such Additional Closing Date. Notwithstanding anything to the contrary herein, in no event will the Company be required to issue or deliver any Company Shares prior to the second Business Day following notice to the Company of the relevant number of Shares so deliverable in accordance with this paragraph.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44"/>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Delivery of the Shares and Payment Therefor.</w:t>
      </w:r>
    </w:p>
    <w:p>
      <w:pPr>
        <w:spacing w:after="0" w:line="225" w:lineRule="exact"/>
        <w:rPr>
          <w:sz w:val="20"/>
          <w:szCs w:val="20"/>
          <w:color w:val="auto"/>
        </w:rPr>
      </w:pPr>
    </w:p>
    <w:p>
      <w:pPr>
        <w:jc w:val="both"/>
        <w:ind w:left="324" w:hanging="324"/>
        <w:spacing w:after="0" w:line="253" w:lineRule="auto"/>
        <w:tabs>
          <w:tab w:leader="none" w:pos="3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The Firm Shares to be purchased by the Underwriters hereunder, in definitive form, and in such authorized denominations and registered in such names as the Underwriters may request upon at least forty-eight (48) hours’ prior notice to the Forward Sellers or the Company, as the case may be, shall be delivered by or on behalf of the Forward Sellers or the Company, as the case may be, to the Underwriters, including, at the option of the Underwriters, through the facilities of The Depository Trust Company (“DTC”) for the account of the Underwriters, against payment by or on behalf of the Underwriters of the purchase price therefor by wire transfer of Federal (same-day) funds to the account specified to the Underwriters by each Forward Seller (with respect to the Borrowed Firm Shares) or by the Company (with respect to the Company Top-Up Shares), in either case, upon at least forty-eight (48) hours’ prior notice. The time, date and place of such delivery and payment shall be 10:00 a.m., New York City time, on the first (second, if the determination of the purchase price of the Firm Shares occurs after 4:00 p.m., New York City time) business day after the date hereof (unless another time and date shall be agreed to by the Underwriters, the Forward Sellers or the Company, as applicable) at the office of Fried, Frank, Harris, Shriver &amp; Jacobson LLP, counsel for the Underwriters, 801 17th Street, NW Washington, DC 20006. The time and date at which such delivery and payment are actually made is hereinafter called the “Closing Date.”</w:t>
      </w:r>
    </w:p>
    <w:p>
      <w:pPr>
        <w:spacing w:after="0" w:line="189" w:lineRule="exact"/>
        <w:rPr>
          <w:rFonts w:ascii="Times New Roman" w:cs="Times New Roman" w:eastAsia="Times New Roman" w:hAnsi="Times New Roman"/>
          <w:sz w:val="18"/>
          <w:szCs w:val="18"/>
          <w:i w:val="1"/>
          <w:iCs w:val="1"/>
          <w:color w:val="auto"/>
        </w:rPr>
      </w:pPr>
    </w:p>
    <w:p>
      <w:pPr>
        <w:jc w:val="both"/>
        <w:ind w:left="324" w:hanging="324"/>
        <w:spacing w:after="0" w:line="253" w:lineRule="auto"/>
        <w:tabs>
          <w:tab w:leader="none" w:pos="3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Any Option Shares to be purchased by the Underwriters hereunder, in definitive form, and in such authorized denominations and registered in such names as the Underwriters may request upon at least forty-eight (48) hours’ prior notice to the Forward Sellers shall be delivered by or on behalf of the Forward Sellers or the Company, as the case may be, to the Underwriters, including, at the option of the Underwriters, through the facilities of DTC for the account of the Underwriters, against payment by or on behalf of the Underwriters of the purchase price therefor by wire transfer of Federal (same-day) funds to the account specified to the Underwriters by the Company (with respect to the Company Option Shares) or the Forward Sellers (with respect to the Borrowed Option Shares), as the case may be, upon at least forty-eight (48) hours’ prior notice. The time, date and place of such delivery and payment shall be 9:30 a.m., New York City time, on the date specified by the Underwriters in the notice given by the Underwriters to the Company or the Forward Sellers, as the case may be, of the Underwriters’ election to purchase such Option Shares or on such other time and date as the Company and the Underwriters may agree upon in writing at the office of Fried, Frank, Harris, Shriver &amp; Jacobson LLP, counsel for the Underwriters, 801 17th Street, NW Washington, DC 20006.</w:t>
      </w:r>
    </w:p>
    <w:p>
      <w:pPr>
        <w:spacing w:after="0" w:line="191" w:lineRule="exact"/>
        <w:rPr>
          <w:rFonts w:ascii="Times New Roman" w:cs="Times New Roman" w:eastAsia="Times New Roman" w:hAnsi="Times New Roman"/>
          <w:sz w:val="18"/>
          <w:szCs w:val="18"/>
          <w:i w:val="1"/>
          <w:iCs w:val="1"/>
          <w:color w:val="auto"/>
        </w:rPr>
      </w:pPr>
    </w:p>
    <w:p>
      <w:pPr>
        <w:jc w:val="both"/>
        <w:ind w:left="324" w:hanging="324"/>
        <w:spacing w:after="0" w:line="252" w:lineRule="auto"/>
        <w:tabs>
          <w:tab w:leader="none" w:pos="3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event that a Forward Seller elects not to borrow Shares, pursuant to Section 2 hereof, such Forward Seller or related Forward Purchaser determines pursuant to the terms of the Confirmation it is unable to borrow and deliver for sale under this Agreement a number of Common Shares equal to the number of Borrowed Firm Shares or Borrowed Option Shares, as applicable, to be purchased by the Underwriters on the Closing Date or the Additional Closing Date, as applicable, and deliverable by such Forward Seller hereunder, or an Underwriter acting as Forward Seller determines in good faith, in its commercially reasonable judgment, it is impracticable to do so, then, upon notice by such Forward Seller to the Company (which notice shall be delivered no later than 5:00 p.m., New York City time, on the Business Day immediately preceding the Closing Date or any Additional Closing Date, as the case may be), the Company shall issue and sell to the Underwriters, pursuant to Section 2 hereof, in whole but not in part, an aggregate number of Common Shares equal to the number of Borrowed Firm Shares or Borrowed Option Shares, as applicable, deliverable by the Forward Seller hereunder that the Forward Seller does not so deliver and sell to the Underwriters. In connection with any such issuance and sale by the Company, the Company shall have the right to postpone the Closing Date or the Additional Closing Date, as applicable, for one business day in order to effect any required changes in any documents or arrangements. Any Common Shares sold by the Company to the Underwriters pursuant to this Section 3(c) in lieu of any Borrowed Firm Shares are referred to herein as the “Company Top-Up Firm Shares.” Any Common Shares sold by the Company to the Underwriters pursuant to this Section 3(c) in lieu of any Borrowed Option Shares in respect of which an Additional Confirmation has been executed are referred to herein as the “Company Top-Up Option Shares.”</w:t>
      </w:r>
    </w:p>
    <w:p>
      <w:pPr>
        <w:spacing w:after="0" w:line="200" w:lineRule="exact"/>
        <w:rPr>
          <w:sz w:val="20"/>
          <w:szCs w:val="20"/>
          <w:color w:val="auto"/>
        </w:rPr>
      </w:pPr>
    </w:p>
    <w:p>
      <w:pPr>
        <w:spacing w:after="0" w:line="21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 w:name="page11"/>
    <w:bookmarkEnd w:id="10"/>
    <w:p>
      <w:pPr>
        <w:jc w:val="both"/>
        <w:ind w:left="980" w:hanging="324"/>
        <w:spacing w:after="0" w:line="253" w:lineRule="auto"/>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 Forward Purchaser or Forward Seller shall have any liability whatsoever for any Borrowed Firm Shares or Borrowed Option Shares that any such Forward Seller does not deliver and sell to the Underwriters or any other party if (i) all of the Conditions with respect to the Forward Purchaser and the Forward Seller are not satisfied on or prior to the Closing Date or the Additional Closing Date or any additional time of purchase (in respect of any Borrowed Option Shares in respect of which an Additional Confirmation has been executed), as applicable, and the Forward Seller elects pursuant to Section 2 hereof not to deliver and sell to the Underwriters the Borrowed Firm Shares or Borrowed Option Shares, as applicable, deliverable by the Forward Seller hereunder, or (ii) any such Forward Seller or related Forward Purchaser determines it is unable to borrow and deliver for sale under this Agreement a number of Common Shares equal to the number of Borrowed Shares or Borrowed Option Shares, as applicable, pursuant to the terms of a Confirmation or Additional Confirmation to be sold by it hereunder or (iii) the Forward Seller determines in good faith, in its commercially reasonable judgment, consistent with its normal trading and sales practices and applicable law and regulations, it is either impracticable to do so, it being understood that the foregoing exclusion of liability shall not apply in the case of fraud and/or any intentional misconduct.</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xml:space="preserve"> Each of the Company and the Partnership, jointly and severally, represents and warrants to each Underwriter, each Forward Purchaser and each Forward Seller, that:</w:t>
      </w:r>
    </w:p>
    <w:p>
      <w:pPr>
        <w:spacing w:after="0" w:line="160" w:lineRule="exact"/>
        <w:rPr>
          <w:sz w:val="20"/>
          <w:szCs w:val="20"/>
          <w:color w:val="auto"/>
        </w:rPr>
      </w:pPr>
    </w:p>
    <w:p>
      <w:pPr>
        <w:jc w:val="both"/>
        <w:ind w:left="980" w:hanging="324"/>
        <w:spacing w:after="0" w:line="255" w:lineRule="auto"/>
        <w:tabs>
          <w:tab w:leader="none" w:pos="9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or Forward Purchaser furnished to the Company in writing by such Underwriter or Forward Purchaser expressly for use in any Preliminary Prospectus, it being understood and agreed that the only such information furnished by any Underwriter or Forward Purchaser consists of the information described as such in Section 7(b)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324" w:hanging="324"/>
        <w:spacing w:after="0" w:line="256" w:lineRule="auto"/>
        <w:tabs>
          <w:tab w:leader="none" w:pos="324"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as of the Closing Date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or Forward Purchaser furnished to the Company in writing by such Underwriter or Forward Purchaser expressly for use in such Pricing Disclosure Package, it being understood and agreed that the only such information furnished by any Underwriter or Forward Purchaser consists of the information described as such in Section 7(b) hereof.</w:t>
      </w:r>
    </w:p>
    <w:p>
      <w:pPr>
        <w:spacing w:after="0" w:line="182" w:lineRule="exact"/>
        <w:rPr>
          <w:rFonts w:ascii="Times New Roman" w:cs="Times New Roman" w:eastAsia="Times New Roman" w:hAnsi="Times New Roman"/>
          <w:sz w:val="18"/>
          <w:szCs w:val="18"/>
          <w:i w:val="1"/>
          <w:iCs w:val="1"/>
          <w:color w:val="auto"/>
        </w:rPr>
      </w:pPr>
    </w:p>
    <w:p>
      <w:pPr>
        <w:jc w:val="both"/>
        <w:ind w:left="324" w:hanging="324"/>
        <w:spacing w:after="0" w:line="252" w:lineRule="auto"/>
        <w:tabs>
          <w:tab w:leader="none" w:pos="324"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A hereto, each electronic road show and any other written communications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filed prior to the first use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or Forward Purchaser furnished to the Company in writing by such Underwriter or Forward Purchaser expressly for use in such Issuer Free Writing Prospectus or Preliminary Prospectus, it being understood and agreed that the only such information furnished by any Underwriter or Forward Purchaser consists of the information described as such in Section 7(b) hereof.</w:t>
      </w:r>
    </w:p>
    <w:p>
      <w:pPr>
        <w:spacing w:after="0" w:line="200" w:lineRule="exact"/>
        <w:rPr>
          <w:sz w:val="20"/>
          <w:szCs w:val="20"/>
          <w:color w:val="auto"/>
        </w:rPr>
      </w:pP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2" w:name="page13"/>
    <w:bookmarkEnd w:id="12"/>
    <w:p>
      <w:pPr>
        <w:jc w:val="both"/>
        <w:ind w:left="324" w:hanging="324"/>
        <w:spacing w:after="0" w:line="252" w:lineRule="auto"/>
        <w:tabs>
          <w:tab w:leader="none" w:pos="32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is an “automatic shelf registration statement” as defined under Rule 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or Forward Purchaser furnished to the Company in writing by such Underwriter or Forward Purchaser expressly for use in the Registration Statement and the Prospectus and any amendment or supplement thereto, it being understood and agreed that the only such information furnished by any Underwriter or Forward Purchaser consists of the information described as such in Section 7(b) hereof.</w:t>
      </w:r>
    </w:p>
    <w:p>
      <w:pPr>
        <w:spacing w:after="0" w:line="193" w:lineRule="exact"/>
        <w:rPr>
          <w:rFonts w:ascii="Times New Roman" w:cs="Times New Roman" w:eastAsia="Times New Roman" w:hAnsi="Times New Roman"/>
          <w:sz w:val="18"/>
          <w:szCs w:val="18"/>
          <w:i w:val="1"/>
          <w:iCs w:val="1"/>
          <w:color w:val="auto"/>
        </w:rPr>
      </w:pPr>
    </w:p>
    <w:p>
      <w:pPr>
        <w:jc w:val="both"/>
        <w:ind w:left="324" w:hanging="324"/>
        <w:spacing w:after="0" w:line="254" w:lineRule="auto"/>
        <w:tabs>
          <w:tab w:leader="none" w:pos="32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Incorporated Documents. </w:t>
      </w:r>
      <w:r>
        <w:rPr>
          <w:rFonts w:ascii="Times New Roman" w:cs="Times New Roman" w:eastAsia="Times New Roman" w:hAnsi="Times New Roman"/>
          <w:sz w:val="18"/>
          <w:szCs w:val="18"/>
          <w:color w:val="auto"/>
        </w:rPr>
        <w:t>The documents incorporated by reference in the Registration Statement, the Prospectus and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with the Commission after the date of filing of the final prospectus supplement under Rule 424(b) under the Securities Act in connection with the offering of the Shares, and prior to the termination of the offering of the Shares by the Underwriters,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 w:name="page14"/>
    <w:bookmarkEnd w:id="13"/>
    <w:p>
      <w:pPr>
        <w:jc w:val="both"/>
        <w:ind w:left="324" w:hanging="324"/>
        <w:spacing w:after="0" w:line="251" w:lineRule="auto"/>
        <w:tabs>
          <w:tab w:leader="none" w:pos="324"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included or incorporated by reference in the Registration Statement, the 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present fairly in all material respects the consolidated financial position, the results of operations and cash flows of the Company, the Partnership and their subsidiaries as of and at the dates and for the periods specified. Such Financial Statements comply as to form in all material respects with the applicable accounting requirements of the Securities Act, the Exchange Act, the rules and regulations of the Commission under the Securities Act (the “Securities Act Regulations”) and the rules and regulations of the Commission under the Exchange Act (the “Exchange Act Regulations”) and have been prepared in conformity with generally accepted accounting principles as applied in the United States applied on a consistent basis throughout the periods involved, except as may be expressly stated in the related notes thereto. The pro forma financial statements and other pro forma financial information, if any, included, or incorporated by reference in, the Registration Statement, the Pricing Disclosure Package and the Prospectus include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financial statements included or incorporated by reference in the Registration Statement, the Pricing Disclosure Package and the Prospectus. The pro forma financial statements included or incorporated by reference in the Registration Statement, the Pricing Disclosure Package and the Prospectus comply as to form in all material respects with the applicable accounting requirements of the Regulation S-X under the Securities Act and the pro forma adjustments have been properly applied to the historical amounts in the compilation of those statements. No other historical, pro forma or other financial statements or supporting schedules are required under applicable law, including the Securities Act, the Securities Act Regulations, the Exchange Act and the Exchange Act Regulations, to be included or incorporated by reference in the Registration Statement, the Pricing Disclosure Package and the Prospectus. The financial data included or incorporated by reference in the Registration Statement, the Pricing Disclosure Package and the Prospectus fairly present in all material respects the information set forth therein on a basis consistent with that of the audited financial statements contained in the Company’s most recent Annual Report on Form 10-K. Any non-GAAP financial measures, as defined under Regulation G under the Securities Act, included or incorporated by reference in the Registration Statement, the Pricing Disclosure Package and the Prospectus comply in all material respects with the requirements of Regulation G and Item 10 of Regulation S-K under the Securities Act. The interactive data in eXtensible Business Reporting Language included or incorporated by reference in the Registration Statement, the Pricing Disclosure Package and the Prospectus fairly present the information called for in all material respects and have been prepared in accordance with the Commission’s rules and guidelines applicable thereto.</w:t>
      </w:r>
    </w:p>
    <w:p>
      <w:pPr>
        <w:spacing w:after="0" w:line="203" w:lineRule="exact"/>
        <w:rPr>
          <w:rFonts w:ascii="Times New Roman" w:cs="Times New Roman" w:eastAsia="Times New Roman" w:hAnsi="Times New Roman"/>
          <w:sz w:val="18"/>
          <w:szCs w:val="18"/>
          <w:i w:val="1"/>
          <w:iCs w:val="1"/>
          <w:color w:val="auto"/>
        </w:rPr>
      </w:pPr>
    </w:p>
    <w:p>
      <w:pPr>
        <w:jc w:val="both"/>
        <w:ind w:left="324" w:hanging="324"/>
        <w:spacing w:after="0" w:line="254" w:lineRule="auto"/>
        <w:tabs>
          <w:tab w:leader="none" w:pos="324"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otherwise disclosed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subsequent to the respective dates as of which information is given in the Registration Statement, the Pricing Disclosure Package and the Prospectus: (i) there has been no material adverse change, or any development involving a prospective material adverse change, in the condition, financial or otherwise, or in the earnings, business or operations of the Company, the Partnership and their subsidiaries, considered as one entity (any such change, a “Material Adverse Change”); (ii) there have been no transactions entered into by the Company, the Partnership and their subsidiaries, other than those in the ordinary course of business, which are material with respect to the Company, the Partnership and their subsidiaries, considered as one entity; and (iii) except for regular quarterly dividends on the Common Shares in amounts per share that are materially consistent with past practice, there has been no dividend or distribution of any kind declared, paid or made by the Company on any class of its capital stock.</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4" w:name="page15"/>
    <w:bookmarkEnd w:id="14"/>
    <w:p>
      <w:pPr>
        <w:jc w:val="both"/>
        <w:ind w:left="324" w:hanging="324"/>
        <w:spacing w:after="0" w:line="252" w:lineRule="auto"/>
        <w:tabs>
          <w:tab w:leader="none" w:pos="32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Each of the Company, the Partnership and their subsidiaries has been duly incorporated, formed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organized, as the case may be, and is validly existing as a real estate investment trust, partnership, corporation, limited liability company or other legal entity in good standing under the laws of the jurisdiction of its incorporation, organization or formation, as applicable, and has full real estate investment trust, partnership, corporate, or other power and authority to own, lease and operate its properties and to conduct its business as described in the Registration Statement, the Pricing Disclosure Package and the Prospectus and, in the case of the Company and the Partnership, to enter into and perform their respective obligations under this Agreement, any Confirmation and to consummate the transactions contemplated herein, except as would not reasonably be expected to result in a Material Adverse Change. Each of the Company, the Partnership and each of their subsidiaries is duly qualified as a foreign corporation or other legal entity to transact business and is in good standing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reasonably be expected to result in a Material Adverse Change. All of the issued and outstanding capital stock, membership interests, partnership interests or similar equity interests of each subsidiary of the Company and the Partnership have been duly authorized and validly issued, are fully paid and non-assessable, except as would not, individually or in the aggregate, reasonably be expected to result in a Material Adverse Change. Except as otherwise set forth in the Registration Statement, the Pricing Disclosure Package and the Prospectus, all equity interests in each subsidiary of the Company and the Partnership that are owned by the Company and the Partnership, directly or through subsidiaries, are free and clear of any security interest, mortgage, pledge, lien, encumbrance or claim (collectively, “Liens”), except for Liens, if any, securing indebtedness as described in the Registration Statement, the Pricing Disclosure Package and the Prospectus, or except for such Liens that would not, individually or in the aggregate, reasonably be expected to result in a Material Adverse Change.</w:t>
      </w:r>
    </w:p>
    <w:p>
      <w:pPr>
        <w:spacing w:after="0" w:line="191" w:lineRule="exact"/>
        <w:rPr>
          <w:rFonts w:ascii="Times New Roman" w:cs="Times New Roman" w:eastAsia="Times New Roman" w:hAnsi="Times New Roman"/>
          <w:sz w:val="18"/>
          <w:szCs w:val="18"/>
          <w:i w:val="1"/>
          <w:iCs w:val="1"/>
          <w:color w:val="auto"/>
        </w:rPr>
      </w:pPr>
    </w:p>
    <w:p>
      <w:pPr>
        <w:jc w:val="both"/>
        <w:ind w:left="324" w:hanging="324"/>
        <w:spacing w:after="0" w:line="252" w:lineRule="auto"/>
        <w:tabs>
          <w:tab w:leader="none" w:pos="32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authorized, issued and outstanding capital shares of the Company are as described in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Disclosure Package and the Prospectus (other than for subsequent issuances, if any, pursuant to this Agreement, employee benefit plans described in the Registration Statement, the Pricing Disclosure Package and the Prospectus or upon exercise of outstanding options described in the Registration Statement, the Pricing Disclosure Package and the Prospectus). The Common Shares (including the Shares) conform in all material respects to the description thereof contained in the Registration Statement, the Pricing Disclosure Package and the Prospectus. All of the issued and outstanding Common Shares have been duly authorized and validly issued, are fully paid and non-assessable and have been offered, sold and issued in compliance with federal and state securities laws. The issuance of the Shares has been duly authorized and, upon being delivered and paid for pursuant to this Agreement, the Shares will be validly issued, fully paid and non-assessable, free and clear of any security interest, mortgage, pledge, lien, encumbrance or claim. All of the issued and outstanding units of limited partnership interest in the Partnership have been duly authorized by the Partnership. Any shares of Common Shares to be delivered pursuant to any Confirmation (the “Confirmation Shares”) have been duly authorized by the Company for issuance and sale to the applicable Forward Purchaser pursuant to such Confirmation and, if and when issued and delivered by the Company pursuant to such Confirmation against payment of any consideration specified therein, will be validly issued and fully paid and non-assessable, and will not be subject to any preemptive or similar rights. None of the outstanding Common Shares were issued in violation of any preemptive rights, rights of first refusal or other similar rights to subscribe for or purchase securities of the Company, and the holders of the outstanding capital shares of the Company are not entitled to preemptive or other rights to subscribe for the Shares. There are no authorized or outstanding options, warrants, preemptive rights, rights of first refusal or other rights to purchase, or equity or debt securities convertible into or exchangeable or exercisable for, any capital shares or ownership interests in the Company other than those described in the Registration Statement, the Pricing Disclosure Package and the Prospectus. The description of the Company’s incentive plan and other similar plans or arrangements set forth in the Registration Statement, the Pricing Disclosure Package and the Prospectus accurately and fairly presents the information required to be shown with respect to such plans and arrangements.</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 w:name="page16"/>
    <w:bookmarkEnd w:id="15"/>
    <w:p>
      <w:pPr>
        <w:jc w:val="both"/>
        <w:ind w:left="324" w:hanging="324"/>
        <w:spacing w:after="0" w:line="261" w:lineRule="auto"/>
        <w:tabs>
          <w:tab w:leader="none" w:pos="32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and the Partnership have full right, power and authority to execute and deliver this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Confirmation and to perform their obligations hereunder; and all action required to be taken for the due and proper authorization, execution and delivery by the Company and the Partnership of this Agreement, any Confirmation and the consummation by the Company and the Partnership of the transactions contemplated hereby has been duly and validly taken.</w:t>
      </w:r>
    </w:p>
    <w:p>
      <w:pPr>
        <w:spacing w:after="0" w:line="179" w:lineRule="exact"/>
        <w:rPr>
          <w:rFonts w:ascii="Times New Roman" w:cs="Times New Roman" w:eastAsia="Times New Roman" w:hAnsi="Times New Roman"/>
          <w:sz w:val="18"/>
          <w:szCs w:val="18"/>
          <w:i w:val="1"/>
          <w:iCs w:val="1"/>
          <w:color w:val="auto"/>
        </w:rPr>
      </w:pPr>
    </w:p>
    <w:p>
      <w:pPr>
        <w:ind w:left="324" w:hanging="324"/>
        <w:spacing w:after="0" w:line="284" w:lineRule="auto"/>
        <w:tabs>
          <w:tab w:leader="none" w:pos="32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Underwriting Agreement and Confirmations. </w:t>
      </w:r>
      <w:r>
        <w:rPr>
          <w:rFonts w:ascii="Times New Roman" w:cs="Times New Roman" w:eastAsia="Times New Roman" w:hAnsi="Times New Roman"/>
          <w:sz w:val="18"/>
          <w:szCs w:val="18"/>
          <w:color w:val="auto"/>
        </w:rPr>
        <w:t>This Agreement and any Confirmation has been duly authorized, executed and delivered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Partnership, respectively.</w:t>
      </w:r>
    </w:p>
    <w:p>
      <w:pPr>
        <w:spacing w:after="0" w:line="158" w:lineRule="exact"/>
        <w:rPr>
          <w:rFonts w:ascii="Times New Roman" w:cs="Times New Roman" w:eastAsia="Times New Roman" w:hAnsi="Times New Roman"/>
          <w:sz w:val="18"/>
          <w:szCs w:val="18"/>
          <w:i w:val="1"/>
          <w:iCs w:val="1"/>
          <w:color w:val="auto"/>
        </w:rPr>
      </w:pPr>
    </w:p>
    <w:p>
      <w:pPr>
        <w:jc w:val="both"/>
        <w:ind w:left="324" w:hanging="324"/>
        <w:spacing w:after="0" w:line="267" w:lineRule="auto"/>
        <w:tabs>
          <w:tab w:leader="none" w:pos="32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have been duly authorized by the Company and, when issued and delivered and paid for as provided herein,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6" w:name="page17"/>
    <w:bookmarkEnd w:id="16"/>
    <w:p>
      <w:pPr>
        <w:ind w:left="324" w:hanging="324"/>
        <w:spacing w:after="0" w:line="284" w:lineRule="auto"/>
        <w:tabs>
          <w:tab w:leader="none" w:pos="32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Descriptions of the Underwriting Agreement. </w:t>
      </w:r>
      <w:r>
        <w:rPr>
          <w:rFonts w:ascii="Times New Roman" w:cs="Times New Roman" w:eastAsia="Times New Roman" w:hAnsi="Times New Roman"/>
          <w:sz w:val="18"/>
          <w:szCs w:val="18"/>
          <w:color w:val="auto"/>
        </w:rPr>
        <w:t>This Agreement conforms in all material respects to the description thereof contained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w:t>
      </w:r>
    </w:p>
    <w:p>
      <w:pPr>
        <w:spacing w:after="0" w:line="158" w:lineRule="exact"/>
        <w:rPr>
          <w:rFonts w:ascii="Times New Roman" w:cs="Times New Roman" w:eastAsia="Times New Roman" w:hAnsi="Times New Roman"/>
          <w:sz w:val="18"/>
          <w:szCs w:val="18"/>
          <w:i w:val="1"/>
          <w:iCs w:val="1"/>
          <w:color w:val="auto"/>
        </w:rPr>
      </w:pPr>
    </w:p>
    <w:p>
      <w:pPr>
        <w:jc w:val="both"/>
        <w:ind w:left="324" w:hanging="324"/>
        <w:spacing w:after="0" w:line="252" w:lineRule="auto"/>
        <w:tabs>
          <w:tab w:leader="none" w:pos="32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the Partnership nor any of the significant subsidiaries is in violation of its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 of trust, bylaws, partnership agreement, certificate of formation, charter, operating agreement or similar documents. Neither the Company, the Partnership nor any of the significant subsidiaries is in default (or, with the giving of notice or lapse of time, would be in default) (“Default”) under any indenture, mortgage, loan or credit agreement, note, contract, lease or other agreement, to which the Company, the Partnership or any of the significant subsidiaries is a party or by which it or any of them may be bound, or to which any of the property or assets of the Company, the Partnership or any of the significant subsidiaries is subject (each, an “Existing Instrument”), except for such Defaults as would not, individually or in the aggregate, reasonably be expected to result in a Material Adverse Change. The execution, delivery and performance of this Agreement and any Confirmation by the Company and the Partnership, as applicable, the application of the proceeds from the issuance of the Shares as described under “Use of Proceeds” in the Pricing Disclosure Package and the Prospectus and the consummation of the transactions contemplated hereby and thereby and by the Registration Statement (i) will not result in any violation of the provisions of the respective declaration of trust, bylaws, partnership agreement, certificate of formation, charter, operating agreement or similar documents of the Company, the Partnership or any significant subsidiary, (ii) will not conflict with or constitute a breach of, or Default under, or result in the creation or imposition of any Lien upon any property or assets of the Company, the Partnership or any of their significant subsidiaries under any Existing Instrument, and (iii) will not result in any violation of any law, statute, rule, regulation, judgment, order or decree, administrative regulation or administrative or court decree applicable to the Company, the Partnership or any significant subsidiary or any of its or their property, except, in the case of clauses (ii) and (iii) above as would not, individually or in the aggregate, reasonably be expected to result in a Material Adverse Change.</w:t>
      </w:r>
    </w:p>
    <w:p>
      <w:pPr>
        <w:spacing w:after="0" w:line="193" w:lineRule="exact"/>
        <w:rPr>
          <w:rFonts w:ascii="Times New Roman" w:cs="Times New Roman" w:eastAsia="Times New Roman" w:hAnsi="Times New Roman"/>
          <w:sz w:val="18"/>
          <w:szCs w:val="18"/>
          <w:i w:val="1"/>
          <w:iCs w:val="1"/>
          <w:color w:val="auto"/>
        </w:rPr>
      </w:pPr>
    </w:p>
    <w:p>
      <w:pPr>
        <w:jc w:val="both"/>
        <w:ind w:left="324" w:hanging="324"/>
        <w:spacing w:after="0" w:line="258" w:lineRule="auto"/>
        <w:tabs>
          <w:tab w:leader="none" w:pos="32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 other order of, or registration or filing with, any court or other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authority or agency, is required for the Company’s or the Partnership’s execution, delivery and performance of this Agreement, any Confirmation and consummation of the transactions contemplated hereby and thereby and by the Registration Statement, the Prospectus and the Pricing Disclosure Package, except such consents, approvals, authorizations, orders, filings, registrations or qualifications as may be required under applicable state securities or Blue Sky laws and from the Financial Industry Regulatory Authority, Inc. (“FINRA”).</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7" w:name="page18"/>
    <w:bookmarkEnd w:id="17"/>
    <w:p>
      <w:pPr>
        <w:jc w:val="both"/>
        <w:ind w:left="324" w:hanging="324"/>
        <w:spacing w:after="0" w:line="257" w:lineRule="auto"/>
        <w:tabs>
          <w:tab w:leader="none" w:pos="32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otherwise disclosed in the Registration Statement, the Pricing Disclosure Package and the Prospectus,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legal or governmental actions, suits, investigations or proceedings involving the Company, the Partnership or any of their subsidiaries pending or, to the best of the Company’s or the Partnership’s knowledge, threatened that would reasonably be expected to result in a Material Adverse Change or have a material adverse effect the consummation of the transactions contemplated by this Agreement or any Confirmation. No labor dispute with the employees of the Company, the Partnership or any of their subsidiaries exists or, to the best of the Company’s and the Partnership’s knowledge, is threatened that would reasonably be expected to result in a Material Adverse Change.</w:t>
      </w:r>
    </w:p>
    <w:p>
      <w:pPr>
        <w:spacing w:after="0" w:line="182" w:lineRule="exact"/>
        <w:rPr>
          <w:rFonts w:ascii="Times New Roman" w:cs="Times New Roman" w:eastAsia="Times New Roman" w:hAnsi="Times New Roman"/>
          <w:sz w:val="18"/>
          <w:szCs w:val="18"/>
          <w:i w:val="1"/>
          <w:iCs w:val="1"/>
          <w:color w:val="auto"/>
        </w:rPr>
      </w:pPr>
    </w:p>
    <w:p>
      <w:pPr>
        <w:jc w:val="both"/>
        <w:ind w:left="324" w:hanging="324"/>
        <w:spacing w:after="0" w:line="258" w:lineRule="auto"/>
        <w:tabs>
          <w:tab w:leader="none" w:pos="32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Deloitte &amp; Touche LLP, which delivered its audit report with respect to the consolidated financial statements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the fiscal year ended December 31, 2025, including the related notes and schedules, if any, thereto, filed with the Commission and included or incorporated by reference in the Registration Statement, the Pricing Disclosure Package and the Prospectus, is an independent registered public accounting firm as required by the Securities Act, the Exchange Act and the rules and regulations of the Public Company Accounting Oversight Board.</w:t>
      </w:r>
    </w:p>
    <w:p>
      <w:pPr>
        <w:spacing w:after="0" w:line="183" w:lineRule="exact"/>
        <w:rPr>
          <w:rFonts w:ascii="Times New Roman" w:cs="Times New Roman" w:eastAsia="Times New Roman" w:hAnsi="Times New Roman"/>
          <w:sz w:val="18"/>
          <w:szCs w:val="18"/>
          <w:i w:val="1"/>
          <w:iCs w:val="1"/>
          <w:color w:val="auto"/>
        </w:rPr>
      </w:pPr>
    </w:p>
    <w:p>
      <w:pPr>
        <w:jc w:val="both"/>
        <w:ind w:left="324" w:hanging="324"/>
        <w:spacing w:after="0" w:line="253" w:lineRule="auto"/>
        <w:tabs>
          <w:tab w:leader="none" w:pos="32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Each of the Company, the Partnership and each of their subsidiaries owns or leases all such properties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necessary to the conduct of their respective operations as presently conducted, except as would not, individually or in the aggregate, reasonably be expected to result in a Material Adverse Change. The Company, the Partnership and each of their subsidiaries has good and marketable title to all the properties and assets reflected as owned in the Company’s consolidated financial statements (and schedules thereto) or elsewhere in the Registration Statement, the Pricing Disclosure Package and the Prospectus, in each case free and clear of any security interests, mortgages, liens, encumbrances, equities, claims and other defects, except as disclosed in the Registration Statement, the Pricing Disclosure Package and the Prospectus or where the existence of any security interest, mortgage, lien, encumbrance, equity, claim or other defect would not, individually or in the aggregate, reasonably be expected to result in a Material Adverse Change. The real property, improvements, equipment and personal property held under lease by the Company, the Partnership or any of their subsidiaries are held under valid and enforceable leases, except as disclosed in the Registration Statement, the Pricing Disclosure Package and the Prospectus, or where the invalidity or unenforceability of any leases would not, individually or in the aggregate, reasonably be expected to result in a Material Adverse Change.</w:t>
      </w:r>
    </w:p>
    <w:p>
      <w:pPr>
        <w:spacing w:after="0" w:line="189" w:lineRule="exact"/>
        <w:rPr>
          <w:rFonts w:ascii="Times New Roman" w:cs="Times New Roman" w:eastAsia="Times New Roman" w:hAnsi="Times New Roman"/>
          <w:sz w:val="18"/>
          <w:szCs w:val="18"/>
          <w:i w:val="1"/>
          <w:iCs w:val="1"/>
          <w:color w:val="auto"/>
        </w:rPr>
      </w:pPr>
    </w:p>
    <w:p>
      <w:pPr>
        <w:jc w:val="both"/>
        <w:ind w:left="324" w:hanging="324"/>
        <w:spacing w:after="0" w:line="253" w:lineRule="auto"/>
        <w:tabs>
          <w:tab w:leader="none" w:pos="32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The Company, the Partnership and their subsidiaries own or possess sufficient trademarks, trade names, patent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copyrights, domain names, licenses, approvals, trade secrets and other similar rights (collectively, “Intellectual Property Rights”) reasonably necessary to conduct their businesses as now conducted or as proposed to be conducted in the Registration Statement, the Pricing Disclosure Package and the Prospectus, except for such Intellectual Property Rights the absence of which would not, individually or in the aggregate, reasonably be expected to result in a Material Adverse Change. Except as set forth in the Registration Statement, the Pricing Disclosure Package and the Prospectus, neither the Company, the Partnership, nor any of their subsidiaries has received any notice of infringement or conflict with asserted Intellectual Property Rights of others, which infringement or conflict, if the subject of an unfavorable decision, would reasonably be expected to result in a Material Adverse Change. The Company and the Partnership are not parties to or bound by any options, licenses or agreements with respect to the Intellectual Property Rights of any other person or entity that are required to be set forth in the Registration Statement, the Pricing Disclosure Package and the Prospectus and are not described in all material respects. None of the technology employed by the Company or the Partnership has been obtained or is being used by the Company or the Partnership in violation of any contractual obligation binding on the Company, the Partnership or, to the Company’s or the Partnership’s knowledge, any of their officers, trustees or employees or is otherwise in violation of the rights of any persons, except for violations which would not, individually or in the aggregate, reasonably be expected to result in a Material Adverse Change.</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8" w:name="page19"/>
    <w:bookmarkEnd w:id="18"/>
    <w:p>
      <w:pPr>
        <w:jc w:val="both"/>
        <w:ind w:left="324" w:hanging="324"/>
        <w:spacing w:after="0" w:line="267" w:lineRule="auto"/>
        <w:tabs>
          <w:tab w:leader="none" w:pos="32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There are no business relationships or related-party transactions involving the Company, the Partnership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either or any other person required to be described in the Registration Statement, the Pricing Disclosure Package and the Prospectus that have not been described as required.</w:t>
      </w:r>
    </w:p>
    <w:p>
      <w:pPr>
        <w:spacing w:after="0" w:line="173" w:lineRule="exact"/>
        <w:rPr>
          <w:rFonts w:ascii="Times New Roman" w:cs="Times New Roman" w:eastAsia="Times New Roman" w:hAnsi="Times New Roman"/>
          <w:sz w:val="18"/>
          <w:szCs w:val="18"/>
          <w:i w:val="1"/>
          <w:iCs w:val="1"/>
          <w:color w:val="auto"/>
        </w:rPr>
      </w:pPr>
    </w:p>
    <w:p>
      <w:pPr>
        <w:jc w:val="both"/>
        <w:ind w:left="324" w:hanging="324"/>
        <w:spacing w:after="0" w:line="258" w:lineRule="auto"/>
        <w:tabs>
          <w:tab w:leader="none" w:pos="32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Each of the Company and the Partnership is not, and after giving effect to the offer and sale of the Shares,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and after receipt of payment for the Shares on the Closing Date and on the Additional Closing Date and any proceeds received pursuant to an Confirmation, as the case may be, and the application of the proceeds therefrom as described under “Use of Proceeds” in each of the Registration Statement, the Pricing Disclosure Package and the Prospectus will not be, required to be registered as, an “investment company” or a company “controlled” by an “investment company” within the meaning of the Investment Company Act of 1940, as amended.</w:t>
      </w:r>
    </w:p>
    <w:p>
      <w:pPr>
        <w:spacing w:after="0" w:line="183" w:lineRule="exact"/>
        <w:rPr>
          <w:rFonts w:ascii="Times New Roman" w:cs="Times New Roman" w:eastAsia="Times New Roman" w:hAnsi="Times New Roman"/>
          <w:sz w:val="18"/>
          <w:szCs w:val="18"/>
          <w:i w:val="1"/>
          <w:iCs w:val="1"/>
          <w:color w:val="auto"/>
        </w:rPr>
      </w:pPr>
    </w:p>
    <w:p>
      <w:pPr>
        <w:jc w:val="both"/>
        <w:ind w:left="324" w:hanging="324"/>
        <w:spacing w:after="0" w:line="255" w:lineRule="auto"/>
        <w:tabs>
          <w:tab w:leader="none" w:pos="32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the Partnership and their subsidiaries (i) have filed all material federal, state, local and foreign income and franchise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required to be filed by such entities or have properly requested extensions thereof, and (ii) have paid all material taxes required to be paid by any of them and, if due and payable, any related or similar assessment, fine or penalty levied against any of them, except in the case of each of (i) and (ii), to the extent they have been or are being contested in good faith and by appropriate proceedings, as would not reasonably be expected to result in a Material Adverse Change or as set forth in the Registration Statement, the Pricing Disclosure Package and the Prospectus. To the knowledge of the Company, there is no tax deficiency likely to be asserted against the Company, the Partnership or any of their subsidiaries that would reasonably be expected to result in a Material Adverse Change. All material tax liabilities, if any, of the Company, the Partnership and their subsidiaries are adequately provided for on the respective books of the entities.</w:t>
      </w:r>
    </w:p>
    <w:p>
      <w:pPr>
        <w:spacing w:after="0" w:line="184" w:lineRule="exact"/>
        <w:rPr>
          <w:rFonts w:ascii="Times New Roman" w:cs="Times New Roman" w:eastAsia="Times New Roman" w:hAnsi="Times New Roman"/>
          <w:sz w:val="18"/>
          <w:szCs w:val="18"/>
          <w:i w:val="1"/>
          <w:iCs w:val="1"/>
          <w:color w:val="auto"/>
        </w:rPr>
      </w:pPr>
    </w:p>
    <w:p>
      <w:pPr>
        <w:jc w:val="both"/>
        <w:ind w:left="324" w:hanging="324"/>
        <w:spacing w:after="0" w:line="256" w:lineRule="auto"/>
        <w:tabs>
          <w:tab w:leader="none" w:pos="32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the Partnership and each subsidiary possess such valid and current certificates, authorizations,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permits issued by the appropriate state, federal or foreign regulatory agencies or bodies necessary to conduct their respective businesses, except where the failure to possess such certificates, authorizations, licenses or permits would not, individually or in the aggregate, reasonably be expected to result in a Material Adverse Change, and neither the Company, the Partnership nor any of their subsidiaries has received any notice of proceedings relating to the revocation or modification of, or non-compliance with, any such certificate, authorization, license or permit which, singly or in the aggregate, if the subject of an unfavorable decision, ruling or finding, would reasonably be expected to result in a Material Adverse Change, except as set forth in the Registration Statement, the Pricing Disclosure Package and the Prospectus.</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9" w:name="page20"/>
    <w:bookmarkEnd w:id="19"/>
    <w:p>
      <w:pPr>
        <w:jc w:val="both"/>
        <w:ind w:left="324" w:hanging="324"/>
        <w:spacing w:after="0" w:line="261" w:lineRule="auto"/>
        <w:tabs>
          <w:tab w:leader="none" w:pos="32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REIT Qualification</w:t>
      </w:r>
      <w:r>
        <w:rPr>
          <w:rFonts w:ascii="Times New Roman" w:cs="Times New Roman" w:eastAsia="Times New Roman" w:hAnsi="Times New Roman"/>
          <w:sz w:val="18"/>
          <w:szCs w:val="18"/>
          <w:color w:val="auto"/>
        </w:rPr>
        <w:t>. The Company has met the requirements for qualification and taxation as a real estate investment trust (“REIT”)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Revenue Code of 1986, as amended (the “Code”), as of the close of every taxable year during the Company’s existence, and the Company’s current and proposed method of operation will enable it to continue to meet the requirements for qualification and taxation as a real estate investment trust for federal income tax purposes.</w:t>
      </w:r>
    </w:p>
    <w:p>
      <w:pPr>
        <w:spacing w:after="0" w:line="179" w:lineRule="exact"/>
        <w:rPr>
          <w:rFonts w:ascii="Times New Roman" w:cs="Times New Roman" w:eastAsia="Times New Roman" w:hAnsi="Times New Roman"/>
          <w:sz w:val="18"/>
          <w:szCs w:val="18"/>
          <w:i w:val="1"/>
          <w:iCs w:val="1"/>
          <w:color w:val="auto"/>
        </w:rPr>
      </w:pPr>
    </w:p>
    <w:p>
      <w:pPr>
        <w:jc w:val="both"/>
        <w:ind w:left="324" w:hanging="324"/>
        <w:spacing w:after="0" w:line="267" w:lineRule="auto"/>
        <w:tabs>
          <w:tab w:leader="none" w:pos="32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Qualification of Partnership and Subsidiaries</w:t>
      </w:r>
      <w:r>
        <w:rPr>
          <w:rFonts w:ascii="Times New Roman" w:cs="Times New Roman" w:eastAsia="Times New Roman" w:hAnsi="Times New Roman"/>
          <w:sz w:val="18"/>
          <w:szCs w:val="18"/>
          <w:color w:val="auto"/>
        </w:rPr>
        <w:t>. Each of the Partnership and any limited liability company or partnership subsidiary,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subsidiaries that have elected to be treated as taxable REIT subsidiaries, is qualified as a partnership or a disregarded entity for federal income tax purposes and not as an association taxable as a corporation or as a publicly traded partnership.</w:t>
      </w:r>
    </w:p>
    <w:p>
      <w:pPr>
        <w:spacing w:after="0" w:line="173" w:lineRule="exact"/>
        <w:rPr>
          <w:rFonts w:ascii="Times New Roman" w:cs="Times New Roman" w:eastAsia="Times New Roman" w:hAnsi="Times New Roman"/>
          <w:sz w:val="18"/>
          <w:szCs w:val="18"/>
          <w:i w:val="1"/>
          <w:iCs w:val="1"/>
          <w:color w:val="auto"/>
        </w:rPr>
      </w:pPr>
    </w:p>
    <w:p>
      <w:pPr>
        <w:jc w:val="both"/>
        <w:ind w:left="324" w:hanging="324"/>
        <w:spacing w:after="0" w:line="251" w:lineRule="auto"/>
        <w:tabs>
          <w:tab w:leader="none" w:pos="32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Environmental Matters</w:t>
      </w:r>
      <w:r>
        <w:rPr>
          <w:rFonts w:ascii="Times New Roman" w:cs="Times New Roman" w:eastAsia="Times New Roman" w:hAnsi="Times New Roman"/>
          <w:sz w:val="18"/>
          <w:szCs w:val="18"/>
          <w:color w:val="auto"/>
        </w:rPr>
        <w:t>. Except (x) as otherwise described in the Registration Statement,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or (y) as would not, individually or in the aggregate, reasonably be expected to result in a Material Adverse Change: (i) neither the Company, the Partnership, nor any of their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“Materials of Environmental Concern”), or otherwise relating to the manufacture, processing, distribution, use, treatment, storage, disposal, transport or handling of Materials of Environmental Concern (collectively, “Environmental Laws”), which violation includes, but is not limited to, noncompliance with any permits or other governmental authorizations required for the operation of the business of the Company, the Partnership or their subsidiaries under applicable Environmental Laws, or noncompliance with the terms and conditions thereof, nor has the Company, the Partnership or any of their subsidiaries received any written communication, whether from a governmental authority, citizens group, employee or otherwise, that alleges that the Company, the Partnership or any of their subsidiaries is in violation of any Environmental Law; (ii) there is no claim, action or cause of action filed with a court or governmental authority, no investigation with respect to which the Company or the Partnership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Materials of Environmental Concern at any location owned, leased or operated by the Company, the Partnership or any of their subsidiaries, now or in the past (collectively, “Environmental Claims”), pending or, to the best of the Company’s and the Partnership’s knowledge, threatened against the Company, the Partnership or any of their subsidiaries or any person or entity whose liability for any Environmental Claim the Company, the Partnership or any of their subsidiaries has retained or assumed either contractually or by operation of law; and (iii) to the Company’s and the Partnership’s knowledge, there are no past or present actions, activities, circumstances, conditions, events or incidents, including, without limitation, the release, emission, discharge, presence or disposal of any Materials of Environmental Concern, that reasonably could result in a violation of any Environmental Law or form the basis of a potential Environmental Claim against the Company, the Partnership or any of their subsidiaries or against any person or entity whose liability for any Environmental Claim the Company, the Partnership, or any of their subsidiaries has retained or assumed either contractually or by operation of law. Except as set forth in the Registration Statement, the Pricing Disclosure Package and the Prospectus, neither the Company, the Partnership nor any subsidiary has been named as a “potentially responsible party” under the Comprehensive Environmental Responses Compensation and Liability Act of 1980, as amended.</w:t>
      </w:r>
    </w:p>
    <w:p>
      <w:pPr>
        <w:spacing w:after="0" w:line="200" w:lineRule="exact"/>
        <w:rPr>
          <w:sz w:val="20"/>
          <w:szCs w:val="20"/>
          <w:color w:val="auto"/>
        </w:rPr>
      </w:pPr>
    </w:p>
    <w:p>
      <w:pPr>
        <w:spacing w:after="0" w:line="22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0" w:name="page21"/>
    <w:bookmarkEnd w:id="20"/>
    <w:p>
      <w:pPr>
        <w:jc w:val="both"/>
        <w:ind w:left="324" w:hanging="324"/>
        <w:spacing w:after="0" w:line="253" w:lineRule="auto"/>
        <w:tabs>
          <w:tab w:leader="none" w:pos="32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The Company, the Partnership and their subsidiaries and any “Employee Benefit Plan” (as defined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Retirement Income Security Act of 1974, as amended, and the regulations and published interpretations thereunder (collectively, “ERISA”)) established or maintained by the Company, the Partnership and their subsidiaries or their ERISA Affiliates (as defined in this Section 1(aa)) are in compliance in all material respects with ERISA. “ERISA Affiliate” means, with respect to the Company, the Partnership or a subsidiary, any member of any group of organizations described in Sections 414(b), (c), (m) or (o) of the Code, of which the Company, the Partnership or such subsidiary is a member. No “reportable event” (as defined under ERISA) has occurred or is reasonably expected to occur with respect to any Employee Benefit Plan established or maintained by the Company, the Partnership, their subsidiaries or any of their ERISA Affiliates. No Employee Benefit Plan established or maintained by the Company, the Partnership, their subsidiaries or any of their ERISA Affiliates, if such Employee Benefit Plan were terminated, would have any “amount of unfunded benefit liabilities” (as defined under ERISA). Neither the Company, the Partnership, their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the Partnership, their subsidiaries or any of their ERISA Affiliates that is intended to be qualified under Section 401(a) of the Code is so qualified and nothing has occurred, whether by action or failure to act, which would cause the loss of such qualification.</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1" w:name="page22"/>
    <w:bookmarkEnd w:id="21"/>
    <w:p>
      <w:pPr>
        <w:jc w:val="both"/>
        <w:ind w:left="324" w:hanging="324"/>
        <w:spacing w:after="0" w:line="253" w:lineRule="auto"/>
        <w:tabs>
          <w:tab w:leader="none" w:pos="32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Controls</w:t>
      </w:r>
      <w:r>
        <w:rPr>
          <w:rFonts w:ascii="Times New Roman" w:cs="Times New Roman" w:eastAsia="Times New Roman" w:hAnsi="Times New Roman"/>
          <w:sz w:val="18"/>
          <w:szCs w:val="18"/>
          <w:color w:val="auto"/>
        </w:rPr>
        <w:t>. The Company has established and maintains, on a consolidated basis, disclosure controls and procedures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13a-15 and 15d15 under the Exchange Act Regulations); such disclosure controls and procedures are designed to ensure that the information required to be disclosed by the Company in the reports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such disclosure controls and procedures are effective in all material respects to perform the functions for which they were established. Except as otherwise described in the Registration Statement, the Pricing Disclosure Package and the Prospectus, since the end of the Company’s most recent audited fiscal year,</w:t>
      </w:r>
    </w:p>
    <w:p>
      <w:pPr>
        <w:spacing w:after="0" w:line="4" w:lineRule="exact"/>
        <w:rPr>
          <w:rFonts w:ascii="Times New Roman" w:cs="Times New Roman" w:eastAsia="Times New Roman" w:hAnsi="Times New Roman"/>
          <w:sz w:val="18"/>
          <w:szCs w:val="18"/>
          <w:i w:val="1"/>
          <w:iCs w:val="1"/>
          <w:color w:val="auto"/>
        </w:rPr>
      </w:pPr>
    </w:p>
    <w:p>
      <w:pPr>
        <w:jc w:val="both"/>
        <w:ind w:left="324"/>
        <w:spacing w:after="0" w:line="251" w:lineRule="auto"/>
        <w:tabs>
          <w:tab w:leader="none" w:pos="5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advised of (A) any material weaknesses in the design or operation of internal controls that would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changes in internal controls or in other factors that materially affected, or are reasonably likely to materially affect, internal controls, including any corrective actions with regard to significant deficiencies and material weaknesses. The Company, the Partnership and their subsidiaries, on a consolidated basis,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Each of the Company, the Partnership and their subsidiaries are insured by recognized, financially sound and reputable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policies in such amounts and with such deductibles and covering such risks as are prudent and customary for their respective businesses including, but not limited to, policies covering real and personal property owned or leased by the Company, the Partnership and their subsidiaries against theft, damage, destruction, acts of vandalism and all other risks customarily insured against, except where the failure to be so insured would not reasonably be expected to result in a Material Adverse Change. All such policies of insurance are in full force and effect, except as would not reasonably be expected to result in a Material Adverse Change. There are no claims by the Company, the Partnership or any of their subsidiaries under any such policy or instrument as to which any insurance company is denying liability or defending under a reservation of rights clause, except where such denial or defense would not, individually or in the aggregate, reasonably be expected to result in a Material Adverse Change. Neither the Company, the Partnership nor any subsidiary has been refused insurance coverage sought or applied for and neither the Company, the Partnership nor any subsidiary has reason to believe that it or any subsidiary will not be able (i) to renew its existing insurance coverage as and when such policies expire or (ii) to obtain comparable coverage from similar institutions as may be necessary or appropriate to conduct its business as now conducted, in each case, at a cost that would not reasonably be expected to result in a Material Adverse Change, or except as set forth in or contemplated by the Registration Statement, the Pricing Disclosure Package and the Prospectus.</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2" w:name="page23"/>
    <w:bookmarkEnd w:id="22"/>
    <w:p>
      <w:pPr>
        <w:jc w:val="both"/>
        <w:ind w:left="324" w:hanging="324"/>
        <w:spacing w:after="0" w:line="252" w:lineRule="auto"/>
        <w:tabs>
          <w:tab w:leader="none" w:pos="32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(A) To the knowledge of the Company and the Partnership, there has been no security breach or incident,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unauthorized access or disclosure, or other compromise of or relating to the Company’s, the Partnership’s or their subsidiaries’ information technology and computer systems, networks, hardware, software, data and databases (including the data and information of their respective customers, employees, suppliers, vendors and any third party data maintained, processed or stored by the Company, the Partnership and their subsidiaries, and any such data processed or stored by third parties on behalf of the Company, the Partnership and their subsidiaries), equipment or technology (collectively, “IT Systems and Data”): (B) none of the Company, the Partnership nor their subsidiaries have been notified of, and have no knowledge of any event or condition that would reasonably be expected to result in, any security breach or incident, unauthorized access or disclosure or other compromise to their IT Systems and Data and (C) the Company, the Partnership and their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as would not, in the case of each of (A) through (C), reasonably be expected to result in a Material Adverse Change with respect to the Company, the Partnership and their subsidiaries, considered as one entity. The Company, the Partnership and their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spacing w:after="0" w:line="194" w:lineRule="exact"/>
        <w:rPr>
          <w:rFonts w:ascii="Times New Roman" w:cs="Times New Roman" w:eastAsia="Times New Roman" w:hAnsi="Times New Roman"/>
          <w:sz w:val="18"/>
          <w:szCs w:val="18"/>
          <w:i w:val="1"/>
          <w:iCs w:val="1"/>
          <w:color w:val="auto"/>
        </w:rPr>
      </w:pPr>
    </w:p>
    <w:p>
      <w:pPr>
        <w:jc w:val="both"/>
        <w:ind w:left="324" w:hanging="324"/>
        <w:spacing w:after="0" w:line="254" w:lineRule="auto"/>
        <w:tabs>
          <w:tab w:leader="none" w:pos="32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the Partnership nor any of their subsidiaries nor, to the knowledge of the Company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any trustee, officer, agent, employee or affiliate of the Company, the Partnership or any of their subsidiaries is aware of or has taken any action, directly or indirectly, that would result in a violation of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Partnership, their subsidiaries and, to the knowledge of the Company and the Partnership, their affiliates have conducted their businesses in compliance with the FCPA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3" w:name="page24"/>
    <w:bookmarkEnd w:id="23"/>
    <w:p>
      <w:pPr>
        <w:jc w:val="both"/>
        <w:ind w:left="324" w:hanging="324"/>
        <w:spacing w:after="0" w:line="256" w:lineRule="auto"/>
        <w:tabs>
          <w:tab w:leader="none" w:pos="32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the Partnership and their subsidiaries are and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the Partnership or any of their subsidiaries with respect to the Money Laundering Laws is pending or, to the best knowledge of the Company or the Partnership threatened.</w:t>
      </w:r>
    </w:p>
    <w:p>
      <w:pPr>
        <w:spacing w:after="0" w:line="182" w:lineRule="exact"/>
        <w:rPr>
          <w:rFonts w:ascii="Times New Roman" w:cs="Times New Roman" w:eastAsia="Times New Roman" w:hAnsi="Times New Roman"/>
          <w:sz w:val="18"/>
          <w:szCs w:val="18"/>
          <w:i w:val="1"/>
          <w:iCs w:val="1"/>
          <w:color w:val="auto"/>
        </w:rPr>
      </w:pPr>
    </w:p>
    <w:p>
      <w:pPr>
        <w:jc w:val="both"/>
        <w:ind w:left="324" w:hanging="324"/>
        <w:spacing w:after="0" w:line="267" w:lineRule="auto"/>
        <w:tabs>
          <w:tab w:leader="none" w:pos="32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the Partnership nor any of their subsidiaries nor, to the knowledge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any trustee, officer, agent, employee or affiliate of the Company or the Partnership or any of their subsidiaries is currently subject to any U.S. sanctions administered by the Office of Foreign Assets Control of the U.S. Treasury Department.</w:t>
      </w:r>
    </w:p>
    <w:p>
      <w:pPr>
        <w:spacing w:after="0" w:line="173" w:lineRule="exact"/>
        <w:rPr>
          <w:rFonts w:ascii="Times New Roman" w:cs="Times New Roman" w:eastAsia="Times New Roman" w:hAnsi="Times New Roman"/>
          <w:sz w:val="18"/>
          <w:szCs w:val="18"/>
          <w:i w:val="1"/>
          <w:iCs w:val="1"/>
          <w:color w:val="auto"/>
        </w:rPr>
      </w:pPr>
    </w:p>
    <w:p>
      <w:pPr>
        <w:jc w:val="both"/>
        <w:ind w:left="324" w:hanging="324"/>
        <w:spacing w:after="0" w:line="261" w:lineRule="auto"/>
        <w:tabs>
          <w:tab w:leader="none" w:pos="32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Limited Partnership Agreement</w:t>
      </w:r>
      <w:r>
        <w:rPr>
          <w:rFonts w:ascii="Times New Roman" w:cs="Times New Roman" w:eastAsia="Times New Roman" w:hAnsi="Times New Roman"/>
          <w:sz w:val="18"/>
          <w:szCs w:val="18"/>
          <w:color w:val="auto"/>
        </w:rPr>
        <w:t>. The limited partnership agreement of the Partnership, including any amendments thereto has been duly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validly authorized, executed and delivered by the Company and, to the best knowledge of the Company, all the partners of the Partnership and constitutes a valid and binding agreement, enforceable in accordance with its terms, except as may be limited by bankruptcy, insolvency, reorganization, moratorium or similar laws affecting creditors’ rights generally or by general principles of equity.</w:t>
      </w:r>
    </w:p>
    <w:p>
      <w:pPr>
        <w:spacing w:after="0" w:line="179" w:lineRule="exact"/>
        <w:rPr>
          <w:rFonts w:ascii="Times New Roman" w:cs="Times New Roman" w:eastAsia="Times New Roman" w:hAnsi="Times New Roman"/>
          <w:sz w:val="18"/>
          <w:szCs w:val="18"/>
          <w:i w:val="1"/>
          <w:iCs w:val="1"/>
          <w:color w:val="auto"/>
        </w:rPr>
      </w:pPr>
    </w:p>
    <w:p>
      <w:pPr>
        <w:jc w:val="both"/>
        <w:ind w:left="324" w:hanging="324"/>
        <w:spacing w:after="0" w:line="258" w:lineRule="auto"/>
        <w:tabs>
          <w:tab w:leader="none" w:pos="32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from paying any dividends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would not reasonably be expected to result in a Material Adverse Change or as described in or contemplated by the Registration Statement, the Pricing Disclosure Package and the Prospectus.</w:t>
      </w:r>
    </w:p>
    <w:p>
      <w:pPr>
        <w:spacing w:after="0" w:line="183" w:lineRule="exact"/>
        <w:rPr>
          <w:rFonts w:ascii="Times New Roman" w:cs="Times New Roman" w:eastAsia="Times New Roman" w:hAnsi="Times New Roman"/>
          <w:sz w:val="18"/>
          <w:szCs w:val="18"/>
          <w:i w:val="1"/>
          <w:iCs w:val="1"/>
          <w:color w:val="auto"/>
        </w:rPr>
      </w:pPr>
    </w:p>
    <w:p>
      <w:pPr>
        <w:jc w:val="both"/>
        <w:ind w:left="324" w:hanging="324"/>
        <w:spacing w:after="0" w:line="267" w:lineRule="auto"/>
        <w:tabs>
          <w:tab w:leader="none" w:pos="32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Except as disclosed in the Registration Statement, the Pricing Disclosure Package and the Prospectus, there is no broker,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finder or other party that is entitled to receive from the Company or the Partnership, any brokerage or finder’s fee or other fee or commission as a result of any transactions contemplated by this Agreement.</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4" w:name="page25"/>
    <w:bookmarkEnd w:id="24"/>
    <w:p>
      <w:pPr>
        <w:ind w:left="324" w:hanging="324"/>
        <w:spacing w:after="0" w:line="284" w:lineRule="auto"/>
        <w:tabs>
          <w:tab w:leader="none" w:pos="32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w:t>
      </w:r>
    </w:p>
    <w:p>
      <w:pPr>
        <w:spacing w:after="0" w:line="158" w:lineRule="exact"/>
        <w:rPr>
          <w:rFonts w:ascii="Times New Roman" w:cs="Times New Roman" w:eastAsia="Times New Roman" w:hAnsi="Times New Roman"/>
          <w:sz w:val="18"/>
          <w:szCs w:val="18"/>
          <w:i w:val="1"/>
          <w:iCs w:val="1"/>
          <w:color w:val="auto"/>
        </w:rPr>
      </w:pPr>
    </w:p>
    <w:p>
      <w:pPr>
        <w:jc w:val="both"/>
        <w:ind w:left="324" w:hanging="324"/>
        <w:spacing w:after="0" w:line="267" w:lineRule="auto"/>
        <w:tabs>
          <w:tab w:leader="none" w:pos="32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and the Partnership have not taken and will not take,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might be reasonably expected to cause or result in, or which has constituted or which might reasonably be expected to constitute, the stabilization or manipulation of the price of any security of the Company to facilitate the sale or resale of the Shares.</w:t>
      </w:r>
    </w:p>
    <w:p>
      <w:pPr>
        <w:spacing w:after="0" w:line="173" w:lineRule="exact"/>
        <w:rPr>
          <w:sz w:val="20"/>
          <w:szCs w:val="20"/>
          <w:color w:val="auto"/>
        </w:rPr>
      </w:pPr>
    </w:p>
    <w:p>
      <w:pPr>
        <w:jc w:val="both"/>
        <w:ind w:left="384" w:hanging="390"/>
        <w:spacing w:after="0" w:line="267" w:lineRule="auto"/>
        <w:rPr>
          <w:sz w:val="20"/>
          <w:szCs w:val="20"/>
          <w:color w:val="auto"/>
        </w:rPr>
      </w:pPr>
      <w:r>
        <w:rPr>
          <w:rFonts w:ascii="Times New Roman" w:cs="Times New Roman" w:eastAsia="Times New Roman" w:hAnsi="Times New Roman"/>
          <w:sz w:val="18"/>
          <w:szCs w:val="18"/>
          <w:i w:val="1"/>
          <w:iCs w:val="1"/>
          <w:color w:val="auto"/>
        </w:rPr>
        <w:t>(mm)Margin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Registration Statement, the Pricing Disclosure Package and the Prospectus will violate Regulation T, U or X of the Board of Governors of the Federal Reserve System or any other regulation of such Board of Governors.</w:t>
      </w:r>
    </w:p>
    <w:p>
      <w:pPr>
        <w:spacing w:after="0" w:line="173" w:lineRule="exact"/>
        <w:rPr>
          <w:sz w:val="20"/>
          <w:szCs w:val="20"/>
          <w:color w:val="auto"/>
        </w:rPr>
      </w:pPr>
    </w:p>
    <w:p>
      <w:pPr>
        <w:jc w:val="both"/>
        <w:ind w:left="324" w:hanging="324"/>
        <w:spacing w:after="0" w:line="267" w:lineRule="auto"/>
        <w:tabs>
          <w:tab w:leader="none" w:pos="32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market-related data included or incorporated by reference in each of the Registration Statement, the Pricing Disclosure Package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i w:val="1"/>
          <w:iCs w:val="1"/>
          <w:color w:val="auto"/>
        </w:rPr>
      </w:pPr>
    </w:p>
    <w:p>
      <w:pPr>
        <w:jc w:val="both"/>
        <w:ind w:left="324" w:hanging="324"/>
        <w:spacing w:after="0" w:line="261" w:lineRule="auto"/>
        <w:tabs>
          <w:tab w:leader="none" w:pos="32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and any of the Company’s trustees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provision of the Sarbanes-Oxley Act of 2002 and the rules and regulations promulgated in connection therewith (the “Sarbanes-Oxley Act”), including Section 402 of the Sarbanes-Oxley Act related to loans and Sections 302 and 906 thereof related to certifications.</w:t>
      </w:r>
    </w:p>
    <w:p>
      <w:pPr>
        <w:spacing w:after="0" w:line="179" w:lineRule="exact"/>
        <w:rPr>
          <w:rFonts w:ascii="Times New Roman" w:cs="Times New Roman" w:eastAsia="Times New Roman" w:hAnsi="Times New Roman"/>
          <w:sz w:val="18"/>
          <w:szCs w:val="18"/>
          <w:i w:val="1"/>
          <w:iCs w:val="1"/>
          <w:color w:val="auto"/>
        </w:rPr>
      </w:pPr>
    </w:p>
    <w:p>
      <w:pPr>
        <w:jc w:val="both"/>
        <w:ind w:left="324" w:hanging="324"/>
        <w:spacing w:after="0" w:line="256" w:lineRule="auto"/>
        <w:tabs>
          <w:tab w:leader="none" w:pos="32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(A) At the original effectiveness of the Registration Statement, (B) at the earliest time after the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the Registration Statement that the Company or another offering participant made a bona fide offer (within the meaning of Rule 164(h)(2) of the Securities Act Regulations) of the Shares, and (C) as of the date of the execution and delivery of this Agreement (with such date being used as the determination date for purposes of this clause), the Company was not and is not an “ineligible issuer,” and is a well-known seasoned issuer, in each case as defined in Rule 405 under the Securities Act, without taking account of any determination by the Commission pursuant to Rule 405 under the Securities Act Regulations that it is not necessary that the Company be considered an ineligible issuer.</w:t>
      </w:r>
    </w:p>
    <w:p>
      <w:pPr>
        <w:spacing w:after="0" w:line="182" w:lineRule="exact"/>
        <w:rPr>
          <w:rFonts w:ascii="Times New Roman" w:cs="Times New Roman" w:eastAsia="Times New Roman" w:hAnsi="Times New Roman"/>
          <w:sz w:val="18"/>
          <w:szCs w:val="18"/>
          <w:i w:val="1"/>
          <w:iCs w:val="1"/>
          <w:color w:val="auto"/>
        </w:rPr>
      </w:pPr>
    </w:p>
    <w:p>
      <w:pPr>
        <w:jc w:val="both"/>
        <w:ind w:left="324" w:hanging="324"/>
        <w:spacing w:after="0" w:line="267" w:lineRule="auto"/>
        <w:tabs>
          <w:tab w:leader="none" w:pos="32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Ratings. </w:t>
      </w:r>
      <w:r>
        <w:rPr>
          <w:rFonts w:ascii="Times New Roman" w:cs="Times New Roman" w:eastAsia="Times New Roman" w:hAnsi="Times New Roman"/>
          <w:sz w:val="18"/>
          <w:szCs w:val="18"/>
          <w:color w:val="auto"/>
        </w:rPr>
        <w:t>There are (and prior to the Closing Date, will be) no outstanding debt securities, convertible securities or preferred stock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by the Company or the Partnership that are rated by a “nationally recognized statistical rating organization”, as such term is defined in Section 3(a)(62) under the Exchange Act.</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5" w:name="page26"/>
    <w:bookmarkEnd w:id="25"/>
    <w:p>
      <w:pPr>
        <w:jc w:val="both"/>
        <w:ind w:left="980" w:hanging="324"/>
        <w:spacing w:after="0" w:line="257" w:lineRule="auto"/>
        <w:tabs>
          <w:tab w:leader="none" w:pos="9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Confirmations. </w:t>
      </w:r>
      <w:r>
        <w:rPr>
          <w:rFonts w:ascii="Times New Roman" w:cs="Times New Roman" w:eastAsia="Times New Roman" w:hAnsi="Times New Roman"/>
          <w:sz w:val="18"/>
          <w:szCs w:val="18"/>
          <w:color w:val="auto"/>
        </w:rPr>
        <w:t>Each Confirmation will have been as of its date, duly authorized, executed and delivered by the Company and when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by the Forward Purchaser, such Confirmation will constitute a valid and binding obligation of the Company, enforceable against the Company in accordance with its terms, except as enforcement thereof may be limited by bankruptcy, fraudulent conveyance, insolvency, reorganization, moratorium or other similar laws relating to or affecting creditors’ rights generally or by general equity principles (regardless of whether enforcement is considered in a proceeding in equity or at law). The description of the Confirmations set forth in the Pricing Disclosure Package, the Prospectus, or any Issuer Free Writing Prospectus is correct in all material respects.</w:t>
      </w:r>
    </w:p>
    <w:p>
      <w:pPr>
        <w:spacing w:after="0" w:line="184" w:lineRule="exact"/>
        <w:rPr>
          <w:rFonts w:ascii="Times New Roman" w:cs="Times New Roman" w:eastAsia="Times New Roman" w:hAnsi="Times New Roman"/>
          <w:sz w:val="18"/>
          <w:szCs w:val="18"/>
          <w:i w:val="1"/>
          <w:iCs w:val="1"/>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addition, any certificate signed by any officer of the Company or the Partnership and delivered to the Underwriters, the Forward Purchasers or their counsel shall be deemed a representation and warranty by the Company and the Partnership, jointly and severally, to the Underwriters and/or Forward Purchasers, as applicable, as to the matters covered thereby.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Further Agreements of the Company.</w:t>
      </w:r>
      <w:r>
        <w:rPr>
          <w:rFonts w:ascii="Times New Roman" w:cs="Times New Roman" w:eastAsia="Times New Roman" w:hAnsi="Times New Roman"/>
          <w:sz w:val="18"/>
          <w:szCs w:val="18"/>
          <w:color w:val="auto"/>
        </w:rPr>
        <w:t xml:space="preserve"> The Company covenants and agrees with each Underwriter, each Forward Seller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Purchaser that:</w:t>
      </w:r>
    </w:p>
    <w:p>
      <w:pPr>
        <w:spacing w:after="0" w:line="205" w:lineRule="exact"/>
        <w:rPr>
          <w:sz w:val="20"/>
          <w:szCs w:val="20"/>
          <w:color w:val="auto"/>
        </w:rPr>
      </w:pPr>
    </w:p>
    <w:p>
      <w:pPr>
        <w:jc w:val="both"/>
        <w:ind w:left="980" w:hanging="324"/>
        <w:spacing w:after="0" w:line="254" w:lineRule="auto"/>
        <w:tabs>
          <w:tab w:leader="none" w:pos="98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(i) the Prospectus with the Commission within the time periods specified by Rule 424(b)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430A, 430B or 430C under the Securities Act, (ii) any Issuer Free Writing Prospectus to the extent required by Rule 433 under the Securities Act; and (iii)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Forward Sellers and Forward Purchasers in New York City prior to 10:00 A.M., New York City time, on the business day next succeeding the date of this Agreement in such quantities as the Underwriters, Forward Sellers and Forward Purchasers may reasonably request. The Company will pay the registration fee for this offering within the time period required by Rule 456(b)(1) under the Securities Act (without giving effect to the proviso therein) and in any event prior to the Closing Date.</w:t>
      </w:r>
    </w:p>
    <w:p>
      <w:pPr>
        <w:spacing w:after="0" w:line="185" w:lineRule="exact"/>
        <w:rPr>
          <w:rFonts w:ascii="Times New Roman" w:cs="Times New Roman" w:eastAsia="Times New Roman" w:hAnsi="Times New Roman"/>
          <w:sz w:val="18"/>
          <w:szCs w:val="18"/>
          <w:i w:val="1"/>
          <w:iCs w:val="1"/>
          <w:color w:val="auto"/>
        </w:rPr>
      </w:pPr>
    </w:p>
    <w:p>
      <w:pPr>
        <w:jc w:val="both"/>
        <w:ind w:left="980" w:hanging="324"/>
        <w:spacing w:after="0" w:line="254" w:lineRule="auto"/>
        <w:tabs>
          <w:tab w:leader="none" w:pos="98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(i) to the Underwriters, Forward Sellers and Forward Purchasers three 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Underwriter may reasonably request. As used herein, the term “Prospectus Delivery Period” means such period of time after the first date of the public offering of the Shares as in the opinion of counsel for the Underwriters, Forward Sellers and Forward Purchasers a prospectus relating to the Shares is required by law to be delivered (or required to be delivered but for Rule 172 under the Securities Act) in connection with sales of the Shares by any Underwriter or dealer.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jc w:val="both"/>
        <w:ind w:left="324" w:hanging="324"/>
        <w:spacing w:after="0" w:line="257" w:lineRule="auto"/>
        <w:tabs>
          <w:tab w:leader="none" w:pos="32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making, preparing, using, authorizing, approving, referring to or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Issuer Free Writing Prospectus, and before filing any amendment or supplement to the Registration Statement, the Pricing Disclosure Package or the Prospectus, the Company will furnish to the Underwriters and Forward Purchasers and counsel for the Underwriters and Forward Purchasers a copy of the proposed Issuer Free Writing Prospectus, amendment or supplement for review and will not make, prepare, use, authorize, approve, refer to or file any such Issuer Free Writing Prospectus or file any such proposed amendment or supplement to which any Underwriter reasonably objects.</w:t>
      </w:r>
    </w:p>
    <w:p>
      <w:pPr>
        <w:spacing w:after="0" w:line="182" w:lineRule="exact"/>
        <w:rPr>
          <w:rFonts w:ascii="Times New Roman" w:cs="Times New Roman" w:eastAsia="Times New Roman" w:hAnsi="Times New Roman"/>
          <w:sz w:val="18"/>
          <w:szCs w:val="18"/>
          <w:i w:val="1"/>
          <w:iCs w:val="1"/>
          <w:color w:val="auto"/>
        </w:rPr>
      </w:pPr>
    </w:p>
    <w:p>
      <w:pPr>
        <w:jc w:val="both"/>
        <w:ind w:left="324" w:hanging="324"/>
        <w:spacing w:after="0" w:line="252" w:lineRule="auto"/>
        <w:tabs>
          <w:tab w:leader="none" w:pos="32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Notice to the Underwriters and Forward Purchasers. </w:t>
      </w:r>
      <w:r>
        <w:rPr>
          <w:rFonts w:ascii="Times New Roman" w:cs="Times New Roman" w:eastAsia="Times New Roman" w:hAnsi="Times New Roman"/>
          <w:sz w:val="18"/>
          <w:szCs w:val="18"/>
          <w:color w:val="auto"/>
        </w:rPr>
        <w:t>The Company will advise the Underwriters and Forward Purchasers promptly,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 such advice in writing, (i) when any amendment to the Registration Statement has been filed or becomes effective; (ii) when any supplement to the Pricing Disclosure Package, the Prospectus, or any Issuer Free Writing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obtain as soon as possible the withdrawal thereof.</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7" w:name="page28"/>
    <w:bookmarkEnd w:id="27"/>
    <w:p>
      <w:pPr>
        <w:jc w:val="both"/>
        <w:ind w:left="324" w:hanging="324"/>
        <w:spacing w:after="0" w:line="252" w:lineRule="auto"/>
        <w:tabs>
          <w:tab w:leader="none" w:pos="324"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and Forward Purchasers thereof and forthwith prepare and, subject to paragraph (c) above, file with the Commission and furnish to the Underwriters and Forward Purchasers and to such dealers as the Underwriters and Forward Purchasers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and Forward Purchasers thereof and forthwith prepare and, subject to paragraph (c) above, file with the Commission (to the extent required) and furnish to the Underwriters and Forward Purchasers and to such dealers as the Underwriters and Forward Purchasers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89" w:lineRule="exact"/>
        <w:rPr>
          <w:rFonts w:ascii="Times New Roman" w:cs="Times New Roman" w:eastAsia="Times New Roman" w:hAnsi="Times New Roman"/>
          <w:sz w:val="18"/>
          <w:szCs w:val="18"/>
          <w:i w:val="1"/>
          <w:iCs w:val="1"/>
          <w:color w:val="auto"/>
        </w:rPr>
      </w:pPr>
    </w:p>
    <w:p>
      <w:pPr>
        <w:jc w:val="both"/>
        <w:ind w:left="324" w:hanging="324"/>
        <w:spacing w:after="0" w:line="258" w:lineRule="auto"/>
        <w:tabs>
          <w:tab w:leader="none" w:pos="324"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Shares for offer and sale under the securities or Blue Sky laws of such jurisdictions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Underwriters and Forward Purchasers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i w:val="1"/>
          <w:iCs w:val="1"/>
          <w:color w:val="auto"/>
        </w:rPr>
      </w:pPr>
    </w:p>
    <w:p>
      <w:pPr>
        <w:jc w:val="both"/>
        <w:ind w:left="324" w:hanging="324"/>
        <w:spacing w:after="0" w:line="258" w:lineRule="auto"/>
        <w:tabs>
          <w:tab w:leader="none" w:pos="324"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Underwriters and Forward Purchasers as soon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which obligation may be satisfied by filing such earnings statement or statements with the Commission’s Electronic Data Gathering, Analysis and Retrieval system (“EDGAR”).</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8" w:name="page29"/>
    <w:bookmarkEnd w:id="28"/>
    <w:p>
      <w:pPr>
        <w:jc w:val="both"/>
        <w:ind w:left="980" w:hanging="324"/>
        <w:spacing w:after="0" w:line="255" w:lineRule="auto"/>
        <w:tabs>
          <w:tab w:leader="none" w:pos="98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30 days (“Lock-up Period”) after the date of the Prospectus, the Company will not (i) offer, pledge,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Common Shares or any securities convertible into or exercisable or exchangeable for Common Shares, or publicly disclose the intention to undertake any of the foregoing, or (ii) enter into any swap or other agreement that transfers, in whole or in part, any of the economic consequences of ownership of the Common Shares or any such other securities, whether any such transaction described in clause (i) or (ii) above is to be settled by delivery of Common Shares or such other securities, in cash or otherwise, without the prior written consent of the Underwriters and Forward Purchasers, other than the Shares to be sold hereunder.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restrictions described above do not apply to (i) the filing of a prospectus supplement with the Commission under Rule 424(b) in connection with the Company’s at-the-market program (it being understood that the Company shall not be permitted to make any sales under such at-the-market program during the Lock-up Period), (ii) the issuance of Common Shares or securities convertible into or exercisable for Common Shares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w:t>
      </w:r>
    </w:p>
    <w:p>
      <w:pPr>
        <w:spacing w:after="0" w:line="3" w:lineRule="exact"/>
        <w:rPr>
          <w:sz w:val="20"/>
          <w:szCs w:val="20"/>
          <w:color w:val="auto"/>
        </w:rPr>
      </w:pPr>
    </w:p>
    <w:p>
      <w:pPr>
        <w:jc w:val="both"/>
        <w:ind w:firstLine="8"/>
        <w:spacing w:after="0" w:line="251"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options, share appreciation rights, restricted shares, RSUs, unrestricted shares, dividend equivalent rights, common units of limited partnership interest in the Partnership (“OP Units”) granted as long-term incentive compensation, or other equity awards and the issuance of Common Shares or securities convertible into or exercisable or exchangeable for Common Shares (whether upon the exercise of stock options or otherwise) pursuant to the terms of an equity compensation plan in effect as of the Closing Date and described in the Prospectus (each such plan, an “Incentive Plan”);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(v) Common Shares issuable upon the exchange of common and preferred OP Units, and (vi) Common Shares in respect of tax withholding payments due upon the exercise of options or the vesting of restricted stock grants pursuant to any Incentive Plan.</w:t>
      </w:r>
    </w:p>
    <w:p>
      <w:pPr>
        <w:spacing w:after="0" w:line="191"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1"/>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and the Partnership will apply the net proceeds from the sale of the Shares as described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under the heading “Use of Proceeds”.</w:t>
      </w:r>
    </w:p>
    <w:p>
      <w:pPr>
        <w:spacing w:after="0" w:line="158"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1"/>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subsidiaries or affiliates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Common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ind w:left="980" w:hanging="324"/>
        <w:spacing w:after="0" w:line="284" w:lineRule="auto"/>
        <w:tabs>
          <w:tab w:leader="none" w:pos="9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reasonable best efforts to list, subject to notice of issuance, the Shares on the New York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“Exchange”).</w:t>
      </w:r>
    </w:p>
    <w:p>
      <w:pPr>
        <w:spacing w:after="0" w:line="158" w:lineRule="exact"/>
        <w:rPr>
          <w:rFonts w:ascii="Times New Roman" w:cs="Times New Roman" w:eastAsia="Times New Roman" w:hAnsi="Times New Roman"/>
          <w:sz w:val="18"/>
          <w:szCs w:val="18"/>
          <w:i w:val="1"/>
          <w:iCs w:val="1"/>
          <w:color w:val="auto"/>
        </w:rPr>
      </w:pPr>
    </w:p>
    <w:p>
      <w:pPr>
        <w:jc w:val="both"/>
        <w:ind w:left="980" w:hanging="324"/>
        <w:spacing w:after="0" w:line="258" w:lineRule="auto"/>
        <w:tabs>
          <w:tab w:leader="none" w:pos="9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So long as the Shares are outstanding, the Company will furnish to the Underwriters and Forward Purchasers, as soon as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Underwriters and Forward Purchasers to the extent they are filed on EDGAR.</w:t>
      </w:r>
    </w:p>
    <w:p>
      <w:pPr>
        <w:spacing w:after="0" w:line="183"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that is not filed with the Commission in accordance with Rule 433 under the Securities Act.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Certain Agreements of the Underwriters and Forward Purchasers.</w:t>
      </w:r>
      <w:r>
        <w:rPr>
          <w:rFonts w:ascii="Times New Roman" w:cs="Times New Roman" w:eastAsia="Times New Roman" w:hAnsi="Times New Roman"/>
          <w:sz w:val="17"/>
          <w:szCs w:val="17"/>
          <w:color w:val="auto"/>
        </w:rPr>
        <w:t xml:space="preserve"> Each Underwriter and Forward Purchaser hereby represents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that:</w:t>
      </w:r>
    </w:p>
    <w:p>
      <w:pPr>
        <w:spacing w:after="0" w:line="207" w:lineRule="exact"/>
        <w:rPr>
          <w:sz w:val="20"/>
          <w:szCs w:val="20"/>
          <w:color w:val="auto"/>
        </w:rPr>
      </w:pPr>
    </w:p>
    <w:p>
      <w:pPr>
        <w:jc w:val="both"/>
        <w:ind w:left="980" w:hanging="324"/>
        <w:spacing w:after="0" w:line="254" w:lineRule="auto"/>
        <w:tabs>
          <w:tab w:leader="none" w:pos="9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91" w:lineRule="exact"/>
        <w:rPr>
          <w:rFonts w:ascii="Times New Roman" w:cs="Times New Roman" w:eastAsia="Times New Roman" w:hAnsi="Times New Roman"/>
          <w:sz w:val="18"/>
          <w:szCs w:val="18"/>
          <w:i w:val="1"/>
          <w:iCs w:val="1"/>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161" w:lineRule="exact"/>
        <w:rPr>
          <w:rFonts w:ascii="Times New Roman" w:cs="Times New Roman" w:eastAsia="Times New Roman" w:hAnsi="Times New Roman"/>
          <w:sz w:val="18"/>
          <w:szCs w:val="18"/>
          <w:i w:val="1"/>
          <w:iCs w:val="1"/>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Conditions of Underwriters’ and Forward Sellers’ Obligations.</w:t>
      </w:r>
      <w:r>
        <w:rPr>
          <w:rFonts w:ascii="Times New Roman" w:cs="Times New Roman" w:eastAsia="Times New Roman" w:hAnsi="Times New Roman"/>
          <w:sz w:val="18"/>
          <w:szCs w:val="18"/>
          <w:color w:val="auto"/>
        </w:rPr>
        <w:t xml:space="preserve"> The obligations of each Forward Seller hereunder to sell and deliver the Borrowed Firm Shares and the Borrowed Option Shares and of the Underwriters hereunder to purchase and pay for the Shares, as provided herein is subject to the performance by the Company of its covenants and other obligations hereunder and to the following additional conditions:</w:t>
      </w:r>
    </w:p>
    <w:p>
      <w:pPr>
        <w:spacing w:after="0" w:line="174" w:lineRule="exact"/>
        <w:rPr>
          <w:sz w:val="20"/>
          <w:szCs w:val="20"/>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Underwriters, Forward Sellers and Forward Purchasers.</w:t>
      </w:r>
    </w:p>
    <w:p>
      <w:pPr>
        <w:spacing w:after="0" w:line="182" w:lineRule="exact"/>
        <w:rPr>
          <w:rFonts w:ascii="Times New Roman" w:cs="Times New Roman" w:eastAsia="Times New Roman" w:hAnsi="Times New Roman"/>
          <w:sz w:val="18"/>
          <w:szCs w:val="18"/>
          <w:i w:val="1"/>
          <w:iCs w:val="1"/>
          <w:color w:val="auto"/>
        </w:rPr>
      </w:pPr>
    </w:p>
    <w:p>
      <w:pPr>
        <w:jc w:val="both"/>
        <w:ind w:left="980" w:hanging="324"/>
        <w:spacing w:after="0" w:line="261"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Partnership contained herein shall be true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79" w:lineRule="exact"/>
        <w:rPr>
          <w:rFonts w:ascii="Times New Roman" w:cs="Times New Roman" w:eastAsia="Times New Roman" w:hAnsi="Times New Roman"/>
          <w:sz w:val="18"/>
          <w:szCs w:val="18"/>
          <w:i w:val="1"/>
          <w:iCs w:val="1"/>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hereof shall have occurred or shall exist, which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 is not described in the Pricing Disclosure Package (excluding any amendment or supplement thereto) and the Prospectus (excluding any amendment or supplement thereto) and the effect of which in the judgment of the Underwriters, Forward Sellers and Forward Purchasers makes it impracticable or inadvisable to proceed with the offering, sale or delivery of the Shares on the Closing Date or the Additional Closing Date, as the case may be, on the terms and in the manner contemplated by this Agreement, any Confirmation, the Pricing Disclosure Package and the Prospectus.</w:t>
      </w:r>
    </w:p>
    <w:p>
      <w:pPr>
        <w:spacing w:after="0" w:line="182" w:lineRule="exact"/>
        <w:rPr>
          <w:rFonts w:ascii="Times New Roman" w:cs="Times New Roman" w:eastAsia="Times New Roman" w:hAnsi="Times New Roman"/>
          <w:sz w:val="18"/>
          <w:szCs w:val="18"/>
          <w:i w:val="1"/>
          <w:iCs w:val="1"/>
          <w:color w:val="auto"/>
        </w:rPr>
      </w:pPr>
    </w:p>
    <w:p>
      <w:pPr>
        <w:jc w:val="both"/>
        <w:ind w:left="980" w:hanging="324"/>
        <w:spacing w:after="0" w:line="258" w:lineRule="auto"/>
        <w:tabs>
          <w:tab w:leader="none" w:pos="98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Underwriters, Forward Sellers and Forward Purchasers shall have received on and as of the Closing Date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Closing Date, as the case may be, a certificate of the chief financial officer or chief accounting officer of the Company and one additional senior executive officer of the Company who is satisfactory to the Underwriters, Forward Sellers and Forward Purchasers</w:t>
      </w:r>
    </w:p>
    <w:p>
      <w:pPr>
        <w:jc w:val="both"/>
        <w:ind w:left="98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and the Partnership in this Agreement are true and correct and that the Company and the Partnership have complied with all agreements and satisfied all conditions on their part to be performed or satisfied hereunder at or prior to the Closing Date or the Additional Closing Date, as the case may be, and (iii) to the effect set forth in paragraphs (a), (b) and (c)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324" w:hanging="324"/>
        <w:spacing w:after="0" w:line="255" w:lineRule="auto"/>
        <w:tabs>
          <w:tab w:leader="none" w:pos="32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or the Additional Closing Date, as the case may be, Deloitte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Touche LLP shall have furnished to the Underwriters, Forward Sellers and Forward Purchasers, at the request of the Company, letters, dated the respective dates of delivery thereof and addressed to the Underwriters, Forward Sellers and Forward Purchasers, in form and substance reasonably satisfactory to the Underwriters, Forward Sellers and Forward Purchasers,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184" w:lineRule="exact"/>
        <w:rPr>
          <w:rFonts w:ascii="Times New Roman" w:cs="Times New Roman" w:eastAsia="Times New Roman" w:hAnsi="Times New Roman"/>
          <w:sz w:val="18"/>
          <w:szCs w:val="18"/>
          <w:i w:val="1"/>
          <w:iCs w:val="1"/>
          <w:color w:val="auto"/>
        </w:rPr>
      </w:pPr>
    </w:p>
    <w:p>
      <w:pPr>
        <w:jc w:val="both"/>
        <w:ind w:left="324" w:hanging="324"/>
        <w:spacing w:after="0" w:line="261" w:lineRule="auto"/>
        <w:tabs>
          <w:tab w:leader="none" w:pos="32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Goodwin Procter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Forward Sellers and Forward Purchasers, at the request of the Company, their written opinion and 10b-5 statement, dated the Closing Date or the Additional Closing Date, as the case may be, and addressed to the Underwriters, Forward Sellers and Forward Purchasers, in form and substance reasonably satisfactory to the Underwriters, Forward Sellers and Forward Purchasers.</w:t>
      </w:r>
    </w:p>
    <w:p>
      <w:pPr>
        <w:spacing w:after="0" w:line="181" w:lineRule="exact"/>
        <w:rPr>
          <w:rFonts w:ascii="Times New Roman" w:cs="Times New Roman" w:eastAsia="Times New Roman" w:hAnsi="Times New Roman"/>
          <w:sz w:val="18"/>
          <w:szCs w:val="18"/>
          <w:i w:val="1"/>
          <w:iCs w:val="1"/>
          <w:color w:val="auto"/>
        </w:rPr>
      </w:pPr>
    </w:p>
    <w:p>
      <w:pPr>
        <w:ind w:left="324" w:hanging="324"/>
        <w:spacing w:after="0"/>
        <w:tabs>
          <w:tab w:leader="none" w:pos="32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i w:val="1"/>
          <w:iCs w:val="1"/>
          <w:color w:val="auto"/>
        </w:rPr>
      </w:pPr>
    </w:p>
    <w:p>
      <w:pPr>
        <w:jc w:val="both"/>
        <w:ind w:left="324" w:hanging="324"/>
        <w:spacing w:after="0" w:line="261" w:lineRule="auto"/>
        <w:tabs>
          <w:tab w:leader="none" w:pos="32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Opinion of Tax Counsel for the Company</w:t>
      </w:r>
      <w:r>
        <w:rPr>
          <w:rFonts w:ascii="Times New Roman" w:cs="Times New Roman" w:eastAsia="Times New Roman" w:hAnsi="Times New Roman"/>
          <w:sz w:val="18"/>
          <w:szCs w:val="18"/>
          <w:color w:val="auto"/>
        </w:rPr>
        <w:t>. Seyfarth Shaw LLP, tax counsel for the Company, shall have furnished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and Forward Purchasers, at the request of the Company, their written opinion, dated the Closing Date or the Additional Closing Date, as the case may be, and addressed to the Underwriters, Forward Sellers and Forward Purchasers, in form and substance reasonably satisfactory to the Underwriters, Forward Sellers and Forward Purchasers.</w:t>
      </w:r>
    </w:p>
    <w:p>
      <w:pPr>
        <w:spacing w:after="0" w:line="179" w:lineRule="exact"/>
        <w:rPr>
          <w:rFonts w:ascii="Times New Roman" w:cs="Times New Roman" w:eastAsia="Times New Roman" w:hAnsi="Times New Roman"/>
          <w:sz w:val="18"/>
          <w:szCs w:val="18"/>
          <w:i w:val="1"/>
          <w:iCs w:val="1"/>
          <w:color w:val="auto"/>
        </w:rPr>
      </w:pPr>
    </w:p>
    <w:p>
      <w:pPr>
        <w:jc w:val="both"/>
        <w:ind w:left="324" w:hanging="324"/>
        <w:spacing w:after="0" w:line="261" w:lineRule="auto"/>
        <w:tabs>
          <w:tab w:leader="none" w:pos="32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Opinion of Maryland Counsel for the Company</w:t>
      </w:r>
      <w:r>
        <w:rPr>
          <w:rFonts w:ascii="Times New Roman" w:cs="Times New Roman" w:eastAsia="Times New Roman" w:hAnsi="Times New Roman"/>
          <w:sz w:val="18"/>
          <w:szCs w:val="18"/>
          <w:color w:val="auto"/>
        </w:rPr>
        <w:t>. Venable LLP, Maryland counsel for the Company, shall have furnished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and Forward Purchasers, at the request of the Company, their written opinion, dated the Closing Date or the Additional Closing Date, as the case may be, and addressed to the Underwriters, Forward Sellers and Forward Purchasers, in form and substance reasonably satisfactory to the Underwriters, Forward Sellers and Forward Purchasers.</w:t>
      </w:r>
    </w:p>
    <w:p>
      <w:pPr>
        <w:spacing w:after="0" w:line="179" w:lineRule="exact"/>
        <w:rPr>
          <w:rFonts w:ascii="Times New Roman" w:cs="Times New Roman" w:eastAsia="Times New Roman" w:hAnsi="Times New Roman"/>
          <w:sz w:val="18"/>
          <w:szCs w:val="18"/>
          <w:i w:val="1"/>
          <w:iCs w:val="1"/>
          <w:color w:val="auto"/>
        </w:rPr>
      </w:pPr>
    </w:p>
    <w:p>
      <w:pPr>
        <w:jc w:val="both"/>
        <w:ind w:left="324" w:hanging="324"/>
        <w:spacing w:after="0" w:line="257" w:lineRule="auto"/>
        <w:tabs>
          <w:tab w:leader="none" w:pos="324"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Opinion and 10b-5 Statement of Counsel for the Underwriters, Forward Sellers and Forward Purchasers. </w:t>
      </w:r>
      <w:r>
        <w:rPr>
          <w:rFonts w:ascii="Times New Roman" w:cs="Times New Roman" w:eastAsia="Times New Roman" w:hAnsi="Times New Roman"/>
          <w:sz w:val="18"/>
          <w:szCs w:val="18"/>
          <w:color w:val="auto"/>
        </w:rPr>
        <w:t>The Underwriters, Forward Sellers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Forward Purchasers shall have received on and as of the Closing Date or the Additional Closing Date, as the case may be, an opinion and 10b-5 statement, addressed to the Underwriters, Forward Sellers and Forward Purchasers, of Fried, Frank, Harris, Shriver &amp; Jacobson LLP, counsel for the Underwriters, Forward Sellers and Forward Purchasers, with respect to such matters as the Underwriters, Forward Sellers and Forward Purchasers may reasonably request, and such counsel shall have received such documents and information as they may reasonably request to enable them to pass upon such matters.</w:t>
      </w:r>
    </w:p>
    <w:p>
      <w:pPr>
        <w:spacing w:after="0" w:line="40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2" w:name="page33"/>
    <w:bookmarkEnd w:id="32"/>
    <w:p>
      <w:pPr>
        <w:jc w:val="both"/>
        <w:ind w:left="980" w:hanging="324"/>
        <w:spacing w:after="0" w:line="258"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Legal Impediment to Issuance and Sale. </w:t>
      </w:r>
      <w:r>
        <w:rPr>
          <w:rFonts w:ascii="Times New Roman" w:cs="Times New Roman" w:eastAsia="Times New Roman" w:hAnsi="Times New Roman"/>
          <w:sz w:val="18"/>
          <w:szCs w:val="18"/>
          <w:color w:val="auto"/>
        </w:rPr>
        <w:t>No action shall have been taken and no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83" w:lineRule="exact"/>
        <w:rPr>
          <w:rFonts w:ascii="Times New Roman" w:cs="Times New Roman" w:eastAsia="Times New Roman" w:hAnsi="Times New Roman"/>
          <w:sz w:val="18"/>
          <w:szCs w:val="18"/>
          <w:i w:val="1"/>
          <w:iCs w:val="1"/>
          <w:color w:val="auto"/>
        </w:rPr>
      </w:pPr>
    </w:p>
    <w:p>
      <w:pPr>
        <w:jc w:val="both"/>
        <w:ind w:left="980" w:hanging="324"/>
        <w:spacing w:after="0" w:line="261"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Underwriters, Forward Sellers and Forward Purchasers shall have received on and as of the Closing Date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Closing Date, as the case may be, satisfactory evidence of the good standing of the Company and the Partnership in their respective jurisdictions of organization,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or the Additional Closing Date, as the case may be,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for listing on the Exchange, subject to official notice of issuance.</w:t>
      </w:r>
    </w:p>
    <w:p>
      <w:pPr>
        <w:spacing w:after="0" w:line="158" w:lineRule="exact"/>
        <w:rPr>
          <w:rFonts w:ascii="Times New Roman" w:cs="Times New Roman" w:eastAsia="Times New Roman" w:hAnsi="Times New Roman"/>
          <w:sz w:val="18"/>
          <w:szCs w:val="18"/>
          <w:i w:val="1"/>
          <w:iCs w:val="1"/>
          <w:color w:val="auto"/>
        </w:rPr>
      </w:pPr>
    </w:p>
    <w:p>
      <w:pPr>
        <w:jc w:val="both"/>
        <w:ind w:left="980" w:hanging="324"/>
        <w:spacing w:after="0" w:line="261"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executed by certain officers and trustees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Company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relating to sales and certain other dispositions of Common Shares or certain other securities, delivered to the Underwriters, Forward Sellers and Forward Purchasers on or before the date hereof, shall be full force and effect on the Closing Date or the Additional Closing Date, as the case may be.</w:t>
      </w:r>
    </w:p>
    <w:p>
      <w:pPr>
        <w:spacing w:after="0" w:line="179" w:lineRule="exact"/>
        <w:rPr>
          <w:rFonts w:ascii="Times New Roman" w:cs="Times New Roman" w:eastAsia="Times New Roman" w:hAnsi="Times New Roman"/>
          <w:sz w:val="18"/>
          <w:szCs w:val="18"/>
          <w:i w:val="1"/>
          <w:iCs w:val="1"/>
          <w:color w:val="auto"/>
        </w:rPr>
      </w:pPr>
    </w:p>
    <w:p>
      <w:pPr>
        <w:jc w:val="both"/>
        <w:ind w:left="980" w:right="20" w:hanging="324"/>
        <w:spacing w:after="0" w:line="267" w:lineRule="auto"/>
        <w:tabs>
          <w:tab w:leader="none" w:pos="9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 have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Underwriters, Forward Sellers and Forward Purchasers such further certificates and documents as the Underwriters, Forward Sellers and Forward Purchasers may reasonably request.</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 Forward Sellers and Forward Purchasers.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ind w:left="644"/>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Indemnification and Contribution.</w:t>
      </w:r>
    </w:p>
    <w:p>
      <w:pPr>
        <w:spacing w:after="0" w:line="223" w:lineRule="exact"/>
        <w:rPr>
          <w:sz w:val="20"/>
          <w:szCs w:val="20"/>
          <w:color w:val="auto"/>
        </w:rPr>
      </w:pPr>
    </w:p>
    <w:p>
      <w:pPr>
        <w:jc w:val="both"/>
        <w:ind w:left="324" w:hanging="324"/>
        <w:spacing w:after="0" w:line="251" w:lineRule="auto"/>
        <w:tabs>
          <w:tab w:leader="none" w:pos="324"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Indemnification of the Underwriters and Forward Purchasers. </w:t>
      </w:r>
      <w:r>
        <w:rPr>
          <w:rFonts w:ascii="Times New Roman" w:cs="Times New Roman" w:eastAsia="Times New Roman" w:hAnsi="Times New Roman"/>
          <w:sz w:val="18"/>
          <w:szCs w:val="18"/>
          <w:color w:val="auto"/>
        </w:rPr>
        <w:t>The Company and the Partnership, jointly and severally agree to indemnify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hold harmless each Underwriter, its affiliates (as such term is defined in Rule 501(b) of the Securities Act Regulations), directors and officers and each person, if any, who controls such Underwriter within the meaning of Section 15 of the Securities Act or Section 20 of the Exchange Act, and the successors and assigns of all of the foregoing persons from and against any and all losses, claims, damages and liabilities (including, without limitation, legal fees and other expenses incurred in connection with any suit, action or proceeding or any claim asserted, as such fees and expenses are incurred), that any of the foregoing persons may incur under the Securities Act, the Exchange Act, federal or state statutory law or regulation, the common law, or otherwise, insofar as such loss, claim, damage, clam or liability arises out of, or is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expressly for use therein, it being understood and agreed that the only such information furnished by any Underwriter consists of the information described as such in paragraph</w:t>
      </w:r>
    </w:p>
    <w:p>
      <w:pPr>
        <w:spacing w:after="0" w:line="11" w:lineRule="exact"/>
        <w:rPr>
          <w:rFonts w:ascii="Times New Roman" w:cs="Times New Roman" w:eastAsia="Times New Roman" w:hAnsi="Times New Roman"/>
          <w:sz w:val="18"/>
          <w:szCs w:val="18"/>
          <w:i w:val="1"/>
          <w:iCs w:val="1"/>
          <w:color w:val="auto"/>
        </w:rPr>
      </w:pPr>
    </w:p>
    <w:p>
      <w:pPr>
        <w:ind w:left="32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 below.</w:t>
      </w:r>
    </w:p>
    <w:p>
      <w:pPr>
        <w:spacing w:after="0" w:line="204" w:lineRule="exact"/>
        <w:rPr>
          <w:rFonts w:ascii="Times New Roman" w:cs="Times New Roman" w:eastAsia="Times New Roman" w:hAnsi="Times New Roman"/>
          <w:sz w:val="18"/>
          <w:szCs w:val="18"/>
          <w:i w:val="1"/>
          <w:iCs w:val="1"/>
          <w:color w:val="auto"/>
        </w:rPr>
      </w:pPr>
    </w:p>
    <w:p>
      <w:pPr>
        <w:jc w:val="both"/>
        <w:ind w:left="324" w:hanging="324"/>
        <w:spacing w:after="0" w:line="253" w:lineRule="auto"/>
        <w:tabs>
          <w:tab w:leader="none" w:pos="324"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Indemnification of the Company and the Partnership. </w:t>
      </w:r>
      <w:r>
        <w:rPr>
          <w:rFonts w:ascii="Times New Roman" w:cs="Times New Roman" w:eastAsia="Times New Roman" w:hAnsi="Times New Roman"/>
          <w:sz w:val="18"/>
          <w:szCs w:val="18"/>
          <w:color w:val="auto"/>
        </w:rPr>
        <w:t>Each Underwriter agrees, severally and not jointly,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Partnership, and, as applicable, their trustees, officers who signed the Registration Statement and each person, if any, who controls the Company and the Partnership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information contained in the twelfth and thirteenth paragraphs under the caption “Underwriting”.</w:t>
      </w: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4" w:name="page35"/>
    <w:bookmarkEnd w:id="34"/>
    <w:p>
      <w:pPr>
        <w:jc w:val="both"/>
        <w:ind w:left="324" w:hanging="324"/>
        <w:spacing w:after="0" w:line="251" w:lineRule="auto"/>
        <w:tabs>
          <w:tab w:leader="none" w:pos="324"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Underwriters and Forward Purchasers and any such separate firm for the Company, the Partnership, and, as applicable, their trustees, officers who signed the Registration Statement and any control persons of the Company and the Partnership shall be designated in writing by the Company and the Partnership, respectively.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0" w:lineRule="exact"/>
        <w:rPr>
          <w:sz w:val="20"/>
          <w:szCs w:val="20"/>
          <w:color w:val="auto"/>
        </w:rPr>
      </w:pPr>
    </w:p>
    <w:p>
      <w:pPr>
        <w:spacing w:after="0" w:line="2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5" w:name="page36"/>
    <w:bookmarkEnd w:id="35"/>
    <w:p>
      <w:pPr>
        <w:jc w:val="both"/>
        <w:ind w:left="324" w:hanging="324"/>
        <w:spacing w:after="0" w:line="252" w:lineRule="auto"/>
        <w:tabs>
          <w:tab w:leader="none" w:pos="324"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or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Partnership, on the one hand, and the Underwriters and Forward Purchasers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Partnership, on the one hand, and the Underwriters and Forward Purchasers on the other, in connection with the statements or omissions that resulted in such losses, claims, damages or liabilities, as well as any other relevant equitable considerations. The relative benefits received by the Company and the Partnership, on the one hand, and the Underwriters and Forward Purchasers on the other, shall be deemed to be in the same respective proportions as the net proceeds (before deducting expenses) received by the Company from the sale of the Shares and the total underwriting discounts and commissions received by the Underwriters and Forward Purchasers in connection therewith, in each case as set forth in the table on the cover of the Prospectus, or the fee to be received by bear to the aggregate offering price of the Shares. The relative fault of the Company and the Partnership, on the one hand, and the Underwriters and Forward Purchasers on the other, shall be determined by reference to, among other things, whether the untrue or alleged untrue statement of a material fact or the omission or alleged omission to state a material fact relates to information supplied by the Company or the Partnership or by the Underwriters and Forward Purchasers and the parties’ relative intent, knowledge, access to information and opportunity to correct or prevent such statement or omission.</w:t>
      </w:r>
    </w:p>
    <w:p>
      <w:pPr>
        <w:spacing w:after="0" w:line="193" w:lineRule="exact"/>
        <w:rPr>
          <w:rFonts w:ascii="Times New Roman" w:cs="Times New Roman" w:eastAsia="Times New Roman" w:hAnsi="Times New Roman"/>
          <w:sz w:val="18"/>
          <w:szCs w:val="18"/>
          <w:i w:val="1"/>
          <w:iCs w:val="1"/>
          <w:color w:val="auto"/>
        </w:rPr>
      </w:pPr>
    </w:p>
    <w:p>
      <w:pPr>
        <w:jc w:val="both"/>
        <w:ind w:left="324" w:hanging="324"/>
        <w:spacing w:after="0" w:line="253" w:lineRule="auto"/>
        <w:tabs>
          <w:tab w:leader="none" w:pos="324"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Partnership, the Underwriters and Forward Purchasers agree that it would not be just and equitable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if contribution pursuant to 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and Forward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and Forward Purchasers’ obligations to contribute pursuant to paragraphs (d) and (e) are several in proportion to their respective purchase obligations hereunder and not joint.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36" w:name="page37"/>
    <w:bookmarkEnd w:id="36"/>
    <w:p>
      <w:pPr>
        <w:ind w:left="980" w:right="20" w:hanging="324"/>
        <w:spacing w:after="0" w:line="284" w:lineRule="auto"/>
        <w:tabs>
          <w:tab w:leader="none" w:pos="98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7 paragraphs (a) through (e) are not exclusive and shall not limit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remedies which may otherwise be available to any Indemnified Person at law or in equity.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Effectiveness of Agreement.</w:t>
      </w:r>
      <w:r>
        <w:rPr>
          <w:rFonts w:ascii="Times New Roman" w:cs="Times New Roman" w:eastAsia="Times New Roman" w:hAnsi="Times New Roman"/>
          <w:sz w:val="18"/>
          <w:szCs w:val="18"/>
          <w:color w:val="auto"/>
        </w:rPr>
        <w:t xml:space="preserve"> This Agreement shall become effective as of the date first written above.</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Agreement may be terminated in the absolute discretion of the Underwriters, Forward Sellers and Forward Purchasers, by notice to the Company,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Underwriters, Forward Sellers and Forward Purchasers,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 Notwithstanding anything to the contrary contained in this Agreement, no termination of this Agreement shall effect the validity, effectiveness or enforceability of any executed Confirmation and any such executed Confirmation shall remain in full force and effect notwithstanding such termination (subject to the terms and conditions of such Confirmation).</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Defaulting Underwriter.</w:t>
      </w:r>
    </w:p>
    <w:p>
      <w:pPr>
        <w:spacing w:after="0" w:line="225" w:lineRule="exact"/>
        <w:rPr>
          <w:sz w:val="20"/>
          <w:szCs w:val="20"/>
          <w:color w:val="auto"/>
        </w:rPr>
      </w:pPr>
    </w:p>
    <w:p>
      <w:pPr>
        <w:jc w:val="both"/>
        <w:ind w:left="980" w:hanging="324"/>
        <w:spacing w:after="0" w:line="253" w:lineRule="auto"/>
        <w:tabs>
          <w:tab w:leader="none" w:pos="98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7" w:name="page38"/>
    <w:bookmarkEnd w:id="37"/>
    <w:p>
      <w:pPr>
        <w:jc w:val="both"/>
        <w:ind w:left="324" w:hanging="324"/>
        <w:spacing w:after="0" w:line="255" w:lineRule="auto"/>
        <w:tabs>
          <w:tab w:leader="none" w:pos="32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8" w:lineRule="exact"/>
        <w:rPr>
          <w:rFonts w:ascii="Times New Roman" w:cs="Times New Roman" w:eastAsia="Times New Roman" w:hAnsi="Times New Roman"/>
          <w:sz w:val="18"/>
          <w:szCs w:val="18"/>
          <w:i w:val="1"/>
          <w:iCs w:val="1"/>
          <w:color w:val="auto"/>
        </w:rPr>
      </w:pPr>
    </w:p>
    <w:p>
      <w:pPr>
        <w:jc w:val="both"/>
        <w:ind w:left="324" w:hanging="324"/>
        <w:spacing w:after="0" w:line="254" w:lineRule="auto"/>
        <w:tabs>
          <w:tab w:leader="none" w:pos="32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or the Partnership, except that the Company will continue to be liable for the payment of expenses as set forth in Section 11 hereof and except that the provisions of Section 7 hereof shall not terminate and shall remain in effect.</w:t>
      </w:r>
    </w:p>
    <w:p>
      <w:pPr>
        <w:spacing w:after="0" w:line="191" w:lineRule="exact"/>
        <w:rPr>
          <w:rFonts w:ascii="Times New Roman" w:cs="Times New Roman" w:eastAsia="Times New Roman" w:hAnsi="Times New Roman"/>
          <w:sz w:val="18"/>
          <w:szCs w:val="18"/>
          <w:i w:val="1"/>
          <w:iCs w:val="1"/>
          <w:color w:val="auto"/>
        </w:rPr>
      </w:pPr>
    </w:p>
    <w:p>
      <w:pPr>
        <w:ind w:left="324" w:right="20" w:hanging="324"/>
        <w:spacing w:after="0" w:line="282" w:lineRule="auto"/>
        <w:tabs>
          <w:tab w:leader="none" w:pos="32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i w:val="1"/>
          <w:iCs w:val="1"/>
          <w:u w:val="single" w:color="auto"/>
          <w:color w:val="auto"/>
        </w:rPr>
        <w:t>.</w:t>
      </w:r>
    </w:p>
    <w:p>
      <w:pPr>
        <w:spacing w:after="0" w:line="227" w:lineRule="exact"/>
        <w:rPr>
          <w:sz w:val="20"/>
          <w:szCs w:val="20"/>
          <w:color w:val="auto"/>
        </w:rPr>
      </w:pPr>
    </w:p>
    <w:p>
      <w:pPr>
        <w:jc w:val="both"/>
        <w:ind w:left="324" w:hanging="324"/>
        <w:spacing w:after="0" w:line="252" w:lineRule="auto"/>
        <w:tabs>
          <w:tab w:leader="none" w:pos="324"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Underwriters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and</w:t>
      </w:r>
    </w:p>
    <w:p>
      <w:pPr>
        <w:spacing w:after="0" w:line="3" w:lineRule="exact"/>
        <w:rPr>
          <w:rFonts w:ascii="Times New Roman" w:cs="Times New Roman" w:eastAsia="Times New Roman" w:hAnsi="Times New Roman"/>
          <w:sz w:val="18"/>
          <w:szCs w:val="18"/>
          <w:i w:val="1"/>
          <w:iCs w:val="1"/>
          <w:color w:val="auto"/>
        </w:rPr>
      </w:pPr>
    </w:p>
    <w:p>
      <w:pPr>
        <w:ind w:left="624" w:hanging="300"/>
        <w:spacing w:after="0"/>
        <w:tabs>
          <w:tab w:leader="none" w:pos="6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and application fees related to the listing of the Shares on the Exchange.</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 w:name="page39"/>
    <w:bookmarkEnd w:id="38"/>
    <w:p>
      <w:pPr>
        <w:jc w:val="both"/>
        <w:ind w:left="980" w:hanging="324"/>
        <w:spacing w:after="0" w:line="261" w:lineRule="auto"/>
        <w:tabs>
          <w:tab w:leader="none" w:pos="98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Except as otherwise set forth herein, the Company shall not be required to pay for any of the Underwriters’ expenses, except that if (i) this Agreement is terminated pursuant to Section 9, (ii) the Company for any reason fails to tender the Shares for delivery to the Underwriters or</w:t>
      </w:r>
    </w:p>
    <w:p>
      <w:pPr>
        <w:jc w:val="both"/>
        <w:ind w:left="980"/>
        <w:spacing w:after="0" w:line="255" w:lineRule="auto"/>
        <w:tabs>
          <w:tab w:leader="none" w:pos="13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decline to purchase the Shares for any reason permitted under this Agreement, the Company agrees to reimburse the Underwriters for all reasonable and documented out-of-pocket costs and expenses (including the fees and expenses of their counsel) reasonably incurred by the Underwriters in connection with this Agreement and the offering contemplated hereby.</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Persons Entitled to Benefit of Agreement.</w:t>
      </w:r>
      <w:r>
        <w:rPr>
          <w:rFonts w:ascii="Times New Roman" w:cs="Times New Roman" w:eastAsia="Times New Roman" w:hAnsi="Times New Roman"/>
          <w:sz w:val="18"/>
          <w:szCs w:val="18"/>
          <w:color w:val="auto"/>
        </w:rPr>
        <w:t xml:space="preserve"> This Agreement shall inure to the benefit of and be binding upon the parties hereto and their respective successors and the officers, trustees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entity acting as a Forward Purchaser (the “Previous Forward Purchaser”) may, without the consent of the other parties hereto, designate an affiliate to replace it as Forward Purchaser (the “New Forward Purchaser”), in which case, from the date of such designation, the New Forward Purchaser shall for all the purposes of this Agreement be substituted for the Previous Forward Purchaser as a Forward Purchaser party hereto (as assignee of the Previous Forward Purchaser).</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The respective indemnities, rights of contribution, representations, warranties and agreements of the Company, the Partnership, the Underwriters, Forward Sellers and the Forward Purchasers contained in this Agreement or made by or on behalf of the Company, the Partnership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Partnership or the Underwriters, Forward Sellers and the Forward Purchasers or the directors, trustees, officers, controlling persons or affiliates referred to in Section 7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Defined Terms.</w:t>
      </w:r>
      <w:r>
        <w:rPr>
          <w:rFonts w:ascii="Times New Roman" w:cs="Times New Roman" w:eastAsia="Times New Roman" w:hAnsi="Times New Roman"/>
          <w:sz w:val="18"/>
          <w:szCs w:val="18"/>
          <w:color w:val="auto"/>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Compliance with USA Patriot Act.</w:t>
      </w:r>
      <w:r>
        <w:rPr>
          <w:rFonts w:ascii="Times New Roman" w:cs="Times New Roman" w:eastAsia="Times New Roman" w:hAnsi="Times New Roman"/>
          <w:sz w:val="18"/>
          <w:szCs w:val="18"/>
          <w:color w:val="auto"/>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Miscellaneous.</w:t>
      </w:r>
    </w:p>
    <w:p>
      <w:pPr>
        <w:spacing w:after="0" w:line="223" w:lineRule="exact"/>
        <w:rPr>
          <w:sz w:val="20"/>
          <w:szCs w:val="20"/>
          <w:color w:val="auto"/>
        </w:rPr>
      </w:pPr>
    </w:p>
    <w:p>
      <w:pPr>
        <w:jc w:val="both"/>
        <w:ind w:left="980" w:hanging="324"/>
        <w:spacing w:after="0" w:line="253" w:lineRule="auto"/>
        <w:tabs>
          <w:tab w:leader="none" w:pos="98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and Forward Sellers shall be given to the Underwriters and Forward Sellers c/o BofA Securities, Inc., One Bryant Park, New York, NY 10036, Email: dg.ecm_execution_services@bofa.com, Attention: Syndicate Department, with a copy to: Email: dg.ecm_legal@bofa.com Attention: ECM Legal, c/o Jefferies LLC, 520 Madison Avenue, New York, New York 10022, Attention: General Counsel, c/o Truist Securities, Inc., 740 Battery Ave SE, 3rd Floor, Atlanta, Georgia 30339, and c/o Wells Fargo Securities, LLC, 500 West 33rd Street, New York, New York 10001, Attention: Equity Syndicate Department, Facsimile: (212) 214-5918. Notices to the Company and the Partnership shall be given to them at 411 Theodore Fremd Avenue, Suite 300, Rye, New York 10580, Facsimile: 914-288-2138, Attention: Chief Legal Officer. Notices to the Forward Purchasers shall be given to the Forward Purchasers c/o Bank of America, N.A. One Bryant Park, New York, NY 10036, Email: dg.ecm_execution_services@bofa.com, Attention: Syndicate Department, with a copy to: Email: dg.ecm_legal@bofa.com Attention: ECM Legal, c/o Jefferies LLC, 520 Madison Avenue, New York, New York 10022, Attention: General Counsel, c/o Truist Bank, 740 Battery Ave SE, 3rd Floor, Atlanta, Georgia 30339, and c/o Wells Fargo Bank, National Association, 500 West 33rd Street, New York, New York 10001, Attention: Equity Syndicate Department, Facsimile: (212) 214-5918. Notices to the Company and the Partnership shall be given to them at 411 Theodore Fremd Avenue, Suite 300, Rye, New York 10580, Facsimile: 914-288-2138, Attention: Chief Legal Officer.</w:t>
      </w:r>
    </w:p>
    <w:p>
      <w:pPr>
        <w:spacing w:after="0" w:line="185"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980" w:hanging="324"/>
        <w:spacing w:after="0" w:line="255" w:lineRule="auto"/>
        <w:tabs>
          <w:tab w:leader="none" w:pos="98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the Partnership, the Underwriters, Forward Sellers and Forward Purchasers hereby submit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jurisdiction of the U.S. federal and New York state courts in the Borough of Manhattan in The City of New York in any suit or proceeding arising out of or relating to this Agreement or the transactions contemplated hereby. Each of the Company, the Partnership, the Underwriters, Forward Sellers and Forward Purchasers waives any objection which it may now or hereafter have to the laying of venue of any such suit or proceeding in such courts. Each of the Company, the Partnership, the Underwriters, Forward Sellers and Forward Purchasers agrees that final judgment in any such suit, action or proceeding brought in such court shall be conclusive and binding upon the Company, the Partnership, the Underwriters, and the Forward Purchasers as applicable, and may be enforced in any court to the jurisdiction of which Company, the Partnership and the Underwriters are subject by a suit upon such judgment.</w:t>
      </w:r>
    </w:p>
    <w:p>
      <w:pPr>
        <w:spacing w:after="0" w:line="184" w:lineRule="exact"/>
        <w:rPr>
          <w:rFonts w:ascii="Times New Roman" w:cs="Times New Roman" w:eastAsia="Times New Roman" w:hAnsi="Times New Roman"/>
          <w:sz w:val="18"/>
          <w:szCs w:val="18"/>
          <w:i w:val="1"/>
          <w:iCs w:val="1"/>
          <w:color w:val="auto"/>
        </w:rPr>
      </w:pPr>
    </w:p>
    <w:p>
      <w:pPr>
        <w:ind w:left="980" w:hanging="324"/>
        <w:spacing w:after="0" w:line="284" w:lineRule="auto"/>
        <w:tabs>
          <w:tab w:leader="none" w:pos="98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60"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or Forward Purchaser that is a Covered Entity becomes subject to a proceeding under a U.S. Special Resolution Regime, the transfer from such Underwriter or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or Forward Purchaser that is a Covered Entity or a BHC Act Affiliate of such Underwriter becomes subject to a proceeding under a U.S. Special Resolution Regime, Default Rights under this Agreement that may be exercised against such Underwriter or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16(e):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1841(k).</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left="64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4" w:lineRule="exact"/>
        <w:rPr>
          <w:sz w:val="20"/>
          <w:szCs w:val="20"/>
          <w:color w:val="auto"/>
        </w:rPr>
      </w:pPr>
    </w:p>
    <w:p>
      <w:pPr>
        <w:jc w:val="both"/>
        <w:ind w:left="324" w:hanging="324"/>
        <w:spacing w:after="0" w:line="267" w:lineRule="auto"/>
        <w:tabs>
          <w:tab w:leader="none" w:pos="324"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and any Confirmation may be signed in counterparts (which may include counterparts delivered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form of telecommunication), each of which shall be an original and all of which together shall constitute one and the same instrument.</w:t>
      </w:r>
    </w:p>
    <w:p>
      <w:pPr>
        <w:spacing w:after="0" w:line="173" w:lineRule="exact"/>
        <w:rPr>
          <w:rFonts w:ascii="Times New Roman" w:cs="Times New Roman" w:eastAsia="Times New Roman" w:hAnsi="Times New Roman"/>
          <w:sz w:val="18"/>
          <w:szCs w:val="18"/>
          <w:i w:val="1"/>
          <w:iCs w:val="1"/>
          <w:color w:val="auto"/>
        </w:rPr>
      </w:pPr>
    </w:p>
    <w:p>
      <w:pPr>
        <w:ind w:left="324" w:hanging="324"/>
        <w:spacing w:after="0" w:line="284" w:lineRule="auto"/>
        <w:tabs>
          <w:tab w:leader="none" w:pos="324"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or any Confirmation nor</w:t>
      </w:r>
      <w:r>
        <w:rPr>
          <w:rFonts w:ascii="Times New Roman" w:cs="Times New Roman" w:eastAsia="Times New Roman" w:hAnsi="Times New Roman"/>
          <w:sz w:val="18"/>
          <w:szCs w:val="18"/>
          <w:i w:val="1"/>
          <w:iCs w:val="1"/>
          <w:color w:val="auto"/>
        </w:rPr>
        <w:t xml:space="preserve"> any </w:t>
      </w:r>
      <w:r>
        <w:rPr>
          <w:rFonts w:ascii="Times New Roman" w:cs="Times New Roman" w:eastAsia="Times New Roman" w:hAnsi="Times New Roman"/>
          <w:sz w:val="18"/>
          <w:szCs w:val="18"/>
          <w:color w:val="auto"/>
        </w:rPr>
        <w:t>consent or approval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departure 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i w:val="1"/>
          <w:iCs w:val="1"/>
          <w:color w:val="auto"/>
        </w:rPr>
      </w:pPr>
    </w:p>
    <w:p>
      <w:pPr>
        <w:ind w:left="324" w:hanging="324"/>
        <w:spacing w:after="0" w:line="284" w:lineRule="auto"/>
        <w:tabs>
          <w:tab w:leader="none" w:pos="324"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w:t>
      </w:r>
      <w:r>
        <w:rPr>
          <w:rFonts w:ascii="Times New Roman" w:cs="Times New Roman" w:eastAsia="Times New Roman" w:hAnsi="Times New Roman"/>
          <w:sz w:val="18"/>
          <w:szCs w:val="18"/>
          <w:i w:val="1"/>
          <w:iCs w:val="1"/>
          <w:color w:val="auto"/>
        </w:rPr>
        <w:t xml:space="preserve"> affect </w:t>
      </w:r>
      <w:r>
        <w:rPr>
          <w:rFonts w:ascii="Times New Roman" w:cs="Times New Roman" w:eastAsia="Times New Roman" w:hAnsi="Times New Roman"/>
          <w:sz w:val="18"/>
          <w:szCs w:val="18"/>
          <w:color w:val="auto"/>
        </w:rPr>
        <w:t>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Jason Blacksberg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Jason Blacksberg</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and Chief Legal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ACADIA REALTY LIMITED PARTNERSHIP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ACADIA REALTY TRUST</w:t>
      </w:r>
      <w:r>
        <w:rPr>
          <w:rFonts w:ascii="Times New Roman" w:cs="Times New Roman" w:eastAsia="Times New Roman" w:hAnsi="Times New Roman"/>
          <w:sz w:val="18"/>
          <w:szCs w:val="18"/>
          <w:color w:val="auto"/>
        </w:rPr>
        <w:t xml:space="preserve"> Its sole general partner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Jason Blacksberg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Jason Blacksberg</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and Chief Legal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Hicham Hamdouch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Hicham Hamdouch</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Ryan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Block Trades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Justin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Justin Bowman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Rohit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Rohit Mehta</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Underwriters</w:t>
      </w:r>
    </w:p>
    <w:p>
      <w:pPr>
        <w:spacing w:after="0" w:line="22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Jake 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Jake Mendelsohn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Ryan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Block Trades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West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West Riggs</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 Group Head of Equity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Christine Roemer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Christine Roemer</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Forward Purchasers</w:t>
      </w:r>
    </w:p>
    <w:p>
      <w:pPr>
        <w:spacing w:after="0" w:line="22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310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Number of Firm Shares</w:t>
            </w:r>
          </w:p>
        </w:tc>
        <w:tc>
          <w:tcPr>
            <w:tcW w:w="2240" w:type="dxa"/>
            <w:vAlign w:val="bottom"/>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gridSpan w:val="4"/>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410"/>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24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Borrowed Firm</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Borrowed Option</w:t>
            </w:r>
          </w:p>
        </w:tc>
        <w:tc>
          <w:tcPr>
            <w:tcW w:w="2240" w:type="dxa"/>
            <w:vAlign w:val="bottom"/>
          </w:tcPr>
          <w:p>
            <w:pPr>
              <w:spacing w:after="0"/>
              <w:rPr>
                <w:sz w:val="18"/>
                <w:szCs w:val="18"/>
                <w:color w:val="auto"/>
              </w:rPr>
            </w:pPr>
          </w:p>
        </w:tc>
      </w:tr>
      <w:tr>
        <w:trPr>
          <w:trHeight w:val="238"/>
        </w:trPr>
        <w:tc>
          <w:tcPr>
            <w:tcW w:w="5900" w:type="dxa"/>
            <w:vAlign w:val="bottom"/>
            <w:gridSpan w:val="6"/>
          </w:tcPr>
          <w:p>
            <w:pPr>
              <w:ind w:left="2260"/>
              <w:spacing w:after="0"/>
              <w:rPr>
                <w:sz w:val="20"/>
                <w:szCs w:val="20"/>
                <w:color w:val="auto"/>
              </w:rPr>
            </w:pPr>
            <w:r>
              <w:rPr>
                <w:rFonts w:ascii="Times New Roman" w:cs="Times New Roman" w:eastAsia="Times New Roman" w:hAnsi="Times New Roman"/>
                <w:sz w:val="18"/>
                <w:szCs w:val="18"/>
                <w:b w:val="1"/>
                <w:bCs w:val="1"/>
                <w:color w:val="auto"/>
              </w:rPr>
              <w:t>Forward Seller</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 to be Sold</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Shares To Be Sold</w:t>
            </w:r>
          </w:p>
        </w:tc>
        <w:tc>
          <w:tcPr>
            <w:tcW w:w="2240" w:type="dxa"/>
            <w:vAlign w:val="bottom"/>
          </w:tcPr>
          <w:p>
            <w:pPr>
              <w:spacing w:after="0"/>
              <w:rPr>
                <w:sz w:val="20"/>
                <w:szCs w:val="20"/>
                <w:color w:val="auto"/>
              </w:rPr>
            </w:pPr>
          </w:p>
        </w:tc>
      </w:tr>
      <w:tr>
        <w:trPr>
          <w:trHeight w:val="209"/>
        </w:trPr>
        <w:tc>
          <w:tcPr>
            <w:tcW w:w="2260" w:type="dxa"/>
            <w:vAlign w:val="bottom"/>
          </w:tcPr>
          <w:p>
            <w:pPr>
              <w:spacing w:after="0"/>
              <w:rPr>
                <w:sz w:val="18"/>
                <w:szCs w:val="18"/>
                <w:color w:val="auto"/>
              </w:rPr>
            </w:pPr>
          </w:p>
        </w:tc>
        <w:tc>
          <w:tcPr>
            <w:tcW w:w="3520" w:type="dxa"/>
            <w:vAlign w:val="bottom"/>
            <w:tcBorders>
              <w:top w:val="single" w:sz="8" w:color="auto"/>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Jefferies LLC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Truist Securities, Inc.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315,000</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80" w:type="dxa"/>
            <w:vAlign w:val="bottom"/>
            <w:gridSpan w:val="4"/>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2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1,350,000</w:t>
            </w:r>
          </w:p>
        </w:tc>
        <w:tc>
          <w:tcPr>
            <w:tcW w:w="2240" w:type="dxa"/>
            <w:vAlign w:val="bottom"/>
          </w:tcPr>
          <w:p>
            <w:pPr>
              <w:spacing w:after="0"/>
              <w:rPr>
                <w:sz w:val="18"/>
                <w:szCs w:val="18"/>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Pricing Disclosure Package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Pricing Information Provided Orally by Underwriters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offering price as to each investor shall be the price paid by each investor.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Borrowed Firm Shares purchased by the Underwriters: 9,000,000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Borrowed Option Shares that the Underwriters have the option to purchase: 1,350,000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740 Battery Ave SE,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ACADIA REALTY TRUST — Public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you, as Underwriters, propose to enter into an underwriting agreement (the “Underwriting Agreement”) with Acadia Realty Trust, a Maryland real estate investment trust (the “Company”) and Acadia Realty Limited Partnership, a Delaware limited partnership (the “Partnership”), providing for the public offering (the “Public Offering”) by the Underwriters named in Schedule 1 to the Underwriting Agreement (the “Underwriters”), of up to 10,350,000 (inclusive of the Underwriters’ option to purchase additional shares) common shares of beneficial interest, par value $0.001 per share (“Common Shares”), of the Company (the “Securities”). Capitalized terms used herein and not otherwise defined shall have the meanings set forth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BofA Securities, Inc., Jefferies LLC, Truist Securities, Inc. and Wells Fargo Securities, LLC, the undersigned will not, and will not cause any direct or indirect affiliate to, during the period beginning on the date of this letter agreement (this “Letter Agreement”) and ending at the close of business 30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Common Shares, $0.001 per share par value, or any securities convertible into or exercisable or exchangeable for Common Shares (including without limitation, Common Shares or such other securities which may be deemed to be beneficially owned by the undersigned in accordance with the rules and regulations of the Securities and Exchange Commission and securities which may be issued upon exercise of a stock option or warrant) (collectively,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transfer the undersigned’s Lock-Up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as a bona fide gift or gifts, or for bona fide estate planning purposes,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by will or intestacy,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(iii)            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(iv)          to a partnership, limited liability company or other entity of which the undersigned and the immediate family of the undersigned are the legal and beneficial owner of all of the outstanding equity securities or similar interests,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to a nominee or custodian of a person or entity to whom a disposition or transfer would be permissible under clauses (i)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by operation of law, such as pursuant to a qualified domestic order, divorce settlement, divorce decree or separation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to the Company from an employee of the Company upon death, disability or termination of employment, in each case,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(ix)          as part of a sale of the undersigned’s Lock-Up Securities acquired in open market transactions after the closing date for the Public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(x)           to the Company in connection with the vesting, settlement, or exercise of restricted stock units, options, warrants or other rights to purchase shares of Common Shares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Shares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(xi)          pursuant to a bona fide third-party tender offer, merger, consolidation or other similar transaction that is approved by the Board of Trustees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Underwriters a lock-up letter in the form of this Letter, (B) in the case of any transfer or distribution pursuant to clause (a) (ii), (iii), (iv), (v), (vi), (ix) and (x), no filing by any party (donor, donee, devisee, transferor, transferee, distributer or distributee) under the Securities Exchange Act of 1934, as amended (the “Exchange Act”), and no public announcement shall be required or shall be made voluntarily in connection with such transfer or distribution, and (C) in the case of any transfer or distribution pursuant to clause (a)(vii)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Shares in connection with such transfer or distribution shall be legally required during the Restricted Period, such filing, report or announcement shall clearly indicate in the footnotes thereto the nature and conditions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convert outstanding preferred stock, warrants to acquire preferred stock or convertible securities into shares of Common Shares or warrants to acquire shares of Common Shares; provided that any such shares of Common Shares or warrants received upon such conversion shall be subject to the terms of this Letter Agreement;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establish or modify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and (2) no filing by any party under the Exchange Act or other public announcement shall be required or made voluntarily in connection with such trading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enter into this Letter Agreement, participate in the Public Offering, or sell any Shares at the price determined in the Public Offering, and nothing set forth in such disclosures is intended to suggest that the Underwriters is making such a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if the Underwriting Agreement does not become effective by June 11, 2026, or if the Underwriting Agreement (other than the provisions thereof which survive termination) shall terminate or be terminated prior to payment for and delivery of the Common Shares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NAME OF TRUSTEE/OFFICER</w:t>
      </w:r>
      <w:r>
        <w:rPr>
          <w:rFonts w:ascii="Times New Roman" w:cs="Times New Roman" w:eastAsia="Times New Roman" w:hAnsi="Times New Roman"/>
          <w:sz w:val="17"/>
          <w:szCs w:val="17"/>
          <w:color w:val="auto"/>
        </w:rPr>
        <w:t>]</w:t>
      </w:r>
    </w:p>
    <w:p>
      <w:pPr>
        <w:spacing w:after="0" w:line="2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3343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2" w:right="1440" w:bottom="1440" w:gutter="0" w:footer="0" w:header="0"/>
        </w:sectPr>
      </w:pPr>
    </w:p>
    <w:bookmarkStart w:id="54" w:name="page55"/>
    <w:bookmarkEnd w:id="5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229"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Kenneth F. Bernstein</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Jason Blacksberg</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David Buell</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Mark A. Denien</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John Gottfried</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Kenneth A. McIntyre</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William T. Spitz</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Lynn C. Thurber</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Lee S. Wielansky</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Hope B. Woodhouse</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 David Zoba</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Reginald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 Theodore Fremd Avenue,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New York, 10580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Bank of America,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Registered Forward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letter agreement (this “Confirmation”) is to confirm the terms and conditions of the transaction entered into between us on the Trade Date specified below (the “Transaction”). This Confirmation constitutes a “Confirmation” as referred to in the ISDA Master Agreement specified below.</w:t>
      </w:r>
    </w:p>
    <w:p>
      <w:pPr>
        <w:spacing w:after="0" w:line="162" w:lineRule="exact"/>
        <w:rPr>
          <w:sz w:val="20"/>
          <w:szCs w:val="20"/>
          <w:color w:val="auto"/>
        </w:rPr>
      </w:pPr>
    </w:p>
    <w:p>
      <w:pPr>
        <w:jc w:val="both"/>
        <w:ind w:left="660" w:hanging="652"/>
        <w:spacing w:after="0" w:line="25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and provisions contained in the 2006 ISDA Definitions (the “2006 Definitions”) and the 2002 ISDA Equity Derivatives Definitions (the “2002 Definitions” and, together with the 2006 Definitions, the “Definitions”), each as published by the International Swaps and Derivatives Association, Inc., are incorporated into this Confirmation. In the event of any inconsistency between the 2002 Definitions and the 2006 Definitions, the 2002 Definitions will govern. In the event of any inconsistency between the Definitions and this Confirmation, this Confirmation will govern.</w:t>
      </w:r>
    </w:p>
    <w:p>
      <w:pPr>
        <w:spacing w:after="0" w:line="183"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that this Confirmation and the Agreement (as defined below) together evidence a complete binding agreement between Party A and Party B as to the subject matter and terms of the Transaction to which this Confirmation relates, and shall supersede all prior or contemporaneous written or oral communications with respect thereto. This Confirmation, together with any other Confirmations for registered forward transactions entered into between Party A and Party B (each, an “Additional Confirmation”) shall supplement, form a part of, and be subject to an agreement in the form of the 2002 ISDA Master Agreement (the “Agreement”) as if Party A and Party B had executed an agreement in such form on the Trade Date with New York law (without regard to choice of law doctrine other than Title 14 of Article 5 of the New York General Obligations Law) as the governing law. In the event of any inconsistency between the Agreement, this Confirmation, the 2006 Definitions and the 2002 Definitions, the following will prevail for purposes of the Transaction in the order of precedence indicated: (i) this Confirmation; (ii) the 2002 Definitions; (iii) the 2006 Definitions and (iv) the Agreement. The parties hereby agree that no Transaction other than the Transaction to which this Confirmation relates and the Transactions to which the Additional Confirmations, if any, relate (each, an “Additional Transaction”), shall be governed by the Agreement. For purposes of the 2002 Definitions, the Transaction is a Share Forward Transaction.</w:t>
      </w:r>
    </w:p>
    <w:p>
      <w:pPr>
        <w:spacing w:after="0" w:line="19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Party A and Party B each represent to the other that it has entered into the Transaction in reliance upon such tax, accounting, regulatory, legal, and financial advice as it deems necessary and not upon any view expressed by the other.</w:t>
      </w:r>
    </w:p>
    <w:p>
      <w:pPr>
        <w:spacing w:after="0" w:line="162" w:lineRule="exact"/>
        <w:rPr>
          <w:sz w:val="20"/>
          <w:szCs w:val="20"/>
          <w:color w:val="auto"/>
        </w:rPr>
      </w:pPr>
    </w:p>
    <w:p>
      <w:pPr>
        <w:ind w:left="660" w:right="4180" w:hanging="652"/>
        <w:spacing w:after="0" w:line="50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particular Transaction to which this Confirmation relates are as follows: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Party A:</w:t>
            </w: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Bank of America, N.A</w:t>
            </w:r>
          </w:p>
        </w:tc>
      </w:tr>
      <w:tr>
        <w:trPr>
          <w:trHeight w:val="432"/>
        </w:trPr>
        <w:tc>
          <w:tcPr>
            <w:tcW w:w="3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Party B:</w:t>
            </w: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Acadia Realty Trust</w:t>
            </w:r>
          </w:p>
        </w:tc>
      </w:tr>
      <w:tr>
        <w:trPr>
          <w:trHeight w:val="432"/>
        </w:trPr>
        <w:tc>
          <w:tcPr>
            <w:tcW w:w="3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Trade Date:</w:t>
            </w: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June 9, 2026</w:t>
            </w:r>
          </w:p>
        </w:tc>
      </w:tr>
      <w:tr>
        <w:trPr>
          <w:trHeight w:val="414"/>
        </w:trPr>
        <w:tc>
          <w:tcPr>
            <w:tcW w:w="3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Effective Date:</w:t>
            </w: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June 10, 2026, or such later date on which the conditions set forth in Section 3 under the heading</w:t>
            </w:r>
          </w:p>
        </w:tc>
      </w:tr>
      <w:tr>
        <w:trPr>
          <w:trHeight w:val="234"/>
        </w:trPr>
        <w:tc>
          <w:tcPr>
            <w:tcW w:w="3020" w:type="dxa"/>
            <w:vAlign w:val="bottom"/>
          </w:tcPr>
          <w:p>
            <w:pPr>
              <w:spacing w:after="0"/>
              <w:rPr>
                <w:sz w:val="20"/>
                <w:szCs w:val="20"/>
                <w:color w:val="auto"/>
              </w:rPr>
            </w:pP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“Conditions to Effectiveness” below have settled.</w:t>
            </w:r>
          </w:p>
        </w:tc>
      </w:tr>
      <w:tr>
        <w:trPr>
          <w:trHeight w:val="414"/>
        </w:trPr>
        <w:tc>
          <w:tcPr>
            <w:tcW w:w="3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Base Amount:</w:t>
            </w: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Initially, 2,700,000 Shares (the “Initial Number of Shares”); provided, however, that on each</w:t>
            </w:r>
          </w:p>
        </w:tc>
      </w:tr>
      <w:tr>
        <w:trPr>
          <w:trHeight w:val="216"/>
        </w:trPr>
        <w:tc>
          <w:tcPr>
            <w:tcW w:w="3020" w:type="dxa"/>
            <w:vAlign w:val="bottom"/>
          </w:tcPr>
          <w:p>
            <w:pPr>
              <w:spacing w:after="0"/>
              <w:rPr>
                <w:sz w:val="18"/>
                <w:szCs w:val="18"/>
                <w:color w:val="auto"/>
              </w:rPr>
            </w:pP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Settlement Date, the Base Amount shall be reduced by the number of Settlement Shares for such</w:t>
            </w:r>
          </w:p>
        </w:tc>
      </w:tr>
      <w:tr>
        <w:trPr>
          <w:trHeight w:val="234"/>
        </w:trPr>
        <w:tc>
          <w:tcPr>
            <w:tcW w:w="3020" w:type="dxa"/>
            <w:vAlign w:val="bottom"/>
          </w:tcPr>
          <w:p>
            <w:pPr>
              <w:spacing w:after="0"/>
              <w:rPr>
                <w:sz w:val="20"/>
                <w:szCs w:val="20"/>
                <w:color w:val="auto"/>
              </w:rPr>
            </w:pPr>
          </w:p>
        </w:tc>
        <w:tc>
          <w:tcPr>
            <w:tcW w:w="8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Settlement Date.</w:t>
            </w:r>
          </w:p>
        </w:tc>
      </w:tr>
      <w:tr>
        <w:trPr>
          <w:trHeight w:val="675"/>
        </w:trPr>
        <w:tc>
          <w:tcPr>
            <w:tcW w:w="30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Maturity Date: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earlier of (i) June 9, 2027 (or, if such date is not a Scheduled Trading Day, the next following</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Trading Day) and (ii) the date on which the Base Amount is reduced to zero.</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the Effective Date, the Initial Forward Price, and on any other day, the Forward Price as of the</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immediately preceding calendar day multiplied by the sum of (i) 1 and (ii) the Daily Rate for such</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day; provided that on each Forward Price Reduction Date, the Forward Price in effect on such date</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shall be the Forward Price otherwise in effect on such date, minus the Forward Price Reduction</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Amount for such Forward Price Reduction Date.</w:t>
            </w:r>
          </w:p>
        </w:tc>
      </w:tr>
      <w:tr>
        <w:trPr>
          <w:trHeight w:val="414"/>
        </w:trPr>
        <w:tc>
          <w:tcPr>
            <w:tcW w:w="3580" w:type="dxa"/>
            <w:vAlign w:val="bottom"/>
          </w:tcPr>
          <w:p>
            <w:pPr>
              <w:spacing w:after="0"/>
              <w:rPr>
                <w:sz w:val="24"/>
                <w:szCs w:val="24"/>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to the extent Party B delivers Shares</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hereunder on or after a Forward Price Reduction Date and at or before the record date for an</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ordinary cash dividend with an ex-dividend date corresponding to such Forward Price Reduction</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Date, the Calculation Agent shall adjust the Forward Price, in a good faith and commercially</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reasonable manner, to preserve the economic intent of the parties hereto (taking into account Party</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commercially reasonable hedge positions in respect of the Transaction).</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Initial Forward Price: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USD 21.80 per Share</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Daily Rate: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any day, a rate equal to (i)(A) the Overnight Bank Rate for such day, minus (B) the Spread,</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divided by (ii) 360.</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Overnight Bank Rate: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such rate is displayed on the page “OBFR01 &lt;Index&gt; &lt;GO&gt;” on the BLOOMBERG Professional</w:t>
            </w:r>
          </w:p>
        </w:tc>
      </w:tr>
      <w:tr>
        <w:trPr>
          <w:trHeight w:val="216"/>
        </w:trPr>
        <w:tc>
          <w:tcPr>
            <w:tcW w:w="3580" w:type="dxa"/>
            <w:vAlign w:val="bottom"/>
          </w:tcPr>
          <w:p>
            <w:pPr>
              <w:spacing w:after="0"/>
              <w:rPr>
                <w:sz w:val="18"/>
                <w:szCs w:val="18"/>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Service, or any successor page; provided that, if no rate appears on any day on such page, the rate for</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immediately preceding day for which a rate does so appear shall be used for such day.</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Spread:</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75 basis points.</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Prepayment:</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Variable Obligation:</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 Reduction Date: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Each date (other than the Trade Date) set forth on Schedule I under the heading “Forward Price</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 Date.”</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 Reduction</w:t>
            </w:r>
          </w:p>
        </w:tc>
        <w:tc>
          <w:tcPr>
            <w:tcW w:w="7660" w:type="dxa"/>
            <w:vAlign w:val="bottom"/>
          </w:tcPr>
          <w:p>
            <w:pPr>
              <w:spacing w:after="0"/>
              <w:rPr>
                <w:sz w:val="24"/>
                <w:szCs w:val="24"/>
                <w:color w:val="auto"/>
              </w:rPr>
            </w:pP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Amount:</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 opposite</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such date on Schedule I.</w:t>
            </w:r>
          </w:p>
        </w:tc>
      </w:tr>
      <w:tr>
        <w:trPr>
          <w:trHeight w:val="414"/>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shares, USD 0.001 par value per share, of Party B (also referred to herein as the “Issuer”)</w:t>
            </w:r>
          </w:p>
        </w:tc>
      </w:tr>
      <w:tr>
        <w:trPr>
          <w:trHeight w:val="234"/>
        </w:trPr>
        <w:tc>
          <w:tcPr>
            <w:tcW w:w="3580" w:type="dxa"/>
            <w:vAlign w:val="bottom"/>
          </w:tcPr>
          <w:p>
            <w:pPr>
              <w:spacing w:after="0"/>
              <w:rPr>
                <w:sz w:val="20"/>
                <w:szCs w:val="20"/>
                <w:color w:val="auto"/>
              </w:rPr>
            </w:pP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(Exchange identifier: “AKR”).</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Related Exchange(s):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35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Clearance System:</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DTC.</w:t>
            </w:r>
          </w:p>
        </w:tc>
      </w:tr>
      <w:tr>
        <w:trPr>
          <w:trHeight w:val="648"/>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Calculation Agent:</w:t>
            </w: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Party A. In the event the Calculation Agent makes any calculations, adjustments or determinations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pursuant to this Confirmation, the Agreement or the Equity Definitions, the Calculation Agent shall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promptly, upon written request from Party B, provide an explanation in reasonable detail of the basis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any such calculation, adjustment or determination to Party B (including any quotations, market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data or information from external sources used in making such calculation, adjustment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determination, as the case may be, but without disclosing its proprietary models or other information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that is subject to contractual, legal or regulatory obligations to not disclose such information);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provided that following the occurrence of an Event of Default under Section 5(a)(vii) of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Agreement with respect to which Party A is the Defaulting Party, Party B shall have the right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designate a nationally recognized third-party dealer in over-the-counter corporate equity derivatives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 act, during the period commencing on the date such Event of Default occurred and ending on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Early Termination Date with respect to such Event of Default, as the Calculation Agent. Whenever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Calculation Agent is required or permitted to act or to exercise judgment in any way with respect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to any Transaction hereunder, including, without limitation, with respect to calculations, adjustments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and determinations that are made in its sole discretion or otherwise, the Calculation Agent shall do</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so in good faith and in a commercially reasonable manner.</w:t>
            </w:r>
          </w:p>
        </w:tc>
      </w:tr>
      <w:tr>
        <w:trPr>
          <w:trHeight w:val="392"/>
        </w:trPr>
        <w:tc>
          <w:tcPr>
            <w:tcW w:w="66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81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Date:</w:t>
            </w: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Any Scheduled Trading Day following the Effective Date and up to and including the Maturity Date,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as designated by (a) Party A pursuant to “Termination Settlement” below or (b) Party B in a written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notice (a “Settlement Notice”) that satisfies the Settlement Notice Requirements and is delivered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Party A at least (i) two Scheduled Trading Days prior to such Settlement Date, which may be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Maturity Date, if Physical Settlement applies, and (ii) 20 Scheduled Trading Days prior to such</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Settlement Date, which may be the Maturity Date, if Cash Settlement or Net Share Settlement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applies; provided that (i) the Maturity Date shall be a Settlement Date if on such date the Base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Amount is greater than zero and (ii) if Cash Settlement or Net Share Settlement applies and Party A</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shall have fully unwound its hedge during an Unwind Period by a date that is more than two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Scheduled Trading Days prior to a Settlement Date specified above, Party A may, by written notice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 Party B, specify any Scheduled Trading Day prior to such originally specified Settlement Date as</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Settlement Date.</w:t>
            </w:r>
          </w:p>
        </w:tc>
      </w:tr>
      <w:tr>
        <w:trPr>
          <w:trHeight w:val="414"/>
        </w:trPr>
        <w:tc>
          <w:tcPr>
            <w:tcW w:w="660" w:type="dxa"/>
            <w:vAlign w:val="bottom"/>
          </w:tcPr>
          <w:p>
            <w:pPr>
              <w:spacing w:after="0"/>
              <w:rPr>
                <w:sz w:val="24"/>
                <w:szCs w:val="24"/>
                <w:color w:val="auto"/>
              </w:rPr>
            </w:pPr>
          </w:p>
        </w:tc>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Shares:</w:t>
            </w: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With respect to any Settlement Date, a number of Shares, not to exceed the Base Amount, designated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as such by Party B in the related Settlement Notice or by Party A pursuant to “Termination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Settlement” below; provided that on the Maturity Date the number of Settlement Shares shall be</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equal to the Base Amount on such date.</w:t>
            </w:r>
          </w:p>
        </w:tc>
      </w:tr>
      <w:tr>
        <w:trPr>
          <w:trHeight w:val="648"/>
        </w:trPr>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Physical Settlement, Cash Settlement or Net Share Settlement, at the election of Party B as set forth</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a Settlement Notice delivered on or after the Effective Date (if applicable) that satisfies the</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Notice Requirements; provided that Physical Settlement shall apply (i) if no Settlement</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Method is validly selected, (ii) with respect to any Settlement Shares in respect of which Party A is</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unable, in its good faith and commercially reasonable judgment, to unwind its hedge for the</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Transaction by the end of the Unwind Period in a manner that, in the reasonable judgment of Party</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based on the advice of counsel, is consistent with Rule 10b-18 under the Exchange Act or due to</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occurrence of Disrupted Days or to the lack of sufficient liquidity in the Shares on any Exchange</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Business Day during the Unwind Period relative to the liquidity on the Effective Date, (iii) to any</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Termination Settlement Date (as defined below under “Termination Settlement”), (iv) if the Maturity</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Date is a Settlement Date other than as the result of a valid Settlement Notice in respect of such</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Date or (v) if Party B has entered into an additional Share Forward or other equity</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derivative transaction (each, an “Additional Equity Derivative Transaction”), Party A determines,</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based on the advice of counsel, that it is unable to unwind its hedge for the Transaction in a manner</w:t>
            </w:r>
          </w:p>
        </w:tc>
      </w:tr>
      <w:tr>
        <w:trPr>
          <w:trHeight w:val="234"/>
        </w:trPr>
        <w:tc>
          <w:tcPr>
            <w:tcW w:w="3660" w:type="dxa"/>
            <w:vAlign w:val="bottom"/>
          </w:tcPr>
          <w:p>
            <w:pPr>
              <w:spacing w:after="0"/>
              <w:rPr>
                <w:sz w:val="20"/>
                <w:szCs w:val="20"/>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consistent with Rule 10b-18 under the Exchange Act.</w:t>
            </w:r>
          </w:p>
        </w:tc>
      </w:tr>
      <w:tr>
        <w:trPr>
          <w:trHeight w:val="414"/>
        </w:trPr>
        <w:tc>
          <w:tcPr>
            <w:tcW w:w="3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 Notice Requirements:</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by Party B that specifies</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Settlement or Net Share Settlement will not be effective unless the Settlement Notice includes</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representation by Party B substantially in the form set forth in clause (i) below under the heading</w:t>
            </w:r>
          </w:p>
        </w:tc>
      </w:tr>
      <w:tr>
        <w:trPr>
          <w:trHeight w:val="234"/>
        </w:trPr>
        <w:tc>
          <w:tcPr>
            <w:tcW w:w="3660" w:type="dxa"/>
            <w:vAlign w:val="bottom"/>
          </w:tcPr>
          <w:p>
            <w:pPr>
              <w:spacing w:after="0"/>
              <w:rPr>
                <w:sz w:val="20"/>
                <w:szCs w:val="20"/>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“Representations, Warranties and Agreements of Party B”.</w:t>
            </w:r>
          </w:p>
        </w:tc>
      </w:tr>
      <w:tr>
        <w:trPr>
          <w:trHeight w:val="414"/>
        </w:trPr>
        <w:tc>
          <w:tcPr>
            <w:tcW w:w="3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Unwind Period:</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period from and including the first Exchange Business Day following the date Party B provides</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Notice for a valid election of Cash Settlement or Net Share Settlement in respect of a</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Settlement Date through the first Scheduled Trading Day preceding such Settlement Date (or the</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immediately preceding Exchange Business Day if such Scheduled Trading Day is not an Exchange</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Business Day and excluding any Disrupted Day); subject to “Termination Settlement” below. If any</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Exchange Business Day during an Unwind Period is a Disrupted Day, the Calculation Agent shall</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make commercially reasonable adjustments to the terms of the Transaction (including, without</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the Cash Settlement Amount, the number of Net Share Settlement Shares and the 10b-18</w:t>
            </w:r>
          </w:p>
        </w:tc>
      </w:tr>
      <w:tr>
        <w:trPr>
          <w:trHeight w:val="234"/>
        </w:trPr>
        <w:tc>
          <w:tcPr>
            <w:tcW w:w="3660" w:type="dxa"/>
            <w:vAlign w:val="bottom"/>
          </w:tcPr>
          <w:p>
            <w:pPr>
              <w:spacing w:after="0"/>
              <w:rPr>
                <w:sz w:val="20"/>
                <w:szCs w:val="20"/>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VWAP) to account for the occurrence of such Disrupted Day.</w:t>
            </w:r>
          </w:p>
        </w:tc>
      </w:tr>
      <w:tr>
        <w:trPr>
          <w:trHeight w:val="414"/>
        </w:trPr>
        <w:tc>
          <w:tcPr>
            <w:tcW w:w="36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Market Disruption Event:</w:t>
            </w: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6.3(a) of the 2002 Definitions is hereby amended by replacing the first sentence in its</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entirety with the following: “‘Market Disruption Event’ means in respect of a Share, the occurrence</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 existence of (i) a Trading Disruption, (ii) an Exchange Disruption, (iii) an Early Closure or (iv) a</w:t>
            </w:r>
          </w:p>
        </w:tc>
      </w:tr>
      <w:tr>
        <w:trPr>
          <w:trHeight w:val="216"/>
        </w:trPr>
        <w:tc>
          <w:tcPr>
            <w:tcW w:w="366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Regulatory Disruption, in each case, that the Calculation Agent determines in its good faith and</w:t>
            </w:r>
          </w:p>
        </w:tc>
      </w:tr>
      <w:tr>
        <w:trPr>
          <w:trHeight w:val="234"/>
        </w:trPr>
        <w:tc>
          <w:tcPr>
            <w:tcW w:w="3660" w:type="dxa"/>
            <w:vAlign w:val="bottom"/>
          </w:tcPr>
          <w:p>
            <w:pPr>
              <w:spacing w:after="0"/>
              <w:rPr>
                <w:sz w:val="20"/>
                <w:szCs w:val="20"/>
                <w:color w:val="auto"/>
              </w:rPr>
            </w:pPr>
          </w:p>
        </w:tc>
        <w:tc>
          <w:tcPr>
            <w:tcW w:w="7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commercially reasonable manner, is material at any time during a Scheduled Trading Day.”</w:t>
            </w:r>
          </w:p>
        </w:tc>
      </w:tr>
      <w:tr>
        <w:trPr>
          <w:trHeight w:val="648"/>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Early Closure:</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Section 6.3(d) of the 2002 Definitions is hereby amended by deleting the remainder of the provision</w:t>
            </w:r>
          </w:p>
        </w:tc>
      </w:tr>
      <w:tr>
        <w:trPr>
          <w:trHeight w:val="234"/>
        </w:trPr>
        <w:tc>
          <w:tcPr>
            <w:tcW w:w="3520" w:type="dxa"/>
            <w:vAlign w:val="bottom"/>
          </w:tcPr>
          <w:p>
            <w:pPr>
              <w:spacing w:after="0"/>
              <w:rPr>
                <w:sz w:val="20"/>
                <w:szCs w:val="20"/>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following the term “Scheduled Closing Time” in the fourth line thereof.</w:t>
            </w:r>
          </w:p>
        </w:tc>
      </w:tr>
      <w:tr>
        <w:trPr>
          <w:trHeight w:val="414"/>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Regulatory Disruption:</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Any event that Party A, in its good faith and commercially reasonable discretion, based on advice of</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counsel,  determines  it  appropriate  with  regard  to  any  legal,  regulatory  or  self-regulatory</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requirements or related policies and procedures (that apply broadly to similar transactions for other</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issuers) for Party A to refrain from or decrease any market activity in connection with the</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Transaction. Subject to applicable legal requirements and Party A’s internal policies and guidelines,</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Party A shall promptly notify Party B upon the occurrence of a Regulatory Disruption and shall</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subsequently promptly notify Party B on the day Party A determines that the circumstances giving</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rise to such Regulatory Disruption have changed. Party A shall make its determination of a</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Regulatory Disruption in a manner consistent with the determinations made with respect to other</w:t>
            </w:r>
          </w:p>
        </w:tc>
      </w:tr>
      <w:tr>
        <w:trPr>
          <w:trHeight w:val="234"/>
        </w:trPr>
        <w:tc>
          <w:tcPr>
            <w:tcW w:w="3520" w:type="dxa"/>
            <w:vAlign w:val="bottom"/>
          </w:tcPr>
          <w:p>
            <w:pPr>
              <w:spacing w:after="0"/>
              <w:rPr>
                <w:sz w:val="20"/>
                <w:szCs w:val="20"/>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issuers under similar facts and circumstances..</w:t>
            </w:r>
          </w:p>
        </w:tc>
      </w:tr>
      <w:tr>
        <w:trPr>
          <w:trHeight w:val="432"/>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 Act:</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Securities Exchange Act of 1934, as amended from time to time</w:t>
            </w:r>
          </w:p>
        </w:tc>
      </w:tr>
      <w:tr>
        <w:trPr>
          <w:trHeight w:val="432"/>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Securities Act:</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Securities Act of 1933, as amended from time to time.</w:t>
            </w:r>
          </w:p>
        </w:tc>
      </w:tr>
      <w:tr>
        <w:trPr>
          <w:trHeight w:val="414"/>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any Settlement Date in respect of which Physical Settlement applies, Party B shall deliver to</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Party A through the Clearance System the Settlement Shares for such Settlement Date, and Party A</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shall pay to Party B, by wire transfer of immediately available funds to an account designated by</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Party B, an amount in cash equal to the Physical Settlement Amount for such Settlement Date, on a</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delivery versus payment basis. If, on any Settlement Date, the Shares to be delivered by Party B to</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Party A hereunder are not so delivered (the “Deferred Shares”), and a Forward Price Reduction Date</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occurs during the period from, and including, such Settlement Date to, but excluding, the date such</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are actually delivered to Party A, then the portion of the Physical Settlement Amount payable</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 Party A to Party B in respect of the Deferred Shares shall be reduced by an amount equal to the</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Forward Price Reduction Amount for such Forward Price Reduction Date, multiplied by the number</w:t>
            </w:r>
          </w:p>
        </w:tc>
      </w:tr>
      <w:tr>
        <w:trPr>
          <w:trHeight w:val="234"/>
        </w:trPr>
        <w:tc>
          <w:tcPr>
            <w:tcW w:w="3520" w:type="dxa"/>
            <w:vAlign w:val="bottom"/>
          </w:tcPr>
          <w:p>
            <w:pPr>
              <w:spacing w:after="0"/>
              <w:rPr>
                <w:sz w:val="20"/>
                <w:szCs w:val="20"/>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Deferred Shares.</w:t>
            </w:r>
          </w:p>
        </w:tc>
      </w:tr>
      <w:tr>
        <w:trPr>
          <w:trHeight w:val="414"/>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any Settlement Date in respect of which Physical Settlement applies, an amount in cash equal to</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product of (i) the Forward Price on such Settlement Date and (ii) the number of Settlement</w:t>
            </w:r>
          </w:p>
        </w:tc>
      </w:tr>
      <w:tr>
        <w:trPr>
          <w:trHeight w:val="234"/>
        </w:trPr>
        <w:tc>
          <w:tcPr>
            <w:tcW w:w="3520" w:type="dxa"/>
            <w:vAlign w:val="bottom"/>
          </w:tcPr>
          <w:p>
            <w:pPr>
              <w:spacing w:after="0"/>
              <w:rPr>
                <w:sz w:val="20"/>
                <w:szCs w:val="20"/>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for such Settlement Date.</w:t>
            </w:r>
          </w:p>
        </w:tc>
      </w:tr>
      <w:tr>
        <w:trPr>
          <w:trHeight w:val="414"/>
        </w:trPr>
        <w:tc>
          <w:tcPr>
            <w:tcW w:w="35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w:t>
            </w: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if the Cash Settlement Amount</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such Settlement Date is a positive number, Party A will pay such Cash Settlement Amount to</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Party B. If the Cash Settlement Amount is a negative number, Party B will pay the absolute value of</w:t>
            </w:r>
          </w:p>
        </w:tc>
      </w:tr>
      <w:tr>
        <w:trPr>
          <w:trHeight w:val="216"/>
        </w:trPr>
        <w:tc>
          <w:tcPr>
            <w:tcW w:w="3520" w:type="dxa"/>
            <w:vAlign w:val="bottom"/>
          </w:tcPr>
          <w:p>
            <w:pPr>
              <w:spacing w:after="0"/>
              <w:rPr>
                <w:sz w:val="18"/>
                <w:szCs w:val="18"/>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such Cash Settlement Amount to Party A. Such amounts shall be paid on the Settlement Date by</w:t>
            </w:r>
          </w:p>
        </w:tc>
      </w:tr>
      <w:tr>
        <w:trPr>
          <w:trHeight w:val="234"/>
        </w:trPr>
        <w:tc>
          <w:tcPr>
            <w:tcW w:w="3520" w:type="dxa"/>
            <w:vAlign w:val="bottom"/>
          </w:tcPr>
          <w:p>
            <w:pPr>
              <w:spacing w:after="0"/>
              <w:rPr>
                <w:sz w:val="20"/>
                <w:szCs w:val="20"/>
                <w:color w:val="auto"/>
              </w:rPr>
            </w:pPr>
          </w:p>
        </w:tc>
        <w:tc>
          <w:tcPr>
            <w:tcW w:w="7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wire transfer of immediately available funds.</w:t>
            </w:r>
          </w:p>
        </w:tc>
      </w:tr>
      <w:tr>
        <w:trPr>
          <w:trHeight w:val="648"/>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Settlement Amount:</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any Settlement Date in respect of which Cash Settlement applies, an amount determined by the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Calculation Agent equal to the difference between (1) the product of (i) the difference between (A)</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average Forward Price over the period beginning on, and including, the date that is one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Settlement Cycle following the first day of the applicable Unwind Period and ending on, and</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including, such Settlement Date (calculated assuming no reduction to the Forward Price for any</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Forward Price Reduction Date that occurs during the Unwind Period), minus USD 0.015, and (B) the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average of the 10b-18 VWAP prices per Share on each Exchange Business Day during such Unwind</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Period, and (ii) the number of Settlement Shares for such Settlement Date, and (2) the product of (i)</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Forward Price Reduction Amount for any Forward Price Reduction Date that occurs during such</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Unwind Period, and (ii) the number of Settlement Shares with respect to which Party A has not</w:t>
            </w:r>
          </w:p>
        </w:tc>
      </w:tr>
      <w:tr>
        <w:trPr>
          <w:trHeight w:val="234"/>
        </w:trPr>
        <w:tc>
          <w:tcPr>
            <w:tcW w:w="3460" w:type="dxa"/>
            <w:vAlign w:val="bottom"/>
          </w:tcPr>
          <w:p>
            <w:pPr>
              <w:spacing w:after="0"/>
              <w:rPr>
                <w:sz w:val="20"/>
                <w:szCs w:val="20"/>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unwound its hedge for the Transaction as of such Forward Price Reduction Date.</w:t>
            </w:r>
          </w:p>
        </w:tc>
      </w:tr>
      <w:tr>
        <w:trPr>
          <w:trHeight w:val="414"/>
        </w:trPr>
        <w:tc>
          <w:tcPr>
            <w:tcW w:w="3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Share Settlement:</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On any Settlement Date in respect of which Net Share Settlement applies, if the number of Net Share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Settlement Shares is a (i) negative number, Party A shall deliver a number of Shares to Party B equal</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 the absolute value of the Net Share Settlement Shares, or (ii) positive number, Party B shall</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deliver to Party A the Net Share Settlement Shares; provided that if Party A determines in its good</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faith and commercially reasonable judgment that it would be required to deliver Net Share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Settlement Shares to Party B, Party A may elect to deliver a portion of such Net Share Settlement</w:t>
            </w:r>
          </w:p>
        </w:tc>
      </w:tr>
      <w:tr>
        <w:trPr>
          <w:trHeight w:val="234"/>
        </w:trPr>
        <w:tc>
          <w:tcPr>
            <w:tcW w:w="3460" w:type="dxa"/>
            <w:vAlign w:val="bottom"/>
          </w:tcPr>
          <w:p>
            <w:pPr>
              <w:spacing w:after="0"/>
              <w:rPr>
                <w:sz w:val="20"/>
                <w:szCs w:val="20"/>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Shares on one or more dates prior to the applicable Settlement Date.</w:t>
            </w:r>
          </w:p>
        </w:tc>
      </w:tr>
      <w:tr>
        <w:trPr>
          <w:trHeight w:val="414"/>
        </w:trPr>
        <w:tc>
          <w:tcPr>
            <w:tcW w:w="3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any Settlement Date in respect of which Net Share Settlement applies, a number of Shares equal</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 (a) the number of Settlement Shares for such Settlement Date, minus (b) the quotient of (A) the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difference between (1) the product of (i) the average Forward Price over the period beginning on,</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including, the date that is one Settlement Cycle following the first day of the applicable Unwind</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Period and ending on, and including, such Settlement Date (calculated assuming no reduction to the</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Forward Price for any Forward Price Reduction Date that occurs during the Unwind Period), minus</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USD 0.015, and (ii) the number of Settlement Shares for such Settlement Date, and (2) the product</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of (i) the Forward Price Reduction Amount for any Forward Price Reduction Date that occurs during</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such Unwind Period, and (ii) the number of Shares with respect to which Party A has not unwound</w:t>
            </w:r>
          </w:p>
        </w:tc>
      </w:tr>
      <w:tr>
        <w:trPr>
          <w:trHeight w:val="216"/>
        </w:trPr>
        <w:tc>
          <w:tcPr>
            <w:tcW w:w="3460" w:type="dxa"/>
            <w:vAlign w:val="bottom"/>
          </w:tcPr>
          <w:p>
            <w:pPr>
              <w:spacing w:after="0"/>
              <w:rPr>
                <w:sz w:val="18"/>
                <w:szCs w:val="18"/>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its hedge as of such Forward Price Reduction Date and (B) the average of the 10b-18 VWAP prices</w:t>
            </w:r>
          </w:p>
        </w:tc>
      </w:tr>
      <w:tr>
        <w:trPr>
          <w:trHeight w:val="234"/>
        </w:trPr>
        <w:tc>
          <w:tcPr>
            <w:tcW w:w="3460" w:type="dxa"/>
            <w:vAlign w:val="bottom"/>
          </w:tcPr>
          <w:p>
            <w:pPr>
              <w:spacing w:after="0"/>
              <w:rPr>
                <w:sz w:val="20"/>
                <w:szCs w:val="20"/>
                <w:color w:val="auto"/>
              </w:rPr>
            </w:pPr>
          </w:p>
        </w:tc>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 Share on each Exchange Business Day during such Unwind Period.</w:t>
            </w:r>
          </w:p>
        </w:tc>
      </w:tr>
      <w:tr>
        <w:trPr>
          <w:trHeight w:val="648"/>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10b-18 VWAP:</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 any Exchange Business Day during the Unwind Period which is not a Disrupted Day,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volume-weighted average price reported on the Bloomberg Page “AKR &lt;Equity&gt; AQR SEC” (or</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any successor thereto) for such Exchange Business Day; provided, however, that if such price is</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unavailable for an Exchange Business Day or the Calculation Agent determines that such price does</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not correctly reflect the volume-weighted average price at which the Shares trade as reported in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composite transactions for the Exchange on such Exchange Business Day, excluding (i) trades that</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do not settle regular way, (ii) opening (regular way) reported trades on the Exchange on such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Exchange Business Day, (iii) trades that occur in the last ten minutes before the scheduled close of</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trading on the Exchange on such Exchange Business Day and ten minutes before the scheduled close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of the primary trading session in the market where the trade is effected, and (iv) trades on such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Exchange Business Day that do not satisfy the requirements of Rule 10b-18(b)(3), the Calculation</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Agent shall, in a good faith, commercially reasonable manner, determine the 10b-18 VWAP for such</w:t>
            </w:r>
          </w:p>
        </w:tc>
      </w:tr>
      <w:tr>
        <w:trPr>
          <w:trHeight w:val="234"/>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Exchange Business Day based on the criteria specified above in this proviso.</w:t>
            </w:r>
          </w:p>
        </w:tc>
      </w:tr>
      <w:tr>
        <w:trPr>
          <w:trHeight w:val="432"/>
        </w:trPr>
        <w:tc>
          <w:tcPr>
            <w:tcW w:w="520" w:type="dxa"/>
            <w:vAlign w:val="bottom"/>
          </w:tcPr>
          <w:p>
            <w:pPr>
              <w:spacing w:after="0"/>
              <w:rPr>
                <w:sz w:val="24"/>
                <w:szCs w:val="24"/>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Settlement Currency:</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520" w:type="dxa"/>
            <w:vAlign w:val="bottom"/>
          </w:tcPr>
          <w:p>
            <w:pPr>
              <w:spacing w:after="0"/>
              <w:rPr>
                <w:sz w:val="24"/>
                <w:szCs w:val="24"/>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Failure to Deliver:</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Inapplicable.</w:t>
            </w:r>
          </w:p>
        </w:tc>
      </w:tr>
      <w:tr>
        <w:trPr>
          <w:trHeight w:val="391"/>
        </w:trPr>
        <w:tc>
          <w:tcPr>
            <w:tcW w:w="5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9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Method of Adjustment:</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14"/>
        </w:trPr>
        <w:tc>
          <w:tcPr>
            <w:tcW w:w="520" w:type="dxa"/>
            <w:vAlign w:val="bottom"/>
          </w:tcPr>
          <w:p>
            <w:pPr>
              <w:spacing w:after="0"/>
              <w:rPr>
                <w:sz w:val="24"/>
                <w:szCs w:val="24"/>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Additional Adjustment:</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If, in Party A’s commercially reasonable judgment, the stock loan fee to Party A (or an affiliate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thereof), excluding the federal funds or other interest rate component payable by the relevant stock</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lender to Party A or such affiliate (the “Stock Loan Fee”), over the immediately preceding one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month period, of borrowing a number of Shares equal to the Base Amount to hedge its exposure to</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Transaction exceeds a weighted average rate equal to 25 basis points per annum, the Calculation</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Agent shall reduce the Forward Price in order to compensate Party A for the amount by which the</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 Loan Fee exceeded a weighted average rate equal to 25 basis points per annum during such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period. The Calculation Agent shall notify Party B in writing prior to making any such adjustment to</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Forward Price and, upon the request of Party B, Party A shall provide an itemized list in</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reasonable detail of the Stock Loan Fees for the applicable one month period (including any</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quotations, market data or information from external sources used by Party A in developing such</w:t>
            </w:r>
          </w:p>
        </w:tc>
      </w:tr>
      <w:tr>
        <w:trPr>
          <w:trHeight w:val="216"/>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list, but without disclosing its proprietary models or other information that is subject to contractual,</w:t>
            </w:r>
          </w:p>
        </w:tc>
      </w:tr>
      <w:tr>
        <w:trPr>
          <w:trHeight w:val="234"/>
        </w:trPr>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legal or regulatory obligations to not disclose such information).</w:t>
            </w:r>
          </w:p>
        </w:tc>
      </w:tr>
      <w:tr>
        <w:trPr>
          <w:trHeight w:val="391"/>
        </w:trPr>
        <w:tc>
          <w:tcPr>
            <w:tcW w:w="5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Details:</w:t>
            </w:r>
          </w:p>
        </w:tc>
        <w:tc>
          <w:tcPr>
            <w:tcW w:w="79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Payments to Party A:</w:t>
            </w:r>
          </w:p>
        </w:tc>
        <w:tc>
          <w:tcPr>
            <w:tcW w:w="7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 Settlement Date</w:t>
            </w:r>
          </w:p>
        </w:tc>
      </w:tr>
      <w:tr>
        <w:trPr>
          <w:trHeight w:val="648"/>
        </w:trPr>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4" w:right="33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7"/>
          <w:szCs w:val="17"/>
          <w:color w:val="auto"/>
        </w:rPr>
        <w:t>Payments to Party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advised under separate cover or telephone confirmed prior to each Settlement Date</w:t>
      </w:r>
    </w:p>
    <w:p>
      <w:pPr>
        <w:spacing w:after="0" w:line="200" w:lineRule="exact"/>
        <w:rPr>
          <w:sz w:val="20"/>
          <w:szCs w:val="20"/>
          <w:color w:val="auto"/>
        </w:rPr>
      </w:pPr>
    </w:p>
    <w:p>
      <w:pPr>
        <w:sectPr>
          <w:pgSz w:w="11900" w:h="16838" w:orient="portrait"/>
          <w:cols w:equalWidth="0" w:num="2">
            <w:col w:w="3240" w:space="720"/>
            <w:col w:w="7280"/>
          </w:cols>
          <w:pgMar w:left="320" w:top="904" w:right="339" w:bottom="1440" w:gutter="0" w:footer="0" w:header="0"/>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Delivery of Shares to Party 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advised.</w:t>
      </w:r>
    </w:p>
    <w:p>
      <w:pPr>
        <w:spacing w:after="0" w:line="200" w:lineRule="exact"/>
        <w:rPr>
          <w:sz w:val="20"/>
          <w:szCs w:val="20"/>
          <w:color w:val="auto"/>
        </w:rPr>
      </w:pPr>
    </w:p>
    <w:p>
      <w:pPr>
        <w:sectPr>
          <w:pgSz w:w="11900" w:h="16838" w:orient="portrait"/>
          <w:cols w:equalWidth="0" w:num="2">
            <w:col w:w="3240" w:space="720"/>
            <w:col w:w="7280"/>
          </w:cols>
          <w:pgMar w:left="320" w:top="904" w:right="3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Delivery of Shares to Party 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advised.</w:t>
      </w:r>
    </w:p>
    <w:p>
      <w:pPr>
        <w:spacing w:after="0" w:line="211" w:lineRule="exact"/>
        <w:rPr>
          <w:sz w:val="20"/>
          <w:szCs w:val="20"/>
          <w:color w:val="auto"/>
        </w:rPr>
      </w:pPr>
    </w:p>
    <w:p>
      <w:pPr>
        <w:sectPr>
          <w:pgSz w:w="11900" w:h="16838" w:orient="portrait"/>
          <w:cols w:equalWidth="0" w:num="2">
            <w:col w:w="3240" w:space="720"/>
            <w:col w:w="7280"/>
          </w:cols>
          <w:pgMar w:left="320" w:top="904" w:right="339" w:bottom="1440" w:gutter="0" w:footer="0" w:header="0"/>
          <w:type w:val="continuous"/>
        </w:sectPr>
      </w:pPr>
    </w:p>
    <w:p>
      <w:pPr>
        <w:spacing w:after="0" w:line="25" w:lineRule="exact"/>
        <w:rPr>
          <w:sz w:val="20"/>
          <w:szCs w:val="20"/>
          <w:color w:val="auto"/>
        </w:rPr>
      </w:pPr>
    </w:p>
    <w:p>
      <w:pPr>
        <w:ind w:left="240" w:hanging="232"/>
        <w:spacing w:after="0"/>
        <w:tabs>
          <w:tab w:leader="none" w:pos="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Confirmation and the Transaction shall be subject to the following conditions:</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Party B and Acadia Realty Limited Partnership (the “Partnership”) contained in the Underwriting Agreement dated the date hereof between Party B, the Partnership, Party A and the Underwriters party thereto (the “Underwriting Agreement”), and any certificate delivered pursuant thereto by Party B or the Partnership shall be true and correct on the Effective Date as if made as of the Effective Date;</w:t>
      </w:r>
    </w:p>
    <w:p>
      <w:pPr>
        <w:spacing w:after="0" w:line="17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Party B and the Partnership shall have performed all of the obligations required to be performed by it under the Underwriting Agreement on or prior to the Effective Date;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set forth in Section 6 of the Underwriting Agreement shall have been satisfied;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(as defined in the Underwriting Agreement) shall have occurred as provided in the Underwriting Agreement;</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Party B hereunder and under the Agreement shall be true and correct on the Effective Date as if made as of the Effective Date;</w:t>
      </w:r>
    </w:p>
    <w:p>
      <w:pPr>
        <w:spacing w:after="0" w:line="161"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performed all of the obligations required to be performed by it hereunder and under the Agreement on or prior to the Effective Date, including without limitation its obligations under Section 3(d)‎ hereof; and</w:t>
      </w:r>
    </w:p>
    <w:p>
      <w:pPr>
        <w:spacing w:after="0" w:line="162" w:lineRule="exact"/>
        <w:rPr>
          <w:sz w:val="20"/>
          <w:szCs w:val="20"/>
          <w:color w:val="auto"/>
        </w:rPr>
      </w:pPr>
    </w:p>
    <w:p>
      <w:pPr>
        <w:jc w:val="both"/>
        <w:ind w:left="1620" w:hanging="323"/>
        <w:spacing w:after="0" w:line="261" w:lineRule="auto"/>
        <w:rPr>
          <w:sz w:val="20"/>
          <w:szCs w:val="20"/>
          <w:color w:val="auto"/>
        </w:rPr>
      </w:pPr>
      <w:r>
        <w:rPr>
          <w:rFonts w:ascii="Times New Roman" w:cs="Times New Roman" w:eastAsia="Times New Roman" w:hAnsi="Times New Roman"/>
          <w:sz w:val="18"/>
          <w:szCs w:val="18"/>
          <w:color w:val="auto"/>
        </w:rPr>
        <w:t>(vii)Party B shall have delivered to Party A an opinion of counsel in form and substance reasonably satisfactory to Party A, with respect to the matters set forth in Section 3(a) of the Agreement and that the maximum number of Shares initially issuable hereunder have been duly authorized and, upon issuance pursuant to the terms of the Transaction, will be validly issued, fully paid and nonassessable.</w:t>
      </w:r>
    </w:p>
    <w:p>
      <w:pPr>
        <w:spacing w:after="0" w:line="18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Confirmation, if (x) on or prior to 9:00 a.m., New York City time, on the date the Closing Date (as defined in the Underwriting Agreement) is scheduled to occur, in connection with establishing its commercially reasonable hedge position Party A, in its sole judgment, is unable, after using commercially reasonable efforts, to borrow and deliver for sale the Initial Number of Shares or (y) in Party A’s sole judgment, it would incur a stock loan cost of more than 200 basis points per annum with respect to all or any portion of the Initial Number of Shares (in each case, an “Initial Hedging Disruption”), the effectiveness of this Confirmation and the Transaction shall be limited to the number of Shares Party A is so able to borrow in connection with establishing its commercially reasonable hedge position at a cost of not more than 200 basis points per annum (such number of Shares, the “Reduced Number of Shares”), which, for the avoidance of doubt, may be zero.</w:t>
      </w:r>
    </w:p>
    <w:p>
      <w:pPr>
        <w:spacing w:after="0" w:line="19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and acknowledges that the Transaction is being entered into in accordance with the October 9, 2003 interpretive letter from the staff of the Securities and Exchange Commission to Goldman, Sachs &amp; Co. (the “Interpretive Letter”). Party B represents that it is eligible to conduct a primary offering of Shares on Form S-3 and that the offering contemplated complies with Rule 415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3" w:name="page64"/>
    <w:bookmarkEnd w:id="63"/>
    <w:p>
      <w:pPr>
        <w:ind w:left="324" w:right="280" w:hanging="324"/>
        <w:spacing w:after="0" w:line="282" w:lineRule="auto"/>
        <w:tabs>
          <w:tab w:leader="none" w:pos="3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 of Party B</w:t>
      </w:r>
      <w:r>
        <w:rPr>
          <w:rFonts w:ascii="Times New Roman" w:cs="Times New Roman" w:eastAsia="Times New Roman" w:hAnsi="Times New Roman"/>
          <w:sz w:val="18"/>
          <w:szCs w:val="18"/>
          <w:color w:val="auto"/>
        </w:rPr>
        <w:t>: Party B hereby represents and warrants to, and agrees with, Party A as of the date hereof that:</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represents to Party A on the Trade Date and on any date that Party B notifies Party A that Cash Settlement or Net Share Settlement applies to this Transaction, that (A) Party B is not aware of any material nonpublic information regarding Party B or the Shares, (B) each of its filings under the Securities Act, the Exchange Act or other applicable securities laws that were required to be filed have been filed in the prior 12 months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Party B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Party B agrees not to designate, or to appropriately rescind or modify a prior designation of, any Settlement Date if it is notified by Party A that, in the reasonable determination of Party A, based on advice of counsel, such settlement or Party A’s related market activity in respect of such date would result in a violation of any applicable federal or state law or regulation, including the U.S. federal securities laws.</w:t>
      </w:r>
    </w:p>
    <w:p>
      <w:pPr>
        <w:spacing w:after="0" w:line="197"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when issued and delivered in accordance with the terms of the Transaction, will be duly authorized and validly issued, fully paid and nonassessable, and the issuance thereof will not be subject to any preemptive or similar rights.</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reserved and will keep available at all times, free from preemptive rights, out of its authorized but unissued Shares, solely for the purpose of issuance upon settlement of the Transaction as herein provided, the maximum number of Shares as shall be issuable at such time upon settlement of the Transaction as set forth below under the heading “Maximum Share Delivery”. All Shares so issuable shall, upon such issuance, be accepted for listing or quotation on the Exchange.</w:t>
      </w:r>
    </w:p>
    <w:p>
      <w:pPr>
        <w:spacing w:after="0" w:line="179" w:lineRule="exact"/>
        <w:rPr>
          <w:rFonts w:ascii="Times New Roman" w:cs="Times New Roman" w:eastAsia="Times New Roman" w:hAnsi="Times New Roman"/>
          <w:sz w:val="18"/>
          <w:szCs w:val="18"/>
          <w:color w:val="auto"/>
        </w:rPr>
      </w:pPr>
    </w:p>
    <w:p>
      <w:pPr>
        <w:jc w:val="both"/>
        <w:ind w:left="964" w:hanging="316"/>
        <w:spacing w:after="0" w:line="253"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provide Party A prior written notice (an “Issuer Repurchase Notice”) prior to executing any repurchase of Shares by Party B or any of its subsidiaries (or entering into any contract that would require, or give the option to, Party B or any of its subsidiaries, to purchase or repurchase Shares), whether out of profits or capital or whether the consideration for such repurchase is cash, securities or otherwise (an “Issuer Repurchase”), that alone or in the aggregate would result in the Base Amount Percentage (as defined below) being (i) equal to or greater than 4.5% of the outstanding Shares or (ii) greater by 0.5% or more than the Base Amount Percentage at the time of the immediately preceding Issuer Repurchase Notice (or in the case of the first such Issuer Repurchase Notice, greater than the Base Amount Percentage as of the later of the date hereof or the immediately preceding Settlement Date, if any). The “Base Amount Percentage” as of any day is the fraction (1) the numerator of which is the aggregate of the Base Amount and each “Base Amount” (as defined in the applicable Additional Confirmation and any Additional Equity Derivative Transaction) under any outstanding Additional Transactions and (2) the denominator of which is the number of Shares outstanding on such day.</w:t>
      </w:r>
    </w:p>
    <w:p>
      <w:pPr>
        <w:spacing w:after="0" w:line="191" w:lineRule="exact"/>
        <w:rPr>
          <w:rFonts w:ascii="Times New Roman" w:cs="Times New Roman" w:eastAsia="Times New Roman" w:hAnsi="Times New Roman"/>
          <w:sz w:val="18"/>
          <w:szCs w:val="18"/>
          <w:color w:val="auto"/>
        </w:rPr>
      </w:pPr>
    </w:p>
    <w:p>
      <w:pPr>
        <w:jc w:val="both"/>
        <w:ind w:left="964" w:hanging="316"/>
        <w:spacing w:after="0" w:line="258"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Party B of this Confirmation and the consummation of the Transaction (including, without limitation, the issuance and delivery of Shares on any Settlement Date) except (i) such as have been obtained under the Securities Act, and (ii) as may be required to be obtained under state securities laws.</w:t>
      </w:r>
    </w:p>
    <w:p>
      <w:pPr>
        <w:spacing w:after="0" w:line="183"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not to make any Issuer Repurchase if, immediately following such Issuer Repurchase, the Base Amount Percentage would be equal to or greater than 4.9%.</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(vii)Party B is not insolvent, nor will Party B be rendered insolvent as a result of the Transaction.</w:t>
      </w:r>
    </w:p>
    <w:p>
      <w:pPr>
        <w:spacing w:after="0" w:line="225" w:lineRule="exact"/>
        <w:rPr>
          <w:sz w:val="20"/>
          <w:szCs w:val="20"/>
          <w:color w:val="auto"/>
        </w:rPr>
      </w:pPr>
    </w:p>
    <w:p>
      <w:pPr>
        <w:jc w:val="both"/>
        <w:ind w:left="1004" w:hanging="356"/>
        <w:spacing w:after="0" w:line="256" w:lineRule="auto"/>
        <w:tabs>
          <w:tab w:leader="none" w:pos="10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B nor any of its affiliated purchasers shall take any action (including, without limitation, any direct purchases by Party B or any of its affiliated purchasers or any purchases by a party to a derivative transaction with Party B or any of its affiliated purchasers), either under this Confirmation, under an agreement with another party or otherwise, that in the reasonable judgment of Party B is reasonably likely to cause any purchases of Shares by Party A or any of its affiliates in connection with any Cash Settlement or Net Share Settlement of the Transaction not to meet the conditions of the safe harbor provided by Rule 10b-18 under the Exchange Act if such purchases were made by Party B.</w:t>
      </w:r>
    </w:p>
    <w:p>
      <w:pPr>
        <w:spacing w:after="0" w:line="187"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engage in any “distribution” (as defined in Regulation M under the Exchange Act (“Regulation M”)) that would cause a “restricted period” (as defined in Regulation M) to occur during any Unwind Period.</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4" w:name="page65"/>
    <w:bookmarkEnd w:id="64"/>
    <w:p>
      <w:pPr>
        <w:jc w:val="both"/>
        <w:ind w:left="500" w:hanging="316"/>
        <w:spacing w:after="0" w:line="261"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179"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w:t>
      </w:r>
    </w:p>
    <w:p>
      <w:pPr>
        <w:spacing w:after="0" w:line="225"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Transaction, Party A and its Affiliates may buy or sell Shares or other securities or buy or sell options or futures contracts or enter into swaps or other derivative securities in order to establish, adjust or unwind its hedge position with respect to the Transaction;</w:t>
      </w:r>
    </w:p>
    <w:p>
      <w:pPr>
        <w:spacing w:after="0" w:line="175"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its Affiliates may also be active in the market for the Shares and Share-linked transactions other than in connection with hedging activities in relation to the Transaction;</w:t>
      </w:r>
    </w:p>
    <w:p>
      <w:pPr>
        <w:spacing w:after="0" w:line="161"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make its own determination as to whether, when or in what manner any hedging or market activities in Party B’s securities shall be conducted and shall do so in a manner that it deems appropriate to hedge its price and market risk with respect to the Forward Price and the 10b-18 VWAP;</w:t>
      </w:r>
    </w:p>
    <w:p>
      <w:pPr>
        <w:spacing w:after="0" w:line="175"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Party A and its Affiliates with respect to the Shares may affect the market price and volatility of the Shares, as well as the Forward Price and 10b-18 VWAP, each in a manner that may be adverse to Party B; and</w:t>
      </w:r>
    </w:p>
    <w:p>
      <w:pPr>
        <w:spacing w:after="0" w:line="161"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 derivatives transaction in which it has granted Party A the right, under certain circumstances, to receive cash or Shares, as the case may be; Party A may purchase Shares for its own account at an average price that may be greater than, or less than, the effective price paid by Party B under the terms of the Transaction.</w:t>
      </w:r>
    </w:p>
    <w:p>
      <w:pPr>
        <w:spacing w:after="0" w:line="175" w:lineRule="exact"/>
        <w:rPr>
          <w:rFonts w:ascii="Times New Roman" w:cs="Times New Roman" w:eastAsia="Times New Roman" w:hAnsi="Times New Roman"/>
          <w:sz w:val="18"/>
          <w:szCs w:val="18"/>
          <w:color w:val="auto"/>
        </w:rPr>
      </w:pPr>
    </w:p>
    <w:p>
      <w:pPr>
        <w:ind w:left="560" w:hanging="376"/>
        <w:spacing w:after="0" w:line="282" w:lineRule="auto"/>
        <w:tabs>
          <w:tab w:leader="none" w:pos="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Party B do not constitute “plan assets” under the Employee Retirement Income Security Act of 1974, as amended, the Department of Labor Regulations promulgated thereunder or similar law.</w:t>
      </w:r>
    </w:p>
    <w:p>
      <w:pPr>
        <w:spacing w:after="0" w:line="162" w:lineRule="exact"/>
        <w:rPr>
          <w:sz w:val="20"/>
          <w:szCs w:val="20"/>
          <w:color w:val="auto"/>
        </w:rPr>
      </w:pPr>
    </w:p>
    <w:p>
      <w:pPr>
        <w:jc w:val="both"/>
        <w:ind w:left="560" w:hanging="377"/>
        <w:spacing w:after="0" w:line="258" w:lineRule="auto"/>
        <w:rPr>
          <w:sz w:val="20"/>
          <w:szCs w:val="20"/>
          <w:color w:val="auto"/>
        </w:rPr>
      </w:pPr>
      <w:r>
        <w:rPr>
          <w:rFonts w:ascii="Times New Roman" w:cs="Times New Roman" w:eastAsia="Times New Roman" w:hAnsi="Times New Roman"/>
          <w:sz w:val="18"/>
          <w:szCs w:val="18"/>
          <w:color w:val="auto"/>
        </w:rPr>
        <w:t>(xiii)Party B shall, at least one day prior to the first day of any Unwind Period, notify Party A of the total number of Shares purchased in Rule 10b-18 purchases of blocks pursuant to the once-a-week block exception contained in Rule 10b-18(b)(4) by or for Party B or any of its affiliated purchasers during each of the four calendar weeks preceding the first day of the Unwind Period and during the calendar week in which the first day of the Unwind Period occurs (“Rule 10b-18 purchase”, “blocks” and “affiliated purchaser” each being used as defined in Rule 10b-18).</w:t>
      </w:r>
    </w:p>
    <w:p>
      <w:pPr>
        <w:spacing w:after="0" w:line="183" w:lineRule="exact"/>
        <w:rPr>
          <w:sz w:val="20"/>
          <w:szCs w:val="20"/>
          <w:color w:val="auto"/>
        </w:rPr>
      </w:pPr>
    </w:p>
    <w:p>
      <w:pPr>
        <w:jc w:val="both"/>
        <w:ind w:left="560" w:hanging="376"/>
        <w:spacing w:after="0" w:line="253" w:lineRule="auto"/>
        <w:tabs>
          <w:tab w:leader="none" w:pos="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Unwind Period, Party B shall (i) notify Party A prior to the opening of trading in the Shares on any day on which Party B makes, or expects to be made, any public announcement (as defined in Rule 165(f) under the Securities Act) of any merger, acquisition, or similar transaction involving a recapitalization relating to Party B (other than any such transaction in which the consideration consists solely of cash and there is no valuation period), (ii) promptly notify Party A following any such announcement that such announcement has been made, and (iii) promptly deliver to Party A following the making of any such announcement information indicating (A) Party B’s average daily Rule 10b-18 purchases (as defined in Rule 10b-18) during the three full calendar months preceding the date of the announcement of such transaction and (B) Party B’s block purchases (as defined in Rule 10b-18) effected pursuant to paragraph (b)(4) of Rule 10b-18 during the three full calendar months preceding the date of the announcement of such transaction. In addition, Party B shall promptly notify Party A of the earlier to occur of the completion of such transaction and the completion of the vote by target shareholders.</w:t>
      </w:r>
    </w:p>
    <w:p>
      <w:pPr>
        <w:spacing w:after="0" w:line="19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after giving effect to the transactions contemplated hereby will not be, required to register as an “investment company” as such term is defined in the Investment Company Act of 1940, as amended.</w:t>
      </w:r>
    </w:p>
    <w:p>
      <w:pPr>
        <w:spacing w:after="0" w:line="162" w:lineRule="exact"/>
        <w:rPr>
          <w:sz w:val="20"/>
          <w:szCs w:val="20"/>
          <w:color w:val="auto"/>
        </w:rPr>
      </w:pPr>
    </w:p>
    <w:p>
      <w:pPr>
        <w:jc w:val="both"/>
        <w:ind w:left="540" w:hanging="350"/>
        <w:spacing w:after="0" w:line="258" w:lineRule="auto"/>
        <w:rPr>
          <w:sz w:val="20"/>
          <w:szCs w:val="20"/>
          <w:color w:val="auto"/>
        </w:rPr>
      </w:pPr>
      <w:r>
        <w:rPr>
          <w:rFonts w:ascii="Times New Roman" w:cs="Times New Roman" w:eastAsia="Times New Roman" w:hAnsi="Times New Roman"/>
          <w:sz w:val="18"/>
          <w:szCs w:val="18"/>
          <w:color w:val="auto"/>
        </w:rPr>
        <w:t>(xvi)Without limiting the generality of Section 13.1 of the 2002 Definitions, Party B acknowledges that Party A is not making any representations or warranties or taking any position or expressing any view with respect to the treatment of the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5" w:name="page66"/>
    <w:bookmarkEnd w:id="65"/>
    <w:p>
      <w:pPr>
        <w:ind w:left="1084" w:hanging="436"/>
        <w:spacing w:after="0" w:line="282" w:lineRule="auto"/>
        <w:tabs>
          <w:tab w:leader="none" w:pos="10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understands no obligations of Party A to it hereunder will be entitled to the benefit of deposit insurance and that such obligations will not be guaranteed by any affiliate of Party A or any governmental agency.</w:t>
      </w:r>
    </w:p>
    <w:p>
      <w:pPr>
        <w:spacing w:after="0" w:line="161" w:lineRule="exact"/>
        <w:rPr>
          <w:rFonts w:ascii="Times New Roman" w:cs="Times New Roman" w:eastAsia="Times New Roman" w:hAnsi="Times New Roman"/>
          <w:sz w:val="18"/>
          <w:szCs w:val="18"/>
          <w:color w:val="auto"/>
        </w:rPr>
      </w:pPr>
    </w:p>
    <w:p>
      <w:pPr>
        <w:jc w:val="both"/>
        <w:ind w:left="1144" w:hanging="496"/>
        <w:spacing w:after="0" w:line="261" w:lineRule="auto"/>
        <w:tabs>
          <w:tab w:leader="none" w:pos="11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federal, state or local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other than Sections 13 and 16 under the Exchange Act.</w:t>
      </w:r>
    </w:p>
    <w:p>
      <w:pPr>
        <w:spacing w:after="0" w:line="179" w:lineRule="exact"/>
        <w:rPr>
          <w:rFonts w:ascii="Times New Roman" w:cs="Times New Roman" w:eastAsia="Times New Roman" w:hAnsi="Times New Roman"/>
          <w:sz w:val="18"/>
          <w:szCs w:val="18"/>
          <w:color w:val="auto"/>
        </w:rPr>
      </w:pPr>
    </w:p>
    <w:p>
      <w:pPr>
        <w:ind w:left="1024" w:hanging="376"/>
        <w:spacing w:after="0" w:line="282" w:lineRule="auto"/>
        <w:tabs>
          <w:tab w:leader="none" w:pos="10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knowledge of the occurrence of any event that would constitute an Event of Default or Potential Event of Default, Party B will so notify Party A in writing within one Scheduled Trading Day.</w:t>
      </w:r>
    </w:p>
    <w:p>
      <w:pPr>
        <w:spacing w:after="0" w:line="161" w:lineRule="exact"/>
        <w:rPr>
          <w:rFonts w:ascii="Times New Roman" w:cs="Times New Roman" w:eastAsia="Times New Roman" w:hAnsi="Times New Roman"/>
          <w:sz w:val="18"/>
          <w:szCs w:val="18"/>
          <w:color w:val="auto"/>
        </w:rPr>
      </w:pPr>
    </w:p>
    <w:p>
      <w:pPr>
        <w:jc w:val="both"/>
        <w:ind w:left="1024" w:hanging="376"/>
        <w:spacing w:after="0" w:line="266" w:lineRule="auto"/>
        <w:tabs>
          <w:tab w:leader="none" w:pos="10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has such knowledge and experience in financial and business affairs as to be capable of evaluating the merits and risks of entering into the Transaction, (ii) has consulted with its own legal, financial, accounting and tax advisors in connection with the Transaction and (iii) is entering into the Transaction for a bona fide business purpose.</w:t>
      </w:r>
    </w:p>
    <w:p>
      <w:pPr>
        <w:spacing w:after="0" w:line="175" w:lineRule="exact"/>
        <w:rPr>
          <w:rFonts w:ascii="Times New Roman" w:cs="Times New Roman" w:eastAsia="Times New Roman" w:hAnsi="Times New Roman"/>
          <w:sz w:val="18"/>
          <w:szCs w:val="18"/>
          <w:color w:val="auto"/>
        </w:rPr>
      </w:pPr>
    </w:p>
    <w:p>
      <w:pPr>
        <w:ind w:left="1024" w:hanging="376"/>
        <w:spacing w:after="0" w:line="282" w:lineRule="auto"/>
        <w:tabs>
          <w:tab w:leader="none" w:pos="10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has not been the subject of any civil proceeding of a judicial or administrative body of competent jurisdiction that could reasonably be expected to impair materially Party B’s ability to perform its obligations hereunder.</w:t>
      </w:r>
    </w:p>
    <w:p>
      <w:pPr>
        <w:spacing w:after="0" w:line="162" w:lineRule="exact"/>
        <w:rPr>
          <w:sz w:val="20"/>
          <w:szCs w:val="20"/>
          <w:color w:val="auto"/>
        </w:rPr>
      </w:pPr>
    </w:p>
    <w:p>
      <w:pPr>
        <w:jc w:val="both"/>
        <w:ind w:left="1044" w:hanging="404"/>
        <w:spacing w:after="0" w:line="266" w:lineRule="auto"/>
        <w:rPr>
          <w:sz w:val="20"/>
          <w:szCs w:val="20"/>
          <w:color w:val="auto"/>
        </w:rPr>
      </w:pPr>
      <w:r>
        <w:rPr>
          <w:rFonts w:ascii="Times New Roman" w:cs="Times New Roman" w:eastAsia="Times New Roman" w:hAnsi="Times New Roman"/>
          <w:sz w:val="18"/>
          <w:szCs w:val="18"/>
          <w:color w:val="auto"/>
        </w:rPr>
        <w:t>(xxii)Ownership positions of Party B’s common stock held by Party A or any of its affiliates solely in its capacity as a nominee or fiduciary do not constitute “beneficial ownership” or “direct or indirect ownership” Party A for the purposes of Article VI of the Declaration of Trust of Party B, as amended (the “Articles”), including without limitation Section 6.6 thereof.</w:t>
      </w:r>
    </w:p>
    <w:p>
      <w:pPr>
        <w:spacing w:after="0" w:line="176" w:lineRule="exact"/>
        <w:rPr>
          <w:sz w:val="20"/>
          <w:szCs w:val="20"/>
          <w:color w:val="auto"/>
        </w:rPr>
      </w:pPr>
    </w:p>
    <w:p>
      <w:pPr>
        <w:ind w:left="324" w:hanging="324"/>
        <w:spacing w:after="0"/>
        <w:tabs>
          <w:tab w:leader="none" w:pos="3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Party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Subject to the circumstances described under “Private Placement Procedures”, Party B acknowledges and agrees that any Shares delivered by Party B to Party A on any Settlement Date will be newly issued Shares and when delivered by Party A (or an affiliate of Party A) to securities lenders from whom Party A (or an affiliate of Party A) borrowed Shares in connection with hedging its exposure to the Transaction will be freely saleable without further registration or other restrictions under the Securities Act, in the hands of those securities lenders, irrespective of whether such stock loan is effected by Party A or an affiliate of Party A. Accordingly, Party B agrees that the Shares that it delivers to Party A on each Settlement Date will not bear a restrictive legend and that such Shares will be deposited in, and the delivery thereof shall be effected through the facilities of, the Clearance System.</w:t>
      </w:r>
    </w:p>
    <w:p>
      <w:pPr>
        <w:spacing w:after="0" w:line="189" w:lineRule="exact"/>
        <w:rPr>
          <w:sz w:val="20"/>
          <w:szCs w:val="20"/>
          <w:color w:val="auto"/>
        </w:rPr>
      </w:pPr>
    </w:p>
    <w:p>
      <w:pPr>
        <w:ind w:left="324" w:hanging="324"/>
        <w:spacing w:after="0"/>
        <w:tabs>
          <w:tab w:leader="none" w:pos="3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Party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shall be applicable, Party A shall use any Shares delivered by Party B to Party A on any Settlement Date to return to securities lenders to close out open Share loans created by Party A or an affiliate of Party A in the course of Party A’s or such affiliate’s hedging activities related to Party A’s exposure under this Confirmation.</w:t>
      </w:r>
    </w:p>
    <w:p>
      <w:pPr>
        <w:spacing w:after="0" w:line="179"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the Transaction, Party A shall use good faith efforts to conduct its activities, or cause its affiliates to conduct their activities, in a manner consistent with the requirements of the safe harbor provided by Rule 10b-18 under the Exchange Act, as if such provisions were applicable to such purchases aggregated with any analogous purchases occurring on the same day under any Additional Transaction.</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Deadline for Designating an Early Termination Date and Payment Suspension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either party provides notice to the other party that there has occurred (1) an Event of Default as to which Party B is the Defaulting Party; (2) a Potential Event of Default with respect to Party B or (3) a Termination Event as to which Party B is the sole Affected Party, then, notwithstanding Section 9(f) of the Agreement and unless Party A and Party B otherwise agree in writing, after 30 calendar days have elapsed following such notice, (i) Party A shall have no further right to designate an Early Termination Date by reason of the aforementioned Event of Default or Termination Event and (ii) the aforementioned Event of Default or Potential Event of Default shall be deemed to cease to be continuing for the purposes of Section 2(a)(iii)(1) of the Agreement. Party A hereby agrees to provide any notice referred to in the preceding sentence as promptly as practicable after it determines, acting in good faith, that the aforementioned Event of Default, Potential Event of Default or Termination Event has occurred.</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6" w:name="page67"/>
    <w:bookmarkEnd w:id="66"/>
    <w:p>
      <w:pPr>
        <w:ind w:left="324" w:hanging="324"/>
        <w:spacing w:after="0"/>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in the Agreement, in the 2006 Definitions or in the 2002 Definitions, upon any Insolvency Filing in respect of the Issuer, the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w:t>
      </w:r>
    </w:p>
    <w:p>
      <w:pPr>
        <w:spacing w:after="0" w:line="180" w:lineRule="exact"/>
        <w:rPr>
          <w:sz w:val="20"/>
          <w:szCs w:val="20"/>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If an ex-dividend date for an Extraordinary Dividend occurs on or after the Trade Date and on or prior to the Maturity Date (or, if later, the last date on which Shares are delivered by Party B to Party A in settlement of the Transaction), Party B shall pay an amount in cash equal to the product of such Extraordinary Dividend and the Base Amount to Party A on the earlier of (i) the date on which such Extraordinary Dividend is paid by the Issuer to holders of record of the Shares or (ii) the Maturity Date. “Extraordinary Dividend” means the per Share amount of any cash dividend or distribution declared by the Issuer with respect to the Shares that is specified by the board of directors of the Issuer as an “extraordinary” dividend.</w:t>
      </w:r>
    </w:p>
    <w:p>
      <w:pPr>
        <w:spacing w:after="0" w:line="187" w:lineRule="exact"/>
        <w:rPr>
          <w:sz w:val="20"/>
          <w:szCs w:val="20"/>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each constitute an “Acceleration Event”: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Events</w:t>
      </w:r>
      <w:r>
        <w:rPr>
          <w:rFonts w:ascii="Times New Roman" w:cs="Times New Roman" w:eastAsia="Times New Roman" w:hAnsi="Times New Roman"/>
          <w:sz w:val="18"/>
          <w:szCs w:val="18"/>
          <w:color w:val="auto"/>
        </w:rPr>
        <w:t>. In the good faith and commercially reasonable judgment of Party A (i) Party A (or its affiliate) is unable, after using commercially reasonable efforts, to hedge its exposure to the Transaction because of the lack of sufficient Shares being made available for Share borrowing by lenders, or (ii) Party A (or its affiliate) would incur a Stock Loan Fee to borrow a number of Shares equal to the Base Amount of more than a rate of 200 basis points per annum (each, a “Stock Borrow Event”);</w:t>
      </w:r>
    </w:p>
    <w:p>
      <w:pPr>
        <w:spacing w:after="0" w:line="179"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On any day occurring after the Trade Date Party B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only) to but excluding the next subsequent Forward Price Reduction Date exceeds, on a per Share basis, the Forward Price Reduction Amount set forth opposite the first date of any such period on Schedule I,</w:t>
      </w:r>
    </w:p>
    <w:p>
      <w:pPr>
        <w:spacing w:after="0" w:line="3" w:lineRule="exact"/>
        <w:rPr>
          <w:rFonts w:ascii="Times New Roman" w:cs="Times New Roman" w:eastAsia="Times New Roman" w:hAnsi="Times New Roman"/>
          <w:sz w:val="18"/>
          <w:szCs w:val="18"/>
          <w:color w:val="auto"/>
        </w:rPr>
      </w:pPr>
    </w:p>
    <w:p>
      <w:pPr>
        <w:jc w:val="both"/>
        <w:ind w:left="964" w:firstLine="8"/>
        <w:spacing w:after="0" w:line="255" w:lineRule="auto"/>
        <w:tabs>
          <w:tab w:leader="none" w:pos="1234"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or securities of another issuer acquired or owned (directly or indirectly) by Party B as a result of a spin-off or other similar transaction or (iii) any other type of securities (other than Shares), rights or warrants or other assets, for payment (cash or other consideration) at less than the prevailing market price as determined by Party A;</w:t>
      </w:r>
    </w:p>
    <w:p>
      <w:pPr>
        <w:spacing w:after="0" w:line="185"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ISDA Early Termination Date</w:t>
      </w:r>
      <w:r>
        <w:rPr>
          <w:rFonts w:ascii="Times New Roman" w:cs="Times New Roman" w:eastAsia="Times New Roman" w:hAnsi="Times New Roman"/>
          <w:sz w:val="18"/>
          <w:szCs w:val="18"/>
          <w:color w:val="auto"/>
        </w:rPr>
        <w:t>. Party A notifies Party B that Party A has designated an Early Termination Date pursuant to Section 6 of the Agreement;</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The public announcement of any event that if consummated would result in an Extraordinary Event or the occurrence of any Change in Law or a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w:t>
      </w:r>
    </w:p>
    <w:p>
      <w:pPr>
        <w:jc w:val="both"/>
        <w:ind w:left="964" w:firstLine="8"/>
        <w:spacing w:after="0" w:line="250" w:lineRule="auto"/>
        <w:tabs>
          <w:tab w:leader="none" w:pos="1286"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2002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definition of “Change in Law” provided in Section 12.9(a)(ii) of the 2002 Definitions is hereby amended by (i) replacing the phrase “the interpretation” in the third line thereof with the phrase “, or public announcement of, the formal or informal interpretation” and (ii) replacing the parenthetical beginning after the word “regulation” in the second line thereof the words “(including, for the avoidance of doubt and without limitation,</w:t>
      </w:r>
    </w:p>
    <w:p>
      <w:pPr>
        <w:spacing w:after="0" w:line="2" w:lineRule="exact"/>
        <w:rPr>
          <w:rFonts w:ascii="Times New Roman" w:cs="Times New Roman" w:eastAsia="Times New Roman" w:hAnsi="Times New Roman"/>
          <w:sz w:val="18"/>
          <w:szCs w:val="18"/>
          <w:color w:val="auto"/>
        </w:rPr>
      </w:pPr>
    </w:p>
    <w:p>
      <w:pPr>
        <w:ind w:left="1224" w:hanging="252"/>
        <w:spacing w:after="0"/>
        <w:tabs>
          <w:tab w:leader="none" w:pos="1224"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law or (y) adoption, effectiveness or promulgation of new regulations authorized or mandated by existing statute)”; or</w:t>
      </w:r>
    </w:p>
    <w:p>
      <w:pPr>
        <w:spacing w:after="0" w:line="206"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w:t>
      </w:r>
      <w:r>
        <w:rPr>
          <w:rFonts w:ascii="Times New Roman" w:cs="Times New Roman" w:eastAsia="Times New Roman" w:hAnsi="Times New Roman"/>
          <w:sz w:val="18"/>
          <w:szCs w:val="18"/>
          <w:color w:val="auto"/>
        </w:rPr>
        <w:t>t. In the reasonable judgment of Party A, on any day, the Share Amount for such day exceeds the Applicable Share Limit for such day (if any applies).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7" w:name="page68"/>
    <w:bookmarkEnd w:id="67"/>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clause (e) above, the “Share Amount” as of any day is the number of Shares that Party A and any person whose ownership position would be aggregated with that of Party A (Party A or any such person, a “Party A Person”) under any law, rule, regulation, regulatory order or organizational documents or contracts of Party B (including without limitation Article VI of the Articles) that are, in each case, applicable to ownership of Shares (“Applicable Restrictions”), owns, beneficially owns, constructively owns, controls, holds the power to vote or otherwise meets a relevant definition of ownership under any Applicable Restriction, as determined by Party A in its reasonable discretion. The “Applicable Share Limit” means a number of Shares equal to (A) the minimum number of Shares that could give rise to reporting or registration obligations or other requirements (including obtaining prior approval from any person or entity) other than pursuant to the Exchange Act of a Party A Person, or could reasonably be expected to result in an adverse effect on a Party A Person, under any Applicable Restriction, as determined by Party A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94" w:lineRule="exact"/>
        <w:rPr>
          <w:sz w:val="20"/>
          <w:szCs w:val="20"/>
          <w:color w:val="auto"/>
        </w:rPr>
      </w:pPr>
    </w:p>
    <w:p>
      <w:pPr>
        <w:ind w:left="324" w:hanging="324"/>
        <w:spacing w:after="0"/>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Settlemen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 xml:space="preserve">Upon the occurrence of any Acceleration Event, Party A shall have the right to designate, upon at least two Scheduled Trading Days’ notice, any Scheduled Trading Day following such occurrence to be a Settlement Date hereunder (a “Termination Settlement Date”) to which Physical Settlement shall apply, and to select the number of Settlement Shares relating to such Termination Settlement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in the case of an Acceleration Event arising out of an Ownership Event, the number of Settlement Shares so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Party A shall not exceed the number of Shares necessary to reduce the Share Amount to the Applicable Share Limit and (ii) in the case of an Acceleration Event arising out of a Stock Borrow Event the number of Settlement Shares so designated by Party A shall not exceed the number of Shares as to which such Stock Borrow Event exists. If, upon designation of a Termination Settlement Date by Party A pursuant to the preceding sentence, Party B fails to deliver the Settlement Shares relating to such Termination Settlement Date when due or otherwise fails to perform obligations within its control in respect of the Transaction, it shall be an Event of Default with respect to Party B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Party B, Cash Settlement or Net Share Settlement shall apply to the portion of the Settlement Shares relating to such Unwind Period as to which Party A has unwound its hedge and Physical Settlement shall apply in respect of (x) the remainder (if any) of such Settlement Shares and (y) the Settlement Shares designated by Party A in respect of such Termination Settlement Date. If an Acceleration Event occurs after Party B has designated a Settlement Date to which Physical Settlement applies but before the relevant Settlement Shares have been delivered to Party A, then Party A shall have the right to cancel such Settlement Date and designate a Termination Settlement Date in respect of such Shares pursuant to the first sentence hereof. If an event or circumstance is an Acceleration Event under both this Confirmation and any Additional Confirmation and the designation of a Termination Settlement Date under one such confirmation would cure the Acceleration Event under the other such confirmation, then Party A shall first designate a Termination Settlement Date under the confirmation with the first occurring Maturity Date before designating a Termination Settlement Date under the other confirmation.</w:t>
      </w:r>
    </w:p>
    <w:p>
      <w:pPr>
        <w:spacing w:after="0" w:line="188" w:lineRule="exact"/>
        <w:rPr>
          <w:sz w:val="20"/>
          <w:szCs w:val="20"/>
          <w:color w:val="auto"/>
        </w:rPr>
      </w:pPr>
    </w:p>
    <w:p>
      <w:pPr>
        <w:ind w:left="324" w:hanging="324"/>
        <w:spacing w:after="0"/>
        <w:tabs>
          <w:tab w:leader="none" w:pos="3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If Party B is unable to comply with the provisions of “Covenant of Party B” above because of a change in law or a change in the policy of the Securities and Exchange Commission or its staff, or Party A otherwise reasonably determines, based on advice of counsel, that any Settlement Shares to be delivered to Party A by Party B may not be freely returned by Party A or its affiliates to securities lenders as described under “Covenant of Party B” above, then delivery of any such Settlement Shares (the “Restricted Shares”) shall be effected pursuant to Annex A hereto, unless waived by Party A.</w:t>
      </w:r>
    </w:p>
    <w:p>
      <w:pPr>
        <w:spacing w:after="0" w:line="183" w:lineRule="exact"/>
        <w:rPr>
          <w:sz w:val="20"/>
          <w:szCs w:val="20"/>
          <w:color w:val="auto"/>
        </w:rPr>
      </w:pPr>
    </w:p>
    <w:p>
      <w:pPr>
        <w:ind w:left="324" w:hanging="324"/>
        <w:spacing w:after="0"/>
        <w:tabs>
          <w:tab w:leader="none" w:pos="3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It is the intent of Party A and Party B that following any election of Cash Settlement or Net Share Settlement by Party B, the purchase of Shares by Party A during any Unwind Period comply with the requirements of Rule 10b5-1(c)(1)(i)(B) of the Exchange Act and that this Confirmation shall be interpreted to comply with the requirements of Rule 10b5-1(c).</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Party B acknowledges that (i) during any Unwind Period Party B shall not attempt to exercise any influence over how, when or whether to effect purchases of Shares by Party A (or its agent or affiliate) in connection with this Confirmation and (ii) Party B is entering into the Agreement and this Confirmation in good faith and not as part of a plan or scheme to evade compliance with federal securities laws including, without limitation, Rule 10b-5 promulgated under the Exchange Act. Party B further agrees to act in good faith with respect to the Agreement and this Confirmation.</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8" w:name="page69"/>
    <w:bookmarkEnd w:id="68"/>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Party B hereby agrees with Party A that during any Unwind Period Party B shall not communicate, directly or indirectly, any Material Non-Public Information (as defined herein) to any Derivatives Personnel (as defined below). For purposes of the Transaction, “Material Non-Public Information” means information relating to Party B or the Shares that (a) has not been widely disseminated by wire service, in one or more newspapers of general circulation, by communication from Party B to its shareholders or in a press release, or contained in a public filing made by Party B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liquidity problems, extraordinary management developments, purchase or sale of substantial assets, or other similar information For purposes of the Transaction, “Derivatives Personnel” means any employee on the trading side of the Equity Derivatives of Party A and does not include any other person or persons designated from time to time by the Compliance Group of Party A.</w:t>
      </w:r>
    </w:p>
    <w:p>
      <w:pPr>
        <w:spacing w:after="0" w:line="190"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Party B be required to deliver on any Settlement Date, whether pursuant to Physical Settlement, Net Share Settlement, Termination Settlement or any Private Placement Settlement, more than a number of Shares equal to 1.5 times the Initial Base Amount, subject to reduction by the number of any Shares delivered by Party B on any prior Settlement Date and subject to adjustment from time to time in accordance with the provisions of this Confirmation and the Equity Definitions.</w:t>
      </w:r>
    </w:p>
    <w:p>
      <w:pPr>
        <w:spacing w:after="0" w:line="183"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Party A may assign or transfer all (but not less than all) of its rights or delegate all (but not less than all) of its duties hereunder to any affiliate of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the applicable law effective on the date of such transfer or assignment, Party B will not be required, as a result of such transfer or assignment, to pay to the transferee an amount in respect of an Indemnifiable Tax greater than the amount, if any, that Party B would have been required to pay Party A in the absence of such transfer or assignment; and Party B will not receive a payment from which an amount has been withheld or deducted, on account of a Tax in respect of which the other party is not required to pay an additional amount, unless Party B would not have been entitled to receive any additional amount in respect of such payment in the absence of such transfer or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(A)    the affiliate’s obligations hereunder are fully and unconditionally guaranteed by Party A or its parent or (B) the affiliate’s long-term issuer rating is equal to or better than the credit rating of Party A at the time of such assignment or transfer. Notwithstanding the above or any other provision in this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A’s obligations in respect of the Transaction and any such designee may assume such obligations. Party A shall be discharged of its obligations to Party B to the extent of any such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gridSpan w:val="3"/>
          </w:tcPr>
          <w:p>
            <w:pPr>
              <w:jc w:val="right"/>
              <w:ind w:right="4260"/>
              <w:spacing w:after="0"/>
              <w:rPr>
                <w:sz w:val="20"/>
                <w:szCs w:val="20"/>
                <w:color w:val="auto"/>
              </w:rPr>
            </w:pPr>
            <w:r>
              <w:rPr>
                <w:rFonts w:ascii="Times New Roman" w:cs="Times New Roman" w:eastAsia="Times New Roman" w:hAnsi="Times New Roman"/>
                <w:sz w:val="18"/>
                <w:szCs w:val="18"/>
                <w:color w:val="auto"/>
              </w:rPr>
              <w:t>(o) Acknowledgements:</w:t>
            </w:r>
          </w:p>
        </w:tc>
        <w:tc>
          <w:tcPr>
            <w:tcW w:w="4520" w:type="dxa"/>
            <w:vAlign w:val="bottom"/>
          </w:tcPr>
          <w:p>
            <w:pPr>
              <w:spacing w:after="0"/>
              <w:rPr>
                <w:sz w:val="18"/>
                <w:szCs w:val="18"/>
                <w:color w:val="auto"/>
              </w:rPr>
            </w:pPr>
          </w:p>
        </w:tc>
      </w:tr>
      <w:tr>
        <w:trPr>
          <w:trHeight w:val="453"/>
        </w:trPr>
        <w:tc>
          <w:tcPr>
            <w:tcW w:w="980" w:type="dxa"/>
            <w:vAlign w:val="bottom"/>
          </w:tcPr>
          <w:p>
            <w:pPr>
              <w:spacing w:after="0"/>
              <w:rPr>
                <w:sz w:val="24"/>
                <w:szCs w:val="24"/>
                <w:color w:val="auto"/>
              </w:rPr>
            </w:pPr>
          </w:p>
        </w:tc>
        <w:tc>
          <w:tcPr>
            <w:tcW w:w="14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9"/>
              </w:rPr>
              <w:t>Non-Reliance: </w:t>
            </w:r>
          </w:p>
        </w:tc>
        <w:tc>
          <w:tcPr>
            <w:tcW w:w="4320" w:type="dxa"/>
            <w:vAlign w:val="bottom"/>
          </w:tcPr>
          <w:p>
            <w:pPr>
              <w:spacing w:after="0"/>
              <w:rPr>
                <w:sz w:val="24"/>
                <w:szCs w:val="24"/>
                <w:color w:val="auto"/>
              </w:rPr>
            </w:pPr>
          </w:p>
        </w:tc>
        <w:tc>
          <w:tcPr>
            <w:tcW w:w="4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980" w:type="dxa"/>
            <w:vAlign w:val="bottom"/>
          </w:tcPr>
          <w:p>
            <w:pPr>
              <w:spacing w:after="0"/>
              <w:rPr>
                <w:sz w:val="24"/>
                <w:szCs w:val="24"/>
                <w:color w:val="auto"/>
              </w:rPr>
            </w:pPr>
          </w:p>
        </w:tc>
        <w:tc>
          <w:tcPr>
            <w:tcW w:w="5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4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980" w:type="dxa"/>
            <w:vAlign w:val="bottom"/>
          </w:tcPr>
          <w:p>
            <w:pPr>
              <w:spacing w:after="0"/>
              <w:rPr>
                <w:sz w:val="24"/>
                <w:szCs w:val="24"/>
                <w:color w:val="auto"/>
              </w:rPr>
            </w:pPr>
          </w:p>
        </w:tc>
        <w:tc>
          <w:tcPr>
            <w:tcW w:w="5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Agreements and Acknowledgments Regarding Hedging Activities:</w:t>
            </w:r>
          </w:p>
        </w:tc>
        <w:tc>
          <w:tcPr>
            <w:tcW w:w="45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Applicable</w:t>
            </w:r>
          </w:p>
        </w:tc>
      </w:tr>
      <w:tr>
        <w:trPr>
          <w:trHeight w:val="648"/>
        </w:trPr>
        <w:tc>
          <w:tcPr>
            <w:tcW w:w="672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14</w:t>
            </w: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4.              The Agreement is further supplemented by the following provisions:</w:t>
      </w:r>
    </w:p>
    <w:p>
      <w:pPr>
        <w:spacing w:after="0" w:line="225"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72" w:lineRule="auto"/>
        <w:rPr>
          <w:sz w:val="20"/>
          <w:szCs w:val="20"/>
          <w:color w:val="auto"/>
        </w:rPr>
      </w:pPr>
      <w:r>
        <w:rPr>
          <w:rFonts w:ascii="Times New Roman" w:cs="Times New Roman" w:eastAsia="Times New Roman" w:hAnsi="Times New Roman"/>
          <w:sz w:val="17"/>
          <w:szCs w:val="17"/>
          <w:color w:val="auto"/>
        </w:rPr>
        <w:t>Notwithstanding Section 6(f) or any other provision of the Agreement or any other agreement between the parties to the contrary, the obligations of Party B hereunder are not secured by any collateral. Obligations under the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under the Transaction, whether arising under the Agreement, this Confirmation, under any other agreement between the parties hereto, by operation of law or otherwise, and each party hereby waives any such right of setoff. In calculating any amounts under Section 6(e) of the Agreement, notwithstanding anything to the contrary in the Agreement, (a) separate amounts shall be calculated as set forth in such Section 6(e) with respect to (i) the Transaction and (ii) all other Transactions, and (b) such separate amounts shall be payable pursuant to Section 6(d)(ii) of the Agreement.</w:t>
      </w:r>
    </w:p>
    <w:p>
      <w:pPr>
        <w:spacing w:after="0" w:line="172"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Claims in Bankruptcy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Party A acknowledges and agrees that this confirmation is not intended to convey to Party A rights with respect to the transactions contemplated hereby that are senior to the claims of common stockholders in any U.S. bankruptcy proceedings of Party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nothing herein shall limit or shall be deemed to limit Party A’s right to pursue remedies in the event of a breach by Party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its obligations and agreements with respect to this Confirmation and the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Party A’s rights in respect of any transaction other than the Transaction.</w:t>
      </w:r>
    </w:p>
    <w:p>
      <w:pPr>
        <w:spacing w:after="0" w:line="183"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Beneficial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provisions hereof, Party A shall not have the right to acquire Shares hereunder and Party A shall not be entitled to take delivery of any Shares deliverable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Applicable Share Limit, (ii) the Section 16 Percentage would exceed 4.9%, (iii) Party A and each person subject to aggregation of Shares with Party A under Section 13 or Section 16 of the Exchange Act and rules promulgated thereunder (the “Party A Group”) would directly or indirectly beneficially own (as such term is defined for purposes of Section 13 or Section 16 of the Exchange Act and rules promulgated thereunder) in excess of 4.9% of the then outstanding Shares (the “Threshold Number of Shares”) or (iv) such acquisition would result in a violation of any restriction on ownership or transfer set forth in Article VI of the Articles (the “Counterparty Stock Ownership Restrictions”). Any purported delivery hereunder shall be void and have no effect to the extent (but only to the extent) that, after such delivery, (i) the Share Amount would exceed the Applicable Share Limit, (ii) the Section 16 Percentage would exceed 4.9%, (iii) Party A Group would directly or indirectly so beneficially own in excess of the Threshold Number of Shares or (iv) such delivery would result in a violation of the Counterparty Stock Ownership Restrictions. If any delivery owed to Party A hereunder is not made, in whole or in part, as a result of this provision, Party B’s obligation to make such delivery shall not be extinguished and Party B shall make such delivery as promptly as practicable after, but in no event later than one Exchange Business Day after, Party A gives notice to Party B that, after such delivery,</w:t>
      </w:r>
    </w:p>
    <w:p>
      <w:pPr>
        <w:spacing w:after="0" w:line="11" w:lineRule="exact"/>
        <w:rPr>
          <w:sz w:val="20"/>
          <w:szCs w:val="20"/>
          <w:color w:val="auto"/>
        </w:rPr>
      </w:pPr>
    </w:p>
    <w:p>
      <w:pPr>
        <w:jc w:val="both"/>
        <w:ind w:left="1300" w:firstLine="4"/>
        <w:spacing w:after="0" w:line="251" w:lineRule="auto"/>
        <w:tabs>
          <w:tab w:leader="none" w:pos="15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Amount would not exceed the Applicable Share Limit, (ii) the Section 16 Percentage would not exceed 4.9%, (iii) Party A Group would not directly or indirectly so beneficially own in excess of the Threshold Number of Shares and (iv) such delivery would not result in a violation of the Counterparty Stock Ownership Restriction. The “Section 16 Percentage” as of any day is the fraction, expressed as a percentage, (A) the numerator of which is the number of Shares that Party A and any of its affiliates or any other person subject to aggregation with Party A for purposes of the “beneficial ownership” test under Section 13 of the Exchange Act, or any “group” (within the meaning of Section 13 of the Exchange Act) of which Party A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9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Party A hereunder is not made, in whole or in part, as a result of the immediately preceding paragraph, Party A shall be permitted to make any payment due in respect of such Shares to Party B in two or more tranches that correspond in amount to the number of Shares delivered by Party B to Party A pursuant to the immediately preceding paragraph.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324" w:hanging="324"/>
        <w:spacing w:after="0"/>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Confirmation shall be interpreted as requiring Party B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Party B so elects to deliver cash or fails timely to elect to deliver Shares in respect of such settlement).</w:t>
      </w:r>
    </w:p>
    <w:p>
      <w:pPr>
        <w:spacing w:after="0" w:line="180" w:lineRule="exact"/>
        <w:rPr>
          <w:sz w:val="20"/>
          <w:szCs w:val="20"/>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(the “WSTAA”), the parties hereby agree that neither the enactment of the WSTAA or any regulation under the WSTAA, nor any requirement under the WSTAA or an amendment made by the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2002 Definitions incorporated herein, or the Agreement (including, but not limited to, rights arising from any Acceleration Event or Illegality (as defined in the Agreement)).</w:t>
      </w:r>
    </w:p>
    <w:p>
      <w:pPr>
        <w:spacing w:after="0" w:line="187" w:lineRule="exact"/>
        <w:rPr>
          <w:sz w:val="20"/>
          <w:szCs w:val="20"/>
          <w:color w:val="auto"/>
        </w:rPr>
      </w:pPr>
    </w:p>
    <w:p>
      <w:pPr>
        <w:ind w:left="324" w:hanging="324"/>
        <w:spacing w:after="0"/>
        <w:tabs>
          <w:tab w:leader="none" w:pos="3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for Notices. For the purpose of Section 12(a) of the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 for notices or communications to Party A:</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One Bryant Park, 8th Fl.</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Attention: Strategic Equity Solutions Group</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Telephone: 646-855-6770</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Email: dg.issuer_derivatives_notices@bofa.com</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 for notices or communications to Party B:</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411 Theodore Fremd</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Avenue, Suite 300 Rye,</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10580</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Facsimile: 914-288-2138</w:t>
      </w:r>
    </w:p>
    <w:p>
      <w:pPr>
        <w:spacing w:after="0" w:line="203" w:lineRule="exact"/>
        <w:rPr>
          <w:sz w:val="20"/>
          <w:szCs w:val="20"/>
          <w:color w:val="auto"/>
        </w:rPr>
      </w:pPr>
    </w:p>
    <w:p>
      <w:pPr>
        <w:jc w:val="both"/>
        <w:ind w:left="324" w:hanging="324"/>
        <w:spacing w:after="0" w:line="259" w:lineRule="auto"/>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Right to Trial by Jury. Each party waives, to the fullest extent permitted by applicable law, any right it may have to a trial by jury in respect of any suit, action or proceeding relating to this Confirmation. </w:t>
      </w:r>
      <w:r>
        <w:rPr>
          <w:rFonts w:ascii="Times New Roman" w:cs="Times New Roman" w:eastAsia="Times New Roman" w:hAnsi="Times New Roman"/>
          <w:sz w:val="18"/>
          <w:szCs w:val="18"/>
          <w:color w:val="auto"/>
        </w:rPr>
        <w:t>Each party (i) certifies that no representative,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of the other party has represented, expressly or otherwise, that such other party would not, in the event of such a suit action or proceeding, seek to enforce the foregoing waiver and (ii) acknowledges that it and the other party have been induced to enter into this Confirmation by, among other things, the mutual waivers and certifications herein.</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Office of Party A for the Transaction is: New York</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Office of Party B for the Transaction is: Inapplicable, Party B is not a Multibranch Party</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1" w:name="page72"/>
    <w:bookmarkEnd w:id="71"/>
    <w:p>
      <w:pPr>
        <w:ind w:left="324" w:hanging="324"/>
        <w:spacing w:after="0"/>
        <w:tabs>
          <w:tab w:leader="none" w:pos="3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parties hereto intend for:</w:t>
      </w:r>
    </w:p>
    <w:p>
      <w:pPr>
        <w:spacing w:after="0" w:line="225" w:lineRule="exact"/>
        <w:rPr>
          <w:sz w:val="20"/>
          <w:szCs w:val="20"/>
          <w:color w:val="auto"/>
        </w:rPr>
      </w:pPr>
    </w:p>
    <w:p>
      <w:pPr>
        <w:ind w:left="964" w:hanging="316"/>
        <w:spacing w:after="0" w:line="282" w:lineRule="auto"/>
        <w:tabs>
          <w:tab w:leader="none" w:pos="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to be a “securities contract” as defined in Section 741(7) of Title 11 of the United States Code (the “Bankruptcy Code”), qualifying for the protections under Section 555 of the Bankruptcy Code;</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right to liquidate the Transaction and to exercise any other remedies upon the occurrence of any Event of Default under the Agreement with respect to the other party to constitute a “contractual right” as defined in the Bankruptcy Code;</w:t>
      </w:r>
    </w:p>
    <w:p>
      <w:pPr>
        <w:spacing w:after="0" w:line="161"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to be a “financial institution” within the meaning of Section 101(22) of the Bankruptcy Code; and</w:t>
      </w:r>
    </w:p>
    <w:p>
      <w:pPr>
        <w:spacing w:after="0" w:line="225"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the Transaction, all payments for the Shares and the transfer of such Shares to constitute “settlement payments” as defined in the Bankruptcy Code.</w:t>
      </w:r>
    </w:p>
    <w:p>
      <w:pPr>
        <w:spacing w:after="0" w:line="162" w:lineRule="exact"/>
        <w:rPr>
          <w:sz w:val="20"/>
          <w:szCs w:val="20"/>
          <w:color w:val="auto"/>
        </w:rPr>
      </w:pPr>
    </w:p>
    <w:p>
      <w:pPr>
        <w:ind w:left="324" w:hanging="324"/>
        <w:spacing w:after="0"/>
        <w:tabs>
          <w:tab w:leader="none" w:pos="3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any term, provision, covenant or condition of this Confirmation, or the application thereof to any party or circumstance, shall be held to be invalid or unenforceable in whole or in part for any reason, the remaining terms, provisions, covenants, and conditions hereof shall continue in full force and effect as if this Confirmation had been executed with the invalid or unenforceable provision eliminated, so long as this Confirmation as so modified continues to express, without material change, the original intentions of the parties as to the subject matter of this Confirmation and the deletion of such portion of this Confirmation will not substantially impair the respective benefits or expectations of parties to the Agreement; provided, however, that this severability provision shall not be applicable if any provision of Section 2, 5, 6 or 13 of the Agreement (or any definition or provision in Section 14 to the extent that it relates to, or is used in or in connection with any such Section) shall be so held to be invalid or unenforceable.</w:t>
      </w:r>
    </w:p>
    <w:p>
      <w:pPr>
        <w:spacing w:after="0" w:line="192" w:lineRule="exact"/>
        <w:rPr>
          <w:sz w:val="20"/>
          <w:szCs w:val="20"/>
          <w:color w:val="auto"/>
        </w:rPr>
      </w:pPr>
    </w:p>
    <w:p>
      <w:pPr>
        <w:ind w:left="324" w:hanging="324"/>
        <w:spacing w:after="0"/>
        <w:tabs>
          <w:tab w:leader="none" w:pos="3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3" w:lineRule="exact"/>
        <w:rPr>
          <w:sz w:val="20"/>
          <w:szCs w:val="20"/>
          <w:color w:val="auto"/>
        </w:rPr>
      </w:pPr>
    </w:p>
    <w:p>
      <w:pPr>
        <w:ind w:left="324" w:hanging="324"/>
        <w:spacing w:after="0"/>
        <w:tabs>
          <w:tab w:leader="none" w:pos="3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Effective from the date of commencement of discussions concerning the Transaction, each of Party A and Party B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180" w:lineRule="exact"/>
        <w:rPr>
          <w:sz w:val="20"/>
          <w:szCs w:val="20"/>
          <w:color w:val="auto"/>
        </w:rPr>
      </w:pPr>
    </w:p>
    <w:p>
      <w:pPr>
        <w:ind w:left="324" w:hanging="324"/>
        <w:spacing w:after="0"/>
        <w:tabs>
          <w:tab w:leader="none" w:pos="3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Party B represents and warrants that it has received, read and understands Party A’s “Risk Disclosure Statement Regarding OTC Derivatives Products” and acknowledges the terms thereof as if it had signed the Risk Disclosure Statement Verification contained therein as of the date hereof.</w:t>
      </w:r>
    </w:p>
    <w:p>
      <w:pPr>
        <w:spacing w:after="0" w:line="176" w:lineRule="exact"/>
        <w:rPr>
          <w:sz w:val="20"/>
          <w:szCs w:val="20"/>
          <w:color w:val="auto"/>
        </w:rPr>
      </w:pPr>
    </w:p>
    <w:p>
      <w:pPr>
        <w:ind w:left="324" w:hanging="324"/>
        <w:spacing w:after="0"/>
        <w:tabs>
          <w:tab w:leader="none" w:pos="3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Each of Party A and Party B agrees and represents that it is an “eligible contract participant” as defined in Section 1a(18) of the U.S. Commodity Exchange Act, as amended (the “CEA”), the Agreement and the Transaction are subject to individual negotiation by the parties and have not been executed or traded on a “trading facility” as defined in Section 1a(51) of the CEA.</w:t>
      </w:r>
    </w:p>
    <w:p>
      <w:pPr>
        <w:spacing w:after="0" w:line="176" w:lineRule="exact"/>
        <w:rPr>
          <w:sz w:val="20"/>
          <w:szCs w:val="20"/>
          <w:color w:val="auto"/>
        </w:rPr>
      </w:pPr>
    </w:p>
    <w:p>
      <w:pPr>
        <w:ind w:left="324" w:hanging="324"/>
        <w:spacing w:after="0"/>
        <w:tabs>
          <w:tab w:leader="none" w:pos="32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3(e) of the Agreement, Party A and Party B each make the following representation:</w:t>
      </w:r>
    </w:p>
    <w:p>
      <w:pPr>
        <w:spacing w:after="0" w:line="225" w:lineRule="exact"/>
        <w:rPr>
          <w:sz w:val="20"/>
          <w:szCs w:val="20"/>
          <w:color w:val="auto"/>
        </w:rPr>
      </w:pPr>
    </w:p>
    <w:p>
      <w:pPr>
        <w:jc w:val="both"/>
        <w:ind w:left="644"/>
        <w:spacing w:after="0" w:line="257" w:lineRule="auto"/>
        <w:rPr>
          <w:sz w:val="20"/>
          <w:szCs w:val="20"/>
          <w:color w:val="auto"/>
        </w:rPr>
      </w:pPr>
      <w:r>
        <w:rPr>
          <w:rFonts w:ascii="Times New Roman" w:cs="Times New Roman" w:eastAsia="Times New Roman" w:hAnsi="Times New Roman"/>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it may rely on:</w:t>
      </w:r>
    </w:p>
    <w:p>
      <w:pPr>
        <w:spacing w:after="0" w:line="1" w:lineRule="exact"/>
        <w:rPr>
          <w:sz w:val="20"/>
          <w:szCs w:val="20"/>
          <w:color w:val="auto"/>
        </w:rPr>
      </w:pPr>
    </w:p>
    <w:p>
      <w:pPr>
        <w:jc w:val="both"/>
        <w:ind w:left="644" w:firstLine="4"/>
        <w:spacing w:after="0" w:line="252" w:lineRule="auto"/>
        <w:tabs>
          <w:tab w:leader="none" w:pos="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474" w:gutter="0" w:footer="0" w:header="0"/>
        </w:sectPr>
      </w:pPr>
    </w:p>
    <w:bookmarkStart w:id="72" w:name="page73"/>
    <w:bookmarkEnd w:id="72"/>
    <w:p>
      <w:pPr>
        <w:ind w:left="500" w:right="6040" w:hanging="316"/>
        <w:spacing w:after="0" w:line="500" w:lineRule="auto"/>
        <w:tabs>
          <w:tab w:leader="none" w:pos="500" w:val="left"/>
        </w:tabs>
        <w:numPr>
          <w:ilvl w:val="0"/>
          <w:numId w:val="8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3(f) of the Agreement: Party A makes the following representations:</w:t>
      </w:r>
    </w:p>
    <w:p>
      <w:pPr>
        <w:spacing w:after="0" w:line="1" w:lineRule="exact"/>
        <w:rPr>
          <w:rFonts w:ascii="Times New Roman" w:cs="Times New Roman" w:eastAsia="Times New Roman" w:hAnsi="Times New Roman"/>
          <w:sz w:val="18"/>
          <w:szCs w:val="18"/>
          <w:u w:val="single" w:color="auto"/>
          <w:color w:val="auto"/>
        </w:rPr>
      </w:pPr>
    </w:p>
    <w:p>
      <w:pPr>
        <w:ind w:left="840" w:hanging="332"/>
        <w:spacing w:after="0" w:line="282" w:lineRule="auto"/>
        <w:tabs>
          <w:tab w:leader="none" w:pos="8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national banking association organized and existing under the laws of the United States of America.</w:t>
      </w:r>
    </w:p>
    <w:p>
      <w:pPr>
        <w:spacing w:after="0" w:line="225"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exempt recipient under section 1.6049-4(c)(1)(ii)(M) of the United States Treasury Regulations.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Party B makes the following representations:</w:t>
      </w:r>
    </w:p>
    <w:p>
      <w:pPr>
        <w:spacing w:after="0" w:line="225" w:lineRule="exact"/>
        <w:rPr>
          <w:sz w:val="20"/>
          <w:szCs w:val="20"/>
          <w:color w:val="auto"/>
        </w:rPr>
      </w:pPr>
    </w:p>
    <w:p>
      <w:pPr>
        <w:ind w:left="840" w:hanging="332"/>
        <w:spacing w:after="0" w:line="282" w:lineRule="auto"/>
        <w:tabs>
          <w:tab w:leader="none" w:pos="8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161" w:lineRule="exact"/>
        <w:rPr>
          <w:rFonts w:ascii="Times New Roman" w:cs="Times New Roman" w:eastAsia="Times New Roman" w:hAnsi="Times New Roman"/>
          <w:sz w:val="18"/>
          <w:szCs w:val="18"/>
          <w:color w:val="auto"/>
        </w:rPr>
      </w:pPr>
    </w:p>
    <w:p>
      <w:pPr>
        <w:jc w:val="both"/>
        <w:ind w:left="500" w:hanging="316"/>
        <w:spacing w:after="0" w:line="254" w:lineRule="auto"/>
        <w:tabs>
          <w:tab w:leader="none" w:pos="50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w:t>
      </w:r>
      <w:r>
        <w:rPr>
          <w:rFonts w:ascii="Times New Roman" w:cs="Times New Roman" w:eastAsia="Times New Roman" w:hAnsi="Times New Roman"/>
          <w:sz w:val="18"/>
          <w:szCs w:val="18"/>
          <w:color w:val="auto"/>
        </w:rPr>
        <w:t>t. “Tax” and “Indemnifiable Tax”, each as defined in Section 14 of the Agreement, shall not include any U.S. federal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91" w:lineRule="exact"/>
        <w:rPr>
          <w:rFonts w:ascii="Times New Roman" w:cs="Times New Roman" w:eastAsia="Times New Roman" w:hAnsi="Times New Roman"/>
          <w:sz w:val="18"/>
          <w:szCs w:val="18"/>
          <w:u w:val="single" w:color="auto"/>
          <w:color w:val="auto"/>
        </w:rPr>
      </w:pPr>
    </w:p>
    <w:p>
      <w:pPr>
        <w:jc w:val="both"/>
        <w:ind w:left="500" w:hanging="316"/>
        <w:spacing w:after="0" w:line="254" w:lineRule="auto"/>
        <w:tabs>
          <w:tab w:leader="none" w:pos="50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HIRE Ac</w:t>
      </w:r>
      <w:r>
        <w:rPr>
          <w:rFonts w:ascii="Times New Roman" w:cs="Times New Roman" w:eastAsia="Times New Roman" w:hAnsi="Times New Roman"/>
          <w:sz w:val="18"/>
          <w:szCs w:val="18"/>
          <w:color w:val="auto"/>
        </w:rPr>
        <w:t>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“871(m) Protocol”),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91" w:lineRule="exact"/>
        <w:rPr>
          <w:rFonts w:ascii="Times New Roman" w:cs="Times New Roman" w:eastAsia="Times New Roman" w:hAnsi="Times New Roman"/>
          <w:sz w:val="18"/>
          <w:szCs w:val="18"/>
          <w:u w:val="single" w:color="auto"/>
          <w:color w:val="auto"/>
        </w:rPr>
      </w:pPr>
    </w:p>
    <w:p>
      <w:pPr>
        <w:jc w:val="both"/>
        <w:ind w:left="500" w:hanging="316"/>
        <w:spacing w:after="0" w:line="256" w:lineRule="auto"/>
        <w:tabs>
          <w:tab w:leader="none" w:pos="500" w:val="left"/>
        </w:tabs>
        <w:numPr>
          <w:ilvl w:val="0"/>
          <w:numId w:val="8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Party A shall provide to Party B a valid and duly executed U.S. Internal Revenue Service Form W-9 and Party B shall provide to Party A a valid and duly executed U.S. Internal Revenue Service Form W-9, or any successor thereto, (i) on or before the date of execution of this Confirmation; (ii) promptly upon reasonable demand by the other party; and (iii) promptly upon learning that any such tax form previously provided by Party A or Party B, respectively, has become invalid, obsolete, or incorrect. Additionally, each of Party A and Party B shall, promptly upon request by the other party, provide such other tax forms and documents requested by the other party.</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3" w:name="page74"/>
    <w:bookmarkEnd w:id="73"/>
    <w:p>
      <w:pPr>
        <w:ind w:left="324" w:hanging="324"/>
        <w:spacing w:after="0"/>
        <w:tabs>
          <w:tab w:leader="none" w:pos="3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The parties agree that (i) to the extent that prior to the date hereof all parties have adhered to the 2018 ISDA U.S. Resolution Stay Protocol (the “Protocol”), the terms of the Protocol are incorporated into and form a part of the Agreement, and for such purposes the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the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Party A shall be deemed a “Covered Entity” and Party B shall be deemed a “Counterparty Entity.” In the event that, after the date of the Agreement, all parties hereto become adhering parties to the Protocol, the terms of the Protocol will replace the terms of this paragraph. In the event of any inconsistencies between the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w:t>
      </w:r>
    </w:p>
    <w:p>
      <w:pPr>
        <w:spacing w:after="0" w:line="191"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3" w:lineRule="exact"/>
        <w:rPr>
          <w:sz w:val="20"/>
          <w:szCs w:val="20"/>
          <w:color w:val="auto"/>
        </w:rPr>
      </w:pPr>
    </w:p>
    <w:p>
      <w:pPr>
        <w:ind w:left="324" w:hanging="324"/>
        <w:spacing w:after="0"/>
        <w:tabs>
          <w:tab w:leader="none" w:pos="3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Forwards / Dealers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Party A acknowledges that Party B has entered or may enter in the future into one or more similar forward transactions for the Shares (each, an “Other Forward” and collectively, the “Other Forwards”) with one or more dealers, and/or affiliates thereof (each, an “Other Dealer” and collectively, the “Other Dealers”). Party A and Party B agree that if Party B designates a “Settlement Date” with respect to one or more Other Forwards for which “Cash Settlement” or “Net Share Settlement” is applicable, and the resulting “Unwind Period” for such Other Forwards coincides for any period of time with an Unwind Period for this Transaction (the “Overlap Unwind Period”), Party B shall notify Party A at least one Scheduled Trading Day prior to the commencement of such Overlap Unwind Period of the first Scheduled Trading Day and length of such Overlap Unwind Period, and Party A shall be permitted to purchase Shares to unwind its hedge in respect of this Transaction only on alternating Scheduled Trading Days during such Overlap Unwind Period, commencing on the first, second, third or later Scheduled Trading Day of such Overlap Unwind Period, as notified to Party A by Party B at least one Scheduled Trading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190"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signing and returning this Confirmation.</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Jake Mendelsohn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Name:Jake Mendelsohn</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[Signature Page to Forward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Gottfried</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Gottfried</w:t>
            </w:r>
          </w:p>
        </w:tc>
        <w:tc>
          <w:tcPr>
            <w:tcW w:w="5160" w:type="dxa"/>
            <w:vAlign w:val="bottom"/>
          </w:tcPr>
          <w:p>
            <w:pPr>
              <w:spacing w:after="0"/>
              <w:rPr>
                <w:sz w:val="16"/>
                <w:szCs w:val="16"/>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32"/>
        </w:trPr>
        <w:tc>
          <w:tcPr>
            <w:tcW w:w="800" w:type="dxa"/>
            <w:vAlign w:val="bottom"/>
          </w:tcPr>
          <w:p>
            <w:pPr>
              <w:spacing w:after="0"/>
              <w:rPr>
                <w:sz w:val="24"/>
                <w:szCs w:val="24"/>
                <w:color w:val="auto"/>
              </w:rPr>
            </w:pPr>
          </w:p>
        </w:tc>
        <w:tc>
          <w:tcPr>
            <w:tcW w:w="1044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rPr>
              <w:t>[Signature Page to Forward Confirmation]</w:t>
            </w:r>
          </w:p>
        </w:tc>
      </w:tr>
      <w:tr>
        <w:trPr>
          <w:trHeight w:val="432"/>
        </w:trPr>
        <w:tc>
          <w:tcPr>
            <w:tcW w:w="8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FORWARD PRICE REDUCTION DATES AND AMOUNTS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4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Forward Price Reduction Date</w:t>
            </w:r>
          </w:p>
        </w:tc>
        <w:tc>
          <w:tcPr>
            <w:tcW w:w="180" w:type="dxa"/>
            <w:vAlign w:val="bottom"/>
            <w:tcBorders>
              <w:bottom w:val="single" w:sz="8" w:color="CCEEFF"/>
            </w:tcBorders>
          </w:tcPr>
          <w:p>
            <w:pPr>
              <w:spacing w:after="0"/>
              <w:rPr>
                <w:sz w:val="24"/>
                <w:szCs w:val="24"/>
                <w:color w:val="auto"/>
              </w:rPr>
            </w:pPr>
          </w:p>
        </w:tc>
        <w:tc>
          <w:tcPr>
            <w:tcW w:w="484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Forward Price Reduction Amount</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60" w:type="dxa"/>
            <w:vAlign w:val="bottom"/>
          </w:tcPr>
          <w:p>
            <w:pPr>
              <w:spacing w:after="0"/>
              <w:rPr>
                <w:sz w:val="24"/>
                <w:szCs w:val="24"/>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Date</w:t>
            </w:r>
          </w:p>
        </w:tc>
        <w:tc>
          <w:tcPr>
            <w:tcW w:w="1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6/30/2026</w:t>
            </w:r>
          </w:p>
        </w:tc>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USD$</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2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9/30/2026</w:t>
            </w:r>
          </w:p>
        </w:tc>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USD$</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26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12/31/2026</w:t>
            </w:r>
          </w:p>
        </w:tc>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USD$</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2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3/31/2027</w:t>
            </w:r>
          </w:p>
        </w:tc>
        <w:tc>
          <w:tcPr>
            <w:tcW w:w="5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USD$</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260" w:type="dxa"/>
            <w:vAlign w:val="bottom"/>
          </w:tcPr>
          <w:p>
            <w:pPr>
              <w:spacing w:after="0"/>
              <w:rPr>
                <w:sz w:val="18"/>
                <w:szCs w:val="18"/>
                <w:color w:val="auto"/>
              </w:rPr>
            </w:pPr>
          </w:p>
        </w:tc>
      </w:tr>
      <w:tr>
        <w:trPr>
          <w:trHeight w:val="432"/>
        </w:trPr>
        <w:tc>
          <w:tcPr>
            <w:tcW w:w="3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5" w:lineRule="exact"/>
        <w:rPr>
          <w:sz w:val="20"/>
          <w:szCs w:val="20"/>
          <w:color w:val="auto"/>
        </w:rPr>
      </w:pPr>
    </w:p>
    <w:p>
      <w:pPr>
        <w:jc w:val="both"/>
        <w:ind w:left="640" w:hanging="632"/>
        <w:spacing w:after="0" w:line="251"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Party B delivers the Restricted Shares pursuant to this clause (i) (a “Private Placement Settlement”), then delivery of Restricted Shares by Party B shall be effected in customary private placement procedures with respect to such Restricted Shares reasonably acceptable to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or before the date that a Private Placement Settlement would occur, Party B has taken, or caused to be taken, any action that would make unavailable either the exemption pursuant to Section 4(a)(2) of the Securities Act for the sale by Party B to Party A (or any affiliate designated by Party A) of the Restricted Shares or the exemption pursuant to Section 4(a)(1) or Section 4(a)(3) of the Securities Act for resales of the Restricted Shares by Party A (or any such affiliate of Party A) or Party B fails to deliver the Restricted Shares when due or otherwise fails to perform obligations within its control in respect of a Private Placement Settlement, it shall be an Event of Default with respect to Party B and Section 6 of the Agreement shall apply. The Private Placement Settlement of such Restricted Shares shall include customary representations, covenants, blue sky and other governmental filings and/or registrations, indemnities to Party A, due diligence rights (for Party A or any designated buyer of the Restricted Shares by Party A), opinions and certificates, and such other documentation as is customary for private placement agreements, all reasonably acceptable to Party A. In the case of a Private Placement Settlement, Party A shall, in its good faith discretion, adjust the number of Restricted Shares to be delivered to Party A hereunder and/or the Forward Price in a commercially reasonable manner to reflect the fact that such Restricted Shares may not be freely returned to securities lenders by Party A and may only be saleable by Party A at a discount to reflect the lack of liquidity in Restricted Shares. Notwithstanding the Agreement or this Confirmation, the date of delivery of such Restricted Shares shall be the Clearance System Business Day following notice by Party A to Party B of the number of Restricted Shares to be delivered pursuant to this clause</w:t>
      </w:r>
    </w:p>
    <w:p>
      <w:pPr>
        <w:spacing w:after="0" w:line="11" w:lineRule="exact"/>
        <w:rPr>
          <w:rFonts w:ascii="Times New Roman" w:cs="Times New Roman" w:eastAsia="Times New Roman" w:hAnsi="Times New Roman"/>
          <w:sz w:val="18"/>
          <w:szCs w:val="18"/>
          <w:color w:val="auto"/>
        </w:rPr>
      </w:pPr>
    </w:p>
    <w:p>
      <w:pPr>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the avoidance of doubt, delivery of Restricted Shares shall be due as set forth in the previous sentence and not be due on the Settlement Date or Termination Settlement Date that would otherwise be applicable.</w:t>
      </w:r>
    </w:p>
    <w:p>
      <w:pPr>
        <w:spacing w:after="0" w:line="181"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delivers any Restricted Shares in respect of the Transaction, Party B agrees that (i) such Shares may be transferred by and among Party A and its affiliates and (ii) after the minimum holding period under Rule 144(d) under the Securities Act has elapsed after the applicable Settlement Date, Party B shall promptly remove, or cause the transfer agent for the Shares to remove, any legends referring to any transfer restrictions from such Shares upon delivery by Party A (or such affiliate of Party A) to Party B or such transfer agent of seller’s and broker’s representation letters customarily delivered by Party A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Party A (or such affiliate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b w:val="1"/>
          <w:bCs w:val="1"/>
          <w:color w:val="auto"/>
        </w:rPr>
        <w:t>Exhibit 1.3</w:t>
      </w:r>
    </w:p>
    <w:p>
      <w:pPr>
        <w:spacing w:after="0" w:line="21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June 9, 2026</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To:</w:t>
        <w:tab/>
        <w:t>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 Theodore Fremd Avenue,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New York, 10580</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From:</w:t>
        <w:tab/>
        <w:t>Jefferies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Registered Forward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letter agreement (this “Confirmation”) is to confirm the terms and conditions of the transaction entered into between us on the Trade Date specified below (the “Transaction”). This Confirmation constitutes a “Confirmation” as referred to in the ISDA Master Agreement specified below.</w:t>
      </w:r>
    </w:p>
    <w:p>
      <w:pPr>
        <w:spacing w:after="0" w:line="162" w:lineRule="exact"/>
        <w:rPr>
          <w:sz w:val="20"/>
          <w:szCs w:val="20"/>
          <w:color w:val="auto"/>
        </w:rPr>
      </w:pPr>
    </w:p>
    <w:p>
      <w:pPr>
        <w:jc w:val="both"/>
        <w:ind w:left="660" w:hanging="652"/>
        <w:spacing w:after="0" w:line="258"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and provisions contained in the 2006 ISDA Definitions (the “2006 Definitions”) and the 2002 ISDA Equity Derivatives Definitions (the “2002 Definitions” and, together with the 2006 Definitions, the “Definitions”), each as published by the International Swaps and Derivatives Association, Inc., are incorporated into this Confirmation. In the event of any inconsistency between the 2002 Definitions and the 2006 Definitions, the 2002 Definitions will govern. In the event of any inconsistency between the Definitions and this Confirmation, this Confirmation will govern.</w:t>
      </w:r>
    </w:p>
    <w:p>
      <w:pPr>
        <w:spacing w:after="0" w:line="183"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that this Confirmation and the Agreement (as defined below) together evidence a complete binding agreement between Party A and Party B as to the subject matter and terms of the Transaction to which this Confirmation relates, and shall supersede all prior or contemporaneous written or oral communications with respect thereto. This Confirmation, together with any other Confirmations for registered forward transactions entered into between Party A and Party B (each, an “Additional Confirmation”) shall supplement, form a part of, and be subject to an agreement in the form of the 2002 ISDA Master Agreement (the “Agreement”) as if Party A and Party B had executed an agreement in such form on the Trade Date with New York law (without regard to choice of law doctrine other than Title 14 of Article 5 of the New York General Obligations Law) as the governing law. In the event of any inconsistency between the Agreement, this Confirmation, the 2006 Definitions and the 2002 Definitions, the following will prevail for purposes of the Transaction in the order of precedence indicated: (i) this Confirmation; (ii) the 2002 Definitions; (iii) the 2006 Definitions and (iv) the Agreement. The parties hereby agree that no Transaction other than the Transaction to which this Confirmation relates and the Transactions to which the Additional Confirmations, if any, relate (each, an “Additional Transaction”), shall be governed by the Agreement. For purposes of the 2002 Definitions, the Transaction is a Share Forward Transaction.</w:t>
      </w:r>
    </w:p>
    <w:p>
      <w:pPr>
        <w:spacing w:after="0" w:line="19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Party A and Party B each represent to the other that it has entered into the Transaction in reliance upon such tax, accounting, regulatory, legal, and financial advice as it deems necessary and not upon any view expressed by the other.</w:t>
      </w:r>
    </w:p>
    <w:p>
      <w:pPr>
        <w:spacing w:after="0" w:line="162" w:lineRule="exact"/>
        <w:rPr>
          <w:sz w:val="20"/>
          <w:szCs w:val="20"/>
          <w:color w:val="auto"/>
        </w:rPr>
      </w:pPr>
    </w:p>
    <w:p>
      <w:pPr>
        <w:ind w:left="660" w:right="4160" w:hanging="652"/>
        <w:spacing w:after="0" w:line="500" w:lineRule="auto"/>
        <w:tabs>
          <w:tab w:leader="none" w:pos="68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particular Transaction to which this Confirmation relates are as follows: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Party A:</w:t>
            </w: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Jefferies LLC</w:t>
            </w:r>
          </w:p>
        </w:tc>
      </w:tr>
      <w:tr>
        <w:trPr>
          <w:trHeight w:val="432"/>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Party B:</w:t>
            </w: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Acadia Realty Trust</w:t>
            </w:r>
          </w:p>
        </w:tc>
      </w:tr>
      <w:tr>
        <w:trPr>
          <w:trHeight w:val="432"/>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Trade Date:</w:t>
            </w: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June 9, 2026</w:t>
            </w:r>
          </w:p>
        </w:tc>
      </w:tr>
      <w:tr>
        <w:trPr>
          <w:trHeight w:val="414"/>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Effective Date:</w:t>
            </w: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June 10, 2026, or such later date on which the conditions set forth in Section 3 under the</w:t>
            </w:r>
          </w:p>
        </w:tc>
      </w:tr>
      <w:tr>
        <w:trPr>
          <w:trHeight w:val="234"/>
        </w:trPr>
        <w:tc>
          <w:tcPr>
            <w:tcW w:w="3140" w:type="dxa"/>
            <w:vAlign w:val="bottom"/>
          </w:tcPr>
          <w:p>
            <w:pPr>
              <w:spacing w:after="0"/>
              <w:rPr>
                <w:sz w:val="20"/>
                <w:szCs w:val="20"/>
                <w:color w:val="auto"/>
              </w:rPr>
            </w:pP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heading “Conditions to Effectiveness” below have settled.</w:t>
            </w:r>
          </w:p>
        </w:tc>
      </w:tr>
      <w:tr>
        <w:trPr>
          <w:trHeight w:val="414"/>
        </w:trPr>
        <w:tc>
          <w:tcPr>
            <w:tcW w:w="3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Base Amount:</w:t>
            </w: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Initially, 2,100,000 Shares (the “Initial Number of Shares”); provided, however, that on each</w:t>
            </w:r>
          </w:p>
        </w:tc>
      </w:tr>
      <w:tr>
        <w:trPr>
          <w:trHeight w:val="216"/>
        </w:trPr>
        <w:tc>
          <w:tcPr>
            <w:tcW w:w="3140" w:type="dxa"/>
            <w:vAlign w:val="bottom"/>
          </w:tcPr>
          <w:p>
            <w:pPr>
              <w:spacing w:after="0"/>
              <w:rPr>
                <w:sz w:val="18"/>
                <w:szCs w:val="18"/>
                <w:color w:val="auto"/>
              </w:rPr>
            </w:pP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9"/>
              </w:rPr>
              <w:t>Settlement Date, the Base Amount shall be reduced by the number of Settlement Shares for such</w:t>
            </w:r>
          </w:p>
        </w:tc>
      </w:tr>
      <w:tr>
        <w:trPr>
          <w:trHeight w:val="234"/>
        </w:trPr>
        <w:tc>
          <w:tcPr>
            <w:tcW w:w="3140" w:type="dxa"/>
            <w:vAlign w:val="bottom"/>
          </w:tcPr>
          <w:p>
            <w:pPr>
              <w:spacing w:after="0"/>
              <w:rPr>
                <w:sz w:val="20"/>
                <w:szCs w:val="20"/>
                <w:color w:val="auto"/>
              </w:rPr>
            </w:pPr>
          </w:p>
        </w:tc>
        <w:tc>
          <w:tcPr>
            <w:tcW w:w="81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Settlement Date.</w:t>
            </w:r>
          </w:p>
        </w:tc>
      </w:tr>
      <w:tr>
        <w:trPr>
          <w:trHeight w:val="675"/>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Maturity Date: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earlier of (i) June 9, 2027 (or, if such date is not a Scheduled Trading Day, the next</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following Scheduled Trading Day) and (ii) the date on which the Base Amount is reduced to</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zero.</w:t>
            </w:r>
          </w:p>
        </w:tc>
      </w:tr>
      <w:tr>
        <w:trPr>
          <w:trHeight w:val="414"/>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Forward Price: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the Effective Date, the Initial Forward Price, and on any other day, the Forward Price as of</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the immediately preceding calendar day multiplied by the sum of (i) 1 and (ii) the Daily Rate for</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such day; provided that on each Forward Price Reduction Date, the Forward Price in effect on</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such date shall be the Forward Price otherwise in effect on such date, minus the Forward Price</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Reduction Amount for such Forward Price Reduction Date.</w:t>
            </w:r>
          </w:p>
        </w:tc>
      </w:tr>
      <w:tr>
        <w:trPr>
          <w:trHeight w:val="414"/>
        </w:trPr>
        <w:tc>
          <w:tcPr>
            <w:tcW w:w="3840" w:type="dxa"/>
            <w:vAlign w:val="bottom"/>
          </w:tcPr>
          <w:p>
            <w:pPr>
              <w:spacing w:after="0"/>
              <w:rPr>
                <w:sz w:val="24"/>
                <w:szCs w:val="24"/>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to the extent Party B delivers Shares</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hereunder on or after a Forward Price Reduction Date and at or before the record date for an</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ordinary cash dividend with an ex-dividend date corresponding to such Forward Price</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Reduction Date, the Calculation Agent shall adjust the Forward Price, in a good faith and</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commercially reasonable manner, to preserve the economic intent of the parties hereto (taking</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into account Party A’s commercially reasonable hedge positions in respect of the Transaction).</w:t>
            </w:r>
          </w:p>
        </w:tc>
      </w:tr>
      <w:tr>
        <w:trPr>
          <w:trHeight w:val="648"/>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Initial Forward Price: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USD 21.80 per Share</w:t>
            </w:r>
          </w:p>
        </w:tc>
      </w:tr>
      <w:tr>
        <w:trPr>
          <w:trHeight w:val="414"/>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Daily Rate: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any day, a rate equal to (i)(A) the Overnight Bank Rate for such day, minus (B) the Spread,</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divided by (ii) 360.</w:t>
            </w:r>
          </w:p>
        </w:tc>
      </w:tr>
      <w:tr>
        <w:trPr>
          <w:trHeight w:val="414"/>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Overnight Bank Rate: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Rate”, as such rate is displayed on the page “OBFR01 &lt;Index&gt; &lt;GO&gt;” on the BLOOMBERG</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Service, or any successor page; provided that, if no rate appears on any day on</w:t>
            </w:r>
          </w:p>
        </w:tc>
      </w:tr>
      <w:tr>
        <w:trPr>
          <w:trHeight w:val="216"/>
        </w:trPr>
        <w:tc>
          <w:tcPr>
            <w:tcW w:w="384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such page, the rate for the immediately preceding day for which a rate does so appear shall be</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used for such day.</w:t>
            </w:r>
          </w:p>
        </w:tc>
      </w:tr>
      <w:tr>
        <w:trPr>
          <w:trHeight w:val="432"/>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Spread:</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75 basis points.</w:t>
            </w:r>
          </w:p>
        </w:tc>
      </w:tr>
      <w:tr>
        <w:trPr>
          <w:trHeight w:val="432"/>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Prepayment:</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Variable Obligation:</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Forward Price Reduction Date: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Each date (other than the Trade Date) set forth on Schedule I under the heading “Forward Price</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Reduction Date.”</w:t>
            </w:r>
          </w:p>
        </w:tc>
      </w:tr>
      <w:tr>
        <w:trPr>
          <w:trHeight w:val="414"/>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Forward Price Reduction Amount:</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opposite such date on Schedule I.</w:t>
            </w:r>
          </w:p>
        </w:tc>
      </w:tr>
      <w:tr>
        <w:trPr>
          <w:trHeight w:val="414"/>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Shares:</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Common shares, USD 0.001 par value per share, of Party B (also referred to herein as the</w:t>
            </w:r>
          </w:p>
        </w:tc>
      </w:tr>
      <w:tr>
        <w:trPr>
          <w:trHeight w:val="234"/>
        </w:trPr>
        <w:tc>
          <w:tcPr>
            <w:tcW w:w="3840" w:type="dxa"/>
            <w:vAlign w:val="bottom"/>
          </w:tcPr>
          <w:p>
            <w:pPr>
              <w:spacing w:after="0"/>
              <w:rPr>
                <w:sz w:val="20"/>
                <w:szCs w:val="20"/>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“Issuer”) (Exchange identifier: “AKR”).</w:t>
            </w:r>
          </w:p>
        </w:tc>
      </w:tr>
      <w:tr>
        <w:trPr>
          <w:trHeight w:val="432"/>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Exchange:</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32"/>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Related Exchange(s):</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38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Clearance System:</w:t>
            </w:r>
          </w:p>
        </w:tc>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DTC.</w:t>
            </w:r>
          </w:p>
        </w:tc>
      </w:tr>
      <w:tr>
        <w:trPr>
          <w:trHeight w:val="675"/>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Calculation Agent:</w:t>
            </w: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Party  A.  In  the  event  the  Calculation  Agent  makes  any  calculations,  adjustments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determinations pursuant to this Confirmation, the Agreement or the Equity Definitions,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Calculation Agent shall promptly, upon written request from Party B, provide an explanation in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reasonable detail of the basis for any such calculation, adjustment or determination to Party B</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(including any quotations, market data or information from external sources used in making</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such calculation, adjustment or determination, as the case may be, but without disclosing its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proprietary models or other information that is subject to contractual, legal or regulatory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obligations to not disclose such information); provided that following the occurrence of an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Event of Default under Section 5(a)(vii) of the Agreement with respect to which Party A is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Defaulting Party, Party B shall have the right to designate a nationally recognized third-party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dealer in over-the-counter corporate equity derivatives to act, during the period commencing 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date such Event of Default occurred and ending on the Early Termination Date with respect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 such Event of Default, as the Calculation Agent. Whenever the Calculation Agent is required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or permitted to act or to exercise judgment in any way with respect to any Transaction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hereunder,  including,  without  limitation,  with  respect  to  calculations,  adjustments  and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determinations that are made in its sole discretion or otherwise, the Calculation Agent shall do</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so in good faith and in a commercially reasonable manner.</w:t>
            </w:r>
          </w:p>
        </w:tc>
      </w:tr>
      <w:tr>
        <w:trPr>
          <w:trHeight w:val="418"/>
        </w:trPr>
        <w:tc>
          <w:tcPr>
            <w:tcW w:w="66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79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461"/>
        </w:trPr>
        <w:tc>
          <w:tcPr>
            <w:tcW w:w="660" w:type="dxa"/>
            <w:vAlign w:val="bottom"/>
          </w:tcPr>
          <w:p>
            <w:pPr>
              <w:spacing w:after="0"/>
              <w:rPr>
                <w:sz w:val="24"/>
                <w:szCs w:val="24"/>
                <w:color w:val="auto"/>
              </w:rPr>
            </w:pP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Settlement Date:</w:t>
            </w: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Any Scheduled Trading Day following the Effective Date and up to and including the Maturity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Date, as designated by (a) Party A pursuant to “Termination Settlement” below or (b) Party B in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 written notice (a “Settlement Notice”) that satisfies the Settlement Notice Requirements and is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delivered to Party A at least (i) two Scheduled Trading Days prior to such Settlement Date,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which may be the Maturity Date, if Physical Settlement applies, and (ii) 20 Scheduled Trading</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Days prior to such Settlement Date, which may be the Maturity Date, if Cash Settlement or Net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Share Settlement applies; provided that (i) the Maturity Date shall be a Settlement Date if 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such date the Base Amount is greater than zero and (ii) if Cash Settlement or Net Share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Settlement applies and Party A shall have fully unwound its hedge during an Unwind Period by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 date that is more than two Scheduled Trading Days prior to a Settlement Date specified above,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Party A may, by written notice to Party B, specify any Scheduled Trading Day prior to such</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originally specified Settlement Date as the Settlement Date.</w:t>
            </w:r>
          </w:p>
        </w:tc>
      </w:tr>
      <w:tr>
        <w:trPr>
          <w:trHeight w:val="414"/>
        </w:trPr>
        <w:tc>
          <w:tcPr>
            <w:tcW w:w="660" w:type="dxa"/>
            <w:vAlign w:val="bottom"/>
          </w:tcPr>
          <w:p>
            <w:pPr>
              <w:spacing w:after="0"/>
              <w:rPr>
                <w:sz w:val="24"/>
                <w:szCs w:val="24"/>
                <w:color w:val="auto"/>
              </w:rPr>
            </w:pP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Settlement Shares:</w:t>
            </w: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With respect to any Settlement Date, a number of Shares, not to exceed the Base Amount,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designated as such by Party B in the related Settlement Notice or by Party A pursuant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“Termination Settlement” below; provided that on the Maturity Date the number of Settlement</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9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Shares shall be equal to the Base Amount on such date.</w:t>
            </w:r>
          </w:p>
        </w:tc>
      </w:tr>
      <w:tr>
        <w:trPr>
          <w:trHeight w:val="675"/>
        </w:trPr>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31"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Settlement:</w:t>
            </w: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Physical Settlement, Cash Settlement or Net Share Settlement, at the election of Party B as set</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forth in a Settlement Notice delivered on or after the Effective Date (if applicable) that satisfies</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Settlement Notice Requirements; provided that Physical Settlement shall apply (i) if no</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Settlement Method is validly selected, (ii) with respect to any Settlement Shares in respect of</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which Party A is unable, in its good faith and commercially reasonable judgment, to unwind its</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hedge for the Transaction by the end of the Unwind Period in a manner that, in the reasonable</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judgment of Party A, based on the advice of counsel, is consistent with Rule 10b-18 under the</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Act or due to the occurrence of Disrupted Days or to the lack of sufficient liquidity in</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Shares on any Exchange Business Day during the Unwind Period relative to the liquidity on</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Effective  Date,  (iii)  to  any  Termination  Settlement  Date  (as  defined  below  under</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“Termination Settlement”), (iv) if the Maturity Date is a Settlement Date other than as the result</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of a valid Settlement Notice in respect of such Settlement Date or (v) if Party B has entered into</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 additional Share Forward or other equity derivative transaction (each, an “Additional Equity</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Derivative Transaction”), Party A determines, based on the advice of counsel, that it is unable to</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unwind its hedge for the Transaction in a manner consistent with Rule 10b-18 under the</w:t>
            </w:r>
          </w:p>
        </w:tc>
      </w:tr>
      <w:tr>
        <w:trPr>
          <w:trHeight w:val="234"/>
        </w:trPr>
        <w:tc>
          <w:tcPr>
            <w:tcW w:w="3800" w:type="dxa"/>
            <w:vAlign w:val="bottom"/>
          </w:tcPr>
          <w:p>
            <w:pPr>
              <w:spacing w:after="0"/>
              <w:rPr>
                <w:sz w:val="20"/>
                <w:szCs w:val="20"/>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Exchange Act.</w:t>
            </w:r>
          </w:p>
        </w:tc>
      </w:tr>
      <w:tr>
        <w:trPr>
          <w:trHeight w:val="414"/>
        </w:trPr>
        <w:tc>
          <w:tcPr>
            <w:tcW w:w="3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Settlement Notice Requirements:</w:t>
            </w: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by Party B that</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specifies Cash Settlement or Net Share Settlement will not be effective unless the Settlement</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Notice includes a representation by Party B substantially in the form set forth in clause (i) below</w:t>
            </w:r>
          </w:p>
        </w:tc>
      </w:tr>
      <w:tr>
        <w:trPr>
          <w:trHeight w:val="234"/>
        </w:trPr>
        <w:tc>
          <w:tcPr>
            <w:tcW w:w="3800" w:type="dxa"/>
            <w:vAlign w:val="bottom"/>
          </w:tcPr>
          <w:p>
            <w:pPr>
              <w:spacing w:after="0"/>
              <w:rPr>
                <w:sz w:val="20"/>
                <w:szCs w:val="20"/>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under the heading “Representations, Warranties and Agreements of Party B”.</w:t>
            </w:r>
          </w:p>
        </w:tc>
      </w:tr>
      <w:tr>
        <w:trPr>
          <w:trHeight w:val="414"/>
        </w:trPr>
        <w:tc>
          <w:tcPr>
            <w:tcW w:w="3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Unwind Period:</w:t>
            </w: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period from and including the first Exchange Business Day following the date Party B</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provides Settlement Notice for a valid election of Cash Settlement or Net Share Settlement in</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respect of a Settlement Date through the first Scheduled Trading Day preceding such Settlement</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Date (or the immediately preceding Exchange Business Day if such Scheduled Trading Day is</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 an Exchange Business Day and excluding any Disrupted Day); subject to “Termination</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Settlement” below. If any Exchange Business Day during an Unwind Period is a Disrupted Day,</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Calculation Agent shall make commercially reasonable adjustments to the terms of the</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Transaction (including, without limitation, the Cash Settlement Amount, the number of Net</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 Settlement Shares and the 10b-18 VWAP) to account for the occurrence of such</w:t>
            </w:r>
          </w:p>
        </w:tc>
      </w:tr>
      <w:tr>
        <w:trPr>
          <w:trHeight w:val="234"/>
        </w:trPr>
        <w:tc>
          <w:tcPr>
            <w:tcW w:w="3800" w:type="dxa"/>
            <w:vAlign w:val="bottom"/>
          </w:tcPr>
          <w:p>
            <w:pPr>
              <w:spacing w:after="0"/>
              <w:rPr>
                <w:sz w:val="20"/>
                <w:szCs w:val="20"/>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Disrupted Day.</w:t>
            </w:r>
          </w:p>
        </w:tc>
      </w:tr>
      <w:tr>
        <w:trPr>
          <w:trHeight w:val="414"/>
        </w:trPr>
        <w:tc>
          <w:tcPr>
            <w:tcW w:w="3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Market Disruption Event:</w:t>
            </w: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6.3(a) of the 2002 Definitions is hereby amended by replacing the first sentence in its</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entirety with the following: “‘Market Disruption Event’ means in respect of a Share, the</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occurrence or existence of (i) a Trading Disruption, (ii) an Exchange Disruption, (iii) an Early</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Closure or (iv) a Regulatory Disruption, in each case, that the Calculation Agent determines in</w:t>
            </w:r>
          </w:p>
        </w:tc>
      </w:tr>
      <w:tr>
        <w:trPr>
          <w:trHeight w:val="216"/>
        </w:trPr>
        <w:tc>
          <w:tcPr>
            <w:tcW w:w="3800" w:type="dxa"/>
            <w:vAlign w:val="bottom"/>
          </w:tcPr>
          <w:p>
            <w:pPr>
              <w:spacing w:after="0"/>
              <w:rPr>
                <w:sz w:val="18"/>
                <w:szCs w:val="18"/>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its good faith and commercially reasonable manner, is material at any time during a Scheduled</w:t>
            </w:r>
          </w:p>
        </w:tc>
      </w:tr>
      <w:tr>
        <w:trPr>
          <w:trHeight w:val="234"/>
        </w:trPr>
        <w:tc>
          <w:tcPr>
            <w:tcW w:w="3800" w:type="dxa"/>
            <w:vAlign w:val="bottom"/>
          </w:tcPr>
          <w:p>
            <w:pPr>
              <w:spacing w:after="0"/>
              <w:rPr>
                <w:sz w:val="20"/>
                <w:szCs w:val="20"/>
                <w:color w:val="auto"/>
              </w:rPr>
            </w:pPr>
          </w:p>
        </w:tc>
        <w:tc>
          <w:tcPr>
            <w:tcW w:w="7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Trading Day.”</w:t>
            </w:r>
          </w:p>
        </w:tc>
      </w:tr>
      <w:tr>
        <w:trPr>
          <w:trHeight w:val="675"/>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31"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Early Closure:</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Section 6.3(d) of the 2002 Definitions is hereby amended by deleting the remainder of the</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provision following the term “Scheduled Closing Time” in the fourth line thereof.</w:t>
            </w:r>
          </w:p>
        </w:tc>
      </w:tr>
      <w:tr>
        <w:trPr>
          <w:trHeight w:val="414"/>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Regulatory Disruption:</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Any event that Party A, in its good faith and commercially reasonable discretion, based on</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advice of counsel, determines it appropriate with regard to any legal, regulatory or self-</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regulatory requirements or related policies and procedures (that apply broadly to similar</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transactions for other issuers) for Party A to refrain from or decrease any market activity in</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connection with the Transaction. Subject to applicable legal requirements and Party A’s internal</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policies and guidelines, Party A shall promptly notify Party B upon the occurrence of a</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Regulatory Disruption and shall subsequently promptly notify Party B on the day Party A</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determines that the circumstances giving rise to such Regulatory Disruption have changed.</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Party A shall make its determination of a Regulatory Disruption in a manner consistent with the</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determinations made with respect to other issuers under similar facts and circumstances..</w:t>
            </w:r>
          </w:p>
        </w:tc>
      </w:tr>
      <w:tr>
        <w:trPr>
          <w:trHeight w:val="432"/>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Exchange Act: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Securities Exchange Act of 1934, as amended from time to time</w:t>
            </w:r>
          </w:p>
        </w:tc>
      </w:tr>
      <w:tr>
        <w:trPr>
          <w:trHeight w:val="432"/>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Securities Act: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Securities Act of 1933, as amended from time to time.</w:t>
            </w:r>
          </w:p>
        </w:tc>
      </w:tr>
      <w:tr>
        <w:trPr>
          <w:trHeight w:val="414"/>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Physical Settlement: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On any Settlement Date in respect of which Physical Settlement applies, Party B shall deliver to</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Party A through the Clearance System the Settlement Shares for such Settlement Date, and</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Party A shall pay to Party B, by wire transfer of immediately available funds to an account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designated by Party B, an amount in cash equal to the Physical Settlement Amount for such</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Settlement Date, on a delivery versus payment basis. If, on any Settlement Date, the Shares to</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 delivered by Party B to Party A hereunder are not so delivered (the “Deferred Shares”), and a</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Forward Price Reduction Date occurs during the period from, and including, such Settlement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Date to, but excluding, the date such Shares are actually delivered to Party A, then the portion</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the Physical Settlement Amount payable by Party A to Party B in respect of the Deferred</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shall be reduced by an amount equal to the Forward Price Reduction Amount for such</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Forward Price Reduction Date, multiplied by the number of Deferred Shares.</w:t>
            </w:r>
          </w:p>
        </w:tc>
      </w:tr>
      <w:tr>
        <w:trPr>
          <w:trHeight w:val="414"/>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any Settlement Date in respect of which Physical Settlement applies, an amount in cash</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equal to the product of (i) the Forward Price on such Settlement Date and (ii) the number of</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Settlement Shares for such Settlement Date.</w:t>
            </w:r>
          </w:p>
        </w:tc>
      </w:tr>
      <w:tr>
        <w:trPr>
          <w:trHeight w:val="414"/>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Cash Settlement: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if the Cash Settlement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Amount for such Settlement Date is a positive number, Party A will pay such Cash Settlement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Amount to Party B. If the Cash Settlement Amount is a negative number, Party B will pay the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absolute value of such Cash Settlement Amount to Party A. Such amounts shall be paid on the</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Settlement Date by wire transfer of immediately available funds.</w:t>
            </w:r>
          </w:p>
        </w:tc>
      </w:tr>
      <w:tr>
        <w:trPr>
          <w:trHeight w:val="675"/>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31"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Cash Settlement Amount: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any Settlement Date in respect of which Cash Settlement applies, an amount determined by</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Calculation Agent equal to the difference between (1) the product of (i) the difference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between (A) the average Forward Price over the period beginning on, and including, the date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that is one Settlement Cycle following the first day of the applicable Unwind Period and ending</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on, and including, such Settlement Date (calculated assuming no reduction to the Forward Price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any Forward Price Reduction Date that occurs during the Unwind Period), minus USD</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0.015, and (B) the average of the 10b-18 VWAP prices per Share on each Exchange Business</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Day during such Unwind Period, and (ii) the number of Settlement Shares for such Settlement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Date, and (2) the product of (i) the Forward Price Reduction Amount for any Forward Price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Reduction Date that occurs during such Unwind Period, and (ii) the number of Settlement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with respect to which Party A has not unwound its hedge for the Transaction as of such</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Forward Price Reduction Date.</w:t>
            </w:r>
          </w:p>
        </w:tc>
      </w:tr>
      <w:tr>
        <w:trPr>
          <w:trHeight w:val="414"/>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Net Share Settlement:</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On any Settlement Date in respect of which Net Share Settlement applies, if the number of Net</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 Settlement Shares is a (i) negative number, Party A shall deliver a number of Shares to</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Party B equal to the absolute value of the Net Share Settlement Shares, or (ii) positive number,</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Party B shall deliver to Party A the Net Share Settlement Shares; provided that if Party A</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determines in its good faith and commercially reasonable judgment that it would be required to</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deliver Net Share Settlement Shares to Party B, Party A may elect to deliver a portion of such</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 Share Settlement Shares on one or more dates prior to the applicable Settlement Date.</w:t>
            </w:r>
          </w:p>
        </w:tc>
      </w:tr>
      <w:tr>
        <w:trPr>
          <w:trHeight w:val="414"/>
        </w:trPr>
        <w:tc>
          <w:tcPr>
            <w:tcW w:w="3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 any Settlement Date in respect of which Net Share Settlement applies, a number of Shares</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equal to (a) the number of Settlement Shares for such Settlement Date, minus (b) the quotient of</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 the difference between (1) the product of (i) the average Forward Price over the period</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beginning on, and including, the date that is one Settlement Cycle following the first day of the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applicable Unwind Period and ending on, and including, such Settlement Date (calculated</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assuming no reduction to the Forward Price for any Forward Price Reduction Date that occurs</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during the Unwind Period), minus USD 0.015, and (ii) the number of Settlement Shares for</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such Settlement Date, and (2) the product of (i) the Forward Price Reduction Amount for any</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Forward Price Reduction Date that occurs during such Unwind Period, and (ii) the number of</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 with respect to which Party A has not unwound its hedge as of such Forward Price</w:t>
            </w:r>
          </w:p>
        </w:tc>
      </w:tr>
      <w:tr>
        <w:trPr>
          <w:trHeight w:val="216"/>
        </w:trPr>
        <w:tc>
          <w:tcPr>
            <w:tcW w:w="3660" w:type="dxa"/>
            <w:vAlign w:val="bottom"/>
          </w:tcPr>
          <w:p>
            <w:pPr>
              <w:spacing w:after="0"/>
              <w:rPr>
                <w:sz w:val="18"/>
                <w:szCs w:val="18"/>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Reduction Date and (B) the average of the 10b-18 VWAP prices per Share on each Exchange</w:t>
            </w:r>
          </w:p>
        </w:tc>
      </w:tr>
      <w:tr>
        <w:trPr>
          <w:trHeight w:val="234"/>
        </w:trPr>
        <w:tc>
          <w:tcPr>
            <w:tcW w:w="3660" w:type="dxa"/>
            <w:vAlign w:val="bottom"/>
          </w:tcPr>
          <w:p>
            <w:pPr>
              <w:spacing w:after="0"/>
              <w:rPr>
                <w:sz w:val="20"/>
                <w:szCs w:val="20"/>
                <w:color w:val="auto"/>
              </w:rPr>
            </w:pPr>
          </w:p>
        </w:tc>
        <w:tc>
          <w:tcPr>
            <w:tcW w:w="7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Business Day during such Unwind Period.</w:t>
            </w:r>
          </w:p>
        </w:tc>
      </w:tr>
      <w:tr>
        <w:trPr>
          <w:trHeight w:val="675"/>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31"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10b-18 VWAP:</w:t>
            </w: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any Exchange Business Day during the Unwind Period which is not a Disrupted Day,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volume-weighted average price reported on the Bloomberg Page “AKR &lt;Equity&gt; AQR SEC”</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(or any successor thereto) for such Exchange Business Day; provided, however, that if such</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price is unavailable for an Exchange Business Day or the Calculation Agent determines that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such price does not correctly reflect the volume-weighted average price at which the Shares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trade as reported in the composite transactions for the Exchange on such Exchange Business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Day, excluding (i) trades that do not settle regular way, (ii) opening (regular way) reported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trades on the Exchange on such Exchange Business Day, (iii) trades that occur in the last ten</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minutes before the scheduled close of trading on the Exchange on such Exchange Business Day</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and ten minutes before the scheduled close of the primary trading session in the market where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trade is effected, and (iv) trades on such Exchange Business Day that do not satisfy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requirements of Rule 10b-18(b)(3), the Calculation Agent shall, in a good faith, commercially</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reasonable manner, determine the 10b-18 VWAP for such Exchange Business Day based on the</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criteria specified above in this proviso.</w:t>
            </w:r>
          </w:p>
        </w:tc>
      </w:tr>
      <w:tr>
        <w:trPr>
          <w:trHeight w:val="432"/>
        </w:trPr>
        <w:tc>
          <w:tcPr>
            <w:tcW w:w="660" w:type="dxa"/>
            <w:vAlign w:val="bottom"/>
          </w:tcPr>
          <w:p>
            <w:pPr>
              <w:spacing w:after="0"/>
              <w:rPr>
                <w:sz w:val="24"/>
                <w:szCs w:val="24"/>
                <w:color w:val="auto"/>
              </w:rPr>
            </w:pPr>
          </w:p>
        </w:tc>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Settlement Currency:</w:t>
            </w: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660" w:type="dxa"/>
            <w:vAlign w:val="bottom"/>
          </w:tcPr>
          <w:p>
            <w:pPr>
              <w:spacing w:after="0"/>
              <w:rPr>
                <w:sz w:val="24"/>
                <w:szCs w:val="24"/>
                <w:color w:val="auto"/>
              </w:rPr>
            </w:pPr>
          </w:p>
        </w:tc>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Failure to Deliver:</w:t>
            </w: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Inapplicable.</w:t>
            </w:r>
          </w:p>
        </w:tc>
      </w:tr>
      <w:tr>
        <w:trPr>
          <w:trHeight w:val="392"/>
        </w:trPr>
        <w:tc>
          <w:tcPr>
            <w:tcW w:w="660" w:type="dxa"/>
            <w:vAlign w:val="bottom"/>
          </w:tcPr>
          <w:p>
            <w:pPr>
              <w:spacing w:after="0"/>
              <w:rPr>
                <w:sz w:val="24"/>
                <w:szCs w:val="24"/>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7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Method of Adjustment:</w:t>
            </w: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14"/>
        </w:trPr>
        <w:tc>
          <w:tcPr>
            <w:tcW w:w="660" w:type="dxa"/>
            <w:vAlign w:val="bottom"/>
          </w:tcPr>
          <w:p>
            <w:pPr>
              <w:spacing w:after="0"/>
              <w:rPr>
                <w:sz w:val="24"/>
                <w:szCs w:val="24"/>
                <w:color w:val="auto"/>
              </w:rPr>
            </w:pPr>
          </w:p>
        </w:tc>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Additional Adjustment:</w:t>
            </w: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If, in Party A’s commercially reasonable judgment, the stock loan fee to Party A (or an affiliate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thereof), excluding the federal funds or other interest rate component payable by the relevant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stock lender to Party A or such affiliate (the “Stock Loan Fee”), over the immediately preceding</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one month period, of borrowing a number of Shares equal to the Base Amount to hedge its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exposure to the Transaction exceeds a weighted average rate equal to 25 basis points per annum,</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Calculation Agent shall reduce the Forward Price in order to compensate Party A for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amount by which the Stock Loan Fee exceeded a weighted average rate equal to 25 basis points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per annum during such period. The Calculation Agent shall notify Party B in writing prior to</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making any such adjustment to the Forward Price and, upon the request of Party B, Party A</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shall provide an itemized list in reasonable detail of the Stock Loan Fees for the applicable one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month period (including any quotations, market data or information from external sources used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 Party A in developing such list, but without disclosing its proprietary models or other</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information that is subject to contractual, legal or regulatory obligations to not disclose such</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information).</w:t>
            </w:r>
          </w:p>
        </w:tc>
      </w:tr>
      <w:tr>
        <w:trPr>
          <w:trHeight w:val="391"/>
        </w:trPr>
        <w:tc>
          <w:tcPr>
            <w:tcW w:w="660" w:type="dxa"/>
            <w:vAlign w:val="bottom"/>
          </w:tcPr>
          <w:p>
            <w:pPr>
              <w:spacing w:after="0"/>
              <w:rPr>
                <w:sz w:val="24"/>
                <w:szCs w:val="24"/>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Account Details:</w:t>
            </w:r>
          </w:p>
        </w:tc>
        <w:tc>
          <w:tcPr>
            <w:tcW w:w="1580" w:type="dxa"/>
            <w:vAlign w:val="bottom"/>
          </w:tcPr>
          <w:p>
            <w:pPr>
              <w:spacing w:after="0"/>
              <w:rPr>
                <w:sz w:val="24"/>
                <w:szCs w:val="24"/>
                <w:color w:val="auto"/>
              </w:rPr>
            </w:pPr>
          </w:p>
        </w:tc>
        <w:tc>
          <w:tcPr>
            <w:tcW w:w="778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2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Payments to Party A:</w:t>
            </w:r>
          </w:p>
        </w:tc>
        <w:tc>
          <w:tcPr>
            <w:tcW w:w="77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 Settlement Date</w:t>
            </w:r>
          </w:p>
        </w:tc>
      </w:tr>
      <w:tr>
        <w:trPr>
          <w:trHeight w:val="675"/>
        </w:trPr>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31" w:right="339" w:bottom="1440" w:gutter="0" w:footer="0" w:header="0"/>
        </w:sectPr>
      </w:pPr>
    </w:p>
    <w:bookmarkStart w:id="85" w:name="page86"/>
    <w:bookmarkEnd w:id="85"/>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Payments to Party B:</w:t>
            </w:r>
          </w:p>
        </w:tc>
        <w:tc>
          <w:tcPr>
            <w:tcW w:w="7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To be advised under separate cover or telephone confirmed prior to each Settlement Date</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Delivery of Shares to Party A:</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be</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advised.</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Delivery of Shares to Party B:</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be</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advised.</w:t>
            </w:r>
          </w:p>
        </w:tc>
      </w:tr>
    </w:tbl>
    <w:p>
      <w:pPr>
        <w:spacing w:after="0" w:line="200" w:lineRule="exact"/>
        <w:rPr>
          <w:sz w:val="20"/>
          <w:szCs w:val="20"/>
          <w:color w:val="auto"/>
        </w:rPr>
      </w:pPr>
    </w:p>
    <w:p>
      <w:pPr>
        <w:spacing w:after="0" w:line="214" w:lineRule="exact"/>
        <w:rPr>
          <w:sz w:val="20"/>
          <w:szCs w:val="20"/>
          <w:color w:val="auto"/>
        </w:rPr>
      </w:pPr>
    </w:p>
    <w:p>
      <w:pPr>
        <w:ind w:left="240" w:hanging="232"/>
        <w:spacing w:after="0"/>
        <w:tabs>
          <w:tab w:leader="none" w:pos="2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Confirmation and the Transaction shall be subject to the following conditions:</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Party B and Acadia Realty Limited Partnership (the “Partnership”) contained in the Underwriting Agreement dated the date hereof between Party B, the Partnership, Party A and the Underwriters party thereto (the “Underwriting Agreement”), and any certificate delivered pursuant thereto by Party B or the Partnership shall be true and correct on the Effective Date as if made as of the Effective Date;</w:t>
      </w:r>
    </w:p>
    <w:p>
      <w:pPr>
        <w:spacing w:after="0" w:line="17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Party B and the Partnership shall have performed all of the obligations required to be performed by it under the Underwriting Agreement on or prior to the Effective Date;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set forth in Section 6 of the Underwriting Agreement shall have been satisfied;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(as defined in the Underwriting Agreement) shall have occurred as provided in the Underwriting Agreement;</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Party B hereunder and under the Agreement shall be true and correct on the Effective Date as if made as of the Effective Date;</w:t>
      </w:r>
    </w:p>
    <w:p>
      <w:pPr>
        <w:spacing w:after="0" w:line="161"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performed all of the obligations required to be performed by it hereunder and under the Agreement on or prior to the Effective Date, including without limitation its obligations under Section 3(d)‎ hereof; and</w:t>
      </w:r>
    </w:p>
    <w:p>
      <w:pPr>
        <w:spacing w:after="0" w:line="162" w:lineRule="exact"/>
        <w:rPr>
          <w:sz w:val="20"/>
          <w:szCs w:val="20"/>
          <w:color w:val="auto"/>
        </w:rPr>
      </w:pPr>
    </w:p>
    <w:p>
      <w:pPr>
        <w:jc w:val="both"/>
        <w:ind w:left="1620" w:hanging="323"/>
        <w:spacing w:after="0" w:line="261" w:lineRule="auto"/>
        <w:rPr>
          <w:sz w:val="20"/>
          <w:szCs w:val="20"/>
          <w:color w:val="auto"/>
        </w:rPr>
      </w:pPr>
      <w:r>
        <w:rPr>
          <w:rFonts w:ascii="Times New Roman" w:cs="Times New Roman" w:eastAsia="Times New Roman" w:hAnsi="Times New Roman"/>
          <w:sz w:val="18"/>
          <w:szCs w:val="18"/>
          <w:color w:val="auto"/>
        </w:rPr>
        <w:t>(vii)Party B shall have delivered to Party A an opinion of counsel in form and substance reasonably satisfactory to Party A, with respect to the matters set forth in Section 3(a) of the Agreement and that the maximum number of Shares initially issuable hereunder have been duly authorized and, upon issuance pursuant to the terms of the Transaction, will be validly issued, fully paid and nonassessable.</w:t>
      </w:r>
    </w:p>
    <w:p>
      <w:pPr>
        <w:spacing w:after="0" w:line="18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Confirmation, if (x) on or prior to 9:00 a.m., New York City time, on the date the Closing Date (as defined in the Underwriting Agreement) is scheduled to occur, in connection with establishing its commercially reasonable hedge position Party A, in its sole judgment, is unable, after using commercially reasonable efforts, to borrow and deliver for sale the Initial Number of Shares or (y) in Party A’s sole judgment, it would incur a stock loan cost of more than 200 basis points per annum with respect to all or any portion of the Initial Number of Shares (in each case, an “Initial Hedging Disruption”), the effectiveness of this Confirmation and the Transaction shall be limited to the number of Shares Party A is so able to borrow in connection with establishing its commercially reasonable hedge position at a cost of not more than 200 basis points per annum (such number of Shares, the “Reduced Number of Shares”), which, for the avoidance of doubt, may be zero.</w:t>
      </w:r>
    </w:p>
    <w:p>
      <w:pPr>
        <w:spacing w:after="0" w:line="192"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and acknowledges that the Transaction is being entered into in accordance with the October 9, 2003 interpretive letter from the staff of the Securities and Exchange Commission to Goldman, Sachs &amp; Co. (the “Interpretive Letter”). Party B represents that it is eligible to conduct a primary offering of Shares on Form S-3 and that the offering contemplated complies with Rule 415 under the Securities Act.</w:t>
      </w:r>
    </w:p>
    <w:p>
      <w:pPr>
        <w:spacing w:after="0" w:line="17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 of Party B</w:t>
      </w:r>
      <w:r>
        <w:rPr>
          <w:rFonts w:ascii="Times New Roman" w:cs="Times New Roman" w:eastAsia="Times New Roman" w:hAnsi="Times New Roman"/>
          <w:sz w:val="18"/>
          <w:szCs w:val="18"/>
          <w:color w:val="auto"/>
        </w:rPr>
        <w:t>: Party B hereby represents and warrants to, and agrees with, Party A as of the date hereof that: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2" w:lineRule="auto"/>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represents to Party A on the Trade Date and on any date that Party B notifies Party A that Cash Settlement or Net Share Settlement applies to this Transaction, that (A) Party B is not aware of any material nonpublic information regarding Party B or the Shares, (B) each of its filings under the Securities Act, the Exchange Act or other applicable securities laws that were required to be filed have been filed in the prior 12 months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Party B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Party B agrees not to designate, or to appropriately rescind or modify a prior designation of, any Settlement Date if it is notified by Party A that, in the reasonable determination of Party A, based on advice of counsel, such settlement or Party A’s related market activity in respect of such date would result in a violation of any applicable federal or state law or regulation, including the U.S. federal securities laws.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447" w:gutter="0" w:footer="0" w:header="0"/>
        </w:sectPr>
      </w:pPr>
    </w:p>
    <w:bookmarkStart w:id="86" w:name="page87"/>
    <w:bookmarkEnd w:id="86"/>
    <w:p>
      <w:pPr>
        <w:ind w:left="840" w:hanging="656"/>
        <w:spacing w:after="0" w:line="282"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when issued and delivered in accordance with the terms of the Transaction, will be duly authorized and validly issued, fully paid and nonassessable, and the issuance thereof will not be subject to any preemptive or similar rights.</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reserved and will keep available at all times, free from preemptive rights, out of its authorized but unissued Shares, solely for the purpose of issuance upon settlement of the Transaction as herein provided, the maximum number of Shares as shall be issuable at such time upon settlement of the Transaction as set forth below under the heading “Maximum Share Delivery”. All Shares so issuable shall, upon such issuance, be accepted for listing or quotation on the Exchange.</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provide Party A prior written notice (an “Issuer Repurchase Notice”) prior to executing any repurchase of Shares by Party B or any of its subsidiaries (or entering into any contract that would require, or give the option to, Party B or any of its subsidiaries, to purchase or repurchase Shares), whether out of profits or capital or whether the consideration for such repurchase is cash, securities or otherwise (an “Issuer Repurchase”), that alone or in the aggregate would result in the Base Amount Percentage (as defined below) being (i) equal to or greater than 4.5% of the outstanding Shares or (ii) greater by 0.5% or more than the Base Amount Percentage at the time of the immediately preceding Issuer Repurchase Notice (or in the case of the first such Issuer Repurchase Notice, greater than the Base Amount Percentage as of the later of the date hereof or the immediately preceding Settlement Date, if any). The “Base Amount Percentage” as of any day is the fraction (1) the numerator of which is the aggregate of the Base Amount and each “Base Amount” (as defined in the applicable Additional Confirmation and any Additional Equity Derivative Transaction) under any outstanding Additional Transactions and (2) the denominator of which is the number of Shares outstanding on such day.</w:t>
      </w:r>
    </w:p>
    <w:p>
      <w:pPr>
        <w:spacing w:after="0" w:line="19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Party B of this Confirmation and the consummation of the Transaction (including, without limitation, the issuance and delivery of Shares on any Settlement Date) except (i) such as have been obtained under the Securities Act, and (ii) as may be required to be obtained under state securities laws.</w:t>
      </w:r>
    </w:p>
    <w:p>
      <w:pPr>
        <w:spacing w:after="0" w:line="183"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not to make any Issuer Repurchase if, immediately following such Issuer Repurchase, the Base Amount Percentage would be equal to or greater than 4.9%.</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insolvent, nor will Party B be rendered insolvent as a result of the Transaction.</w:t>
      </w:r>
    </w:p>
    <w:p>
      <w:pPr>
        <w:spacing w:after="0" w:line="225"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B nor any of its affiliated purchasers shall take any action (including, without limitation, any direct purchases by Party B or any of its affiliated purchasers or any purchases by a party to a derivative transaction with Party B or any of its affiliated purchasers), either under this Confirmation, under an agreement with another party or otherwise, that in the reasonable judgment of Party B is reasonably likely to cause any purchases of Shares by Party A or any of its affiliates in connection with any Cash Settlement or Net Share Settlement of the Transaction not to meet the conditions of the safe harbor provided by Rule 10b-18 under the Exchange Act if such purchases were made by Party B.</w:t>
      </w:r>
    </w:p>
    <w:p>
      <w:pPr>
        <w:spacing w:after="0" w:line="187"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engage in any “distribution” (as defined in Regulation M under the Exchange Act (“Regulation M”)) that would cause a “restricted period” (as defined in Regulation M) to occur during any Unwind Period.</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7" w:name="page88"/>
    <w:bookmarkEnd w:id="87"/>
    <w:p>
      <w:pPr>
        <w:jc w:val="both"/>
        <w:ind w:left="840" w:hanging="656"/>
        <w:spacing w:after="0" w:line="261" w:lineRule="auto"/>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179"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w:t>
      </w:r>
    </w:p>
    <w:p>
      <w:pPr>
        <w:spacing w:after="0" w:line="225" w:lineRule="exact"/>
        <w:rPr>
          <w:rFonts w:ascii="Times New Roman" w:cs="Times New Roman" w:eastAsia="Times New Roman" w:hAnsi="Times New Roman"/>
          <w:sz w:val="18"/>
          <w:szCs w:val="18"/>
          <w:color w:val="auto"/>
        </w:rPr>
      </w:pPr>
    </w:p>
    <w:p>
      <w:pPr>
        <w:ind w:left="11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during the term of the Transaction, Party A and its Affiliates may buy or sell Shares or other securities or buy or sell options or futures contracts or enter into swaps or other derivative securities in order to establish, adjust or unwind its hedge position with respect to the Transaction;</w:t>
      </w:r>
    </w:p>
    <w:p>
      <w:pPr>
        <w:spacing w:after="0" w:line="175" w:lineRule="exact"/>
        <w:rPr>
          <w:rFonts w:ascii="Times New Roman" w:cs="Times New Roman" w:eastAsia="Times New Roman" w:hAnsi="Times New Roman"/>
          <w:sz w:val="18"/>
          <w:szCs w:val="18"/>
          <w:color w:val="auto"/>
        </w:rPr>
      </w:pPr>
    </w:p>
    <w:p>
      <w:pPr>
        <w:ind w:left="11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Party A and its Affiliates may also be active in the market for the Shares and Share-linked transactions other than in connection with hedging activities in relation to the Transaction;</w:t>
      </w:r>
    </w:p>
    <w:p>
      <w:pPr>
        <w:spacing w:after="0" w:line="161" w:lineRule="exact"/>
        <w:rPr>
          <w:rFonts w:ascii="Times New Roman" w:cs="Times New Roman" w:eastAsia="Times New Roman" w:hAnsi="Times New Roman"/>
          <w:sz w:val="18"/>
          <w:szCs w:val="18"/>
          <w:color w:val="auto"/>
        </w:rPr>
      </w:pPr>
    </w:p>
    <w:p>
      <w:pPr>
        <w:ind w:left="11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Party A shall make its own determination as to whether, when or in what manner any hedging or market activities in Party B’s securities shall be conducted and shall do so in a manner that it deems appropriate to hedge its price and market risk with respect to the Forward Price and the 10b-18 VWAP;</w:t>
      </w:r>
    </w:p>
    <w:p>
      <w:pPr>
        <w:spacing w:after="0" w:line="175" w:lineRule="exact"/>
        <w:rPr>
          <w:rFonts w:ascii="Times New Roman" w:cs="Times New Roman" w:eastAsia="Times New Roman" w:hAnsi="Times New Roman"/>
          <w:sz w:val="18"/>
          <w:szCs w:val="18"/>
          <w:color w:val="auto"/>
        </w:rPr>
      </w:pPr>
    </w:p>
    <w:p>
      <w:pPr>
        <w:ind w:left="116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any market activities of Party A and its Affiliates with respect to the Shares may affect the market price and volatility of the Shares, as well as the Forward Price and 10b-18 VWAP, each in a manner that may be adverse to Party B; and</w:t>
      </w:r>
    </w:p>
    <w:p>
      <w:pPr>
        <w:spacing w:after="0" w:line="161" w:lineRule="exact"/>
        <w:rPr>
          <w:rFonts w:ascii="Times New Roman" w:cs="Times New Roman" w:eastAsia="Times New Roman" w:hAnsi="Times New Roman"/>
          <w:sz w:val="18"/>
          <w:szCs w:val="18"/>
          <w:color w:val="auto"/>
        </w:rPr>
      </w:pPr>
    </w:p>
    <w:p>
      <w:pPr>
        <w:ind w:left="116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the Transaction is a derivatives transaction in which it has granted Party A the right, under certain circumstances, to receive cash or Shares, as the case may be; Party A may purchase Shares for its own account at an average price that may be greater than, or less than, the effective price paid by Party B under the terms of the Transaction.</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Party B do not constitute “plan assets” under the Employee Retirement Income Security Act of 1974, as amended, the Department of Labor Regulations promulgated thereunder or similar law.</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at least one day prior to the first day of any Unwind Period, notify Party A of the total number of Shares purchased in Rule 10b-18 purchases of blocks pursuant to the once-a-week block exception contained in Rule 10b-18(b)(4) by or for Party B or any of its affiliated purchasers during each of the four calendar weeks preceding the first day of the Unwind Period and during the calendar week in which the first day of the Unwind Period occurs (“Rule 10b-18 purchase”, “blocks” and “affiliated purchaser” each being used as defined in Rule 10b-18).</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Unwind Period, Party B shall (i) notify Party A prior to the opening of trading in the Shares on any day on which Party B makes, or expects to be made, any public announcement (as defined in Rule 165(f) under the Securities Act) of any merger, acquisition, or similar transaction involving a recapitalization relating to Party B (other than any such transaction in which the consideration consists solely of cash and there is no valuation period), (ii) promptly notify Party A following any such announcement that such announcement has been made, and (iii) promptly deliver to Party A following the making of any such announcement information indicating (A) Party B’s average daily Rule 10b-18 purchases (as defined in Rule 10b-18) during the three full calendar months preceding the date of the announcement of such transaction and (B) Party B’s block purchases (as defined in Rule 10b-18) effected pursuant to paragraph (b)(4) of Rule 10b-18 during the three full calendar months preceding the date of the announcement of such transaction. In addition, Party B shall promptly notify Party A of the earlier to occur of the completion of such transaction and the completion of the vote by target shareholders.</w:t>
      </w:r>
    </w:p>
    <w:p>
      <w:pPr>
        <w:spacing w:after="0" w:line="194"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2002 Definitions, Party B acknowledges that Party A is not making any representations or warranties or taking any position or expressing any view with respect to the treatment of the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8" w:name="page89"/>
    <w:bookmarkEnd w:id="88"/>
    <w:p>
      <w:pPr>
        <w:ind w:left="1304" w:hanging="656"/>
        <w:spacing w:after="0" w:line="282"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understands no obligations of Party A to it hereunder will be entitled to the benefit of deposit insurance and that such obligations will not be guaranteed by any affiliate of Party A or any governmental agency.</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federal, state or local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other than Sections 13 and 16 under the Exchange Act.</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knowledge of the occurrence of any event that would constitute an Event of Default or Potential Event of Default, Party B will so notify Party A in writing within one Scheduled Trading Day.</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has such knowledge and experience in financial and business affairs as to be capable of evaluating the merits and risks of entering into the Transaction, (ii) has consulted with its own legal, financial, accounting and tax advisors in connection with the Transaction and (iii) is entering into the Transaction for a bona fide business purpose.</w:t>
      </w:r>
    </w:p>
    <w:p>
      <w:pPr>
        <w:spacing w:after="0" w:line="17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has not been the subject of any civil proceeding of a judicial or administrative body of competent jurisdiction that could reasonably be expected to impair materially Party B’s ability to perform its obligations hereunder.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positions of Party B’s common stock held by Party A or any of its affiliates solely in its capacity as a nominee or fiduciary do not constitute “beneficial ownership” or “direct or indirect ownership” Party A for the purposes of Article VI of the Declaration of Trust of Party B, as amended (the “Articles”), including without limitation Section 6.6 thereof.</w:t>
      </w:r>
    </w:p>
    <w:p>
      <w:pPr>
        <w:spacing w:after="0" w:line="176" w:lineRule="exact"/>
        <w:rPr>
          <w:sz w:val="20"/>
          <w:szCs w:val="20"/>
          <w:color w:val="auto"/>
        </w:rPr>
      </w:pPr>
    </w:p>
    <w:p>
      <w:pPr>
        <w:ind w:left="324" w:hanging="324"/>
        <w:spacing w:after="0"/>
        <w:tabs>
          <w:tab w:leader="none" w:pos="3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Party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Subject to the circumstances described under “Private Placement Procedures”, Party B acknowledges and agrees that any Shares delivered by Party B to Party A on any Settlement Date will be newly issued Shares and when delivered by Party A (or an affiliate of Party A) to securities lenders from whom Party A (or an affiliate of Party A) borrowed Shares in connection with hedging its exposure to the Transaction will be freely saleable without further registration or other restrictions under the Securities Act, in the hands of those securities lenders, irrespective of whether such stock loan is effected by Party A or an affiliate of Party A. Accordingly, Party B agrees that the Shares that it delivers to Party A on each Settlement Date will not bear a restrictive legend and that such Shares will be deposited in, and the delivery thereof shall be effected through the facilities of, the Clearance System.</w:t>
      </w:r>
    </w:p>
    <w:p>
      <w:pPr>
        <w:spacing w:after="0" w:line="189" w:lineRule="exact"/>
        <w:rPr>
          <w:sz w:val="20"/>
          <w:szCs w:val="20"/>
          <w:color w:val="auto"/>
        </w:rPr>
      </w:pPr>
    </w:p>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Party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shall be applicable, Party A shall use any Shares delivered by Party B to Party A on any Settlement Date to return to securities lenders to close out open Share loans created by Party A or an affiliate of Party A in the course of Party A’s or such affiliate’s hedging activities related to Party A’s exposure under this Confirmation.</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the Transaction, Party A shall use good faith efforts to conduct its activities, or cause its affiliates to conduct their activities, in a manner consistent with the requirements of the safe harbor provided by Rule 10b-18 under the Exchange Act, as if such provisions were applicable to such purchases aggregated with any analogous purchases occurring on the same day under any Additional Transaction.</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Deadline for Designating an Early Termination Date and Payment Suspension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either party provides notice to the other party that there has occurred (1) an Event of Default as to which Party B is the Defaulting Party; (2) a Potential Event of Default with respect to Party B or (3) a Termination Event as to which Party B is the sole Affected Party, then, notwithstanding Section 9(f) of the Agreement and unless Party A and Party B otherwise agree in writing, after 30 calendar days have elapsed following such notice, (i) Party A shall have no further right to designate an Early Termination Date by reason of the aforementioned Event of Default or Termination Event and (ii) the aforementioned Event of Default or Potential Event of Default shall be deemed to cease to be continuing for the purposes of Section 2(a)(iii)(1) of the Agreement. Party A hereby agrees to provide any notice referred to in the preceding sentence as promptly as practicable after it determines, acting in good faith, that the aforementioned Event of Default, Potential Event of Default or Termination Event has occurred.</w:t>
      </w:r>
    </w:p>
    <w:p>
      <w:pPr>
        <w:spacing w:after="0" w:line="1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9" w:name="page90"/>
    <w:bookmarkEnd w:id="89"/>
    <w:p>
      <w:pPr>
        <w:ind w:left="324" w:hanging="324"/>
        <w:spacing w:after="0"/>
        <w:tabs>
          <w:tab w:leader="none" w:pos="3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in the Agreement, in the 2006 Definitions or in the 2002 Definitions, upon any Insolvency Filing in respect of the Issuer, the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w:t>
      </w:r>
    </w:p>
    <w:p>
      <w:pPr>
        <w:spacing w:after="0" w:line="180" w:lineRule="exact"/>
        <w:rPr>
          <w:sz w:val="20"/>
          <w:szCs w:val="20"/>
          <w:color w:val="auto"/>
        </w:rPr>
      </w:pPr>
    </w:p>
    <w:p>
      <w:pPr>
        <w:ind w:left="324" w:hanging="324"/>
        <w:spacing w:after="0"/>
        <w:tabs>
          <w:tab w:leader="none" w:pos="32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If an ex-dividend date for an Extraordinary Dividend occurs on or after the Trade Date and on or prior to the Maturity Date (or, if later, the last date on which Shares are delivered by Party B to Party A in settlement of the Transaction), Party B shall pay an amount in cash equal to the product of such Extraordinary Dividend and the Base Amount to Party A on the earlier of (i) the date on which such Extraordinary Dividend is paid by the Issuer to holders of record of the Shares or (ii) the Maturity Date. “Extraordinary Dividend” means the per Share amount of any cash dividend or distribution declared by the Issuer with respect to the Shares that is specified by the board of directors of the Issuer as an “extraordinary” dividend.</w:t>
      </w:r>
    </w:p>
    <w:p>
      <w:pPr>
        <w:spacing w:after="0" w:line="187" w:lineRule="exact"/>
        <w:rPr>
          <w:sz w:val="20"/>
          <w:szCs w:val="20"/>
          <w:color w:val="auto"/>
        </w:rPr>
      </w:pPr>
    </w:p>
    <w:p>
      <w:pPr>
        <w:ind w:left="324" w:hanging="324"/>
        <w:spacing w:after="0"/>
        <w:tabs>
          <w:tab w:leader="none" w:pos="32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each constitute an “Acceleration Event”: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Events</w:t>
      </w:r>
      <w:r>
        <w:rPr>
          <w:rFonts w:ascii="Times New Roman" w:cs="Times New Roman" w:eastAsia="Times New Roman" w:hAnsi="Times New Roman"/>
          <w:sz w:val="18"/>
          <w:szCs w:val="18"/>
          <w:color w:val="auto"/>
        </w:rPr>
        <w:t>. In the good faith and commercially reasonable judgment of Party A (i) Party A (or its affiliate) is unable, after using commercially reasonable efforts, to hedge its exposure to the Transaction because of the lack of sufficient Shares being made available for Share borrowing by lenders, or (ii) Party A (or its affiliate) would incur a Stock Loan Fee to borrow a number of Shares equal to the Base Amount of more than a rate of 200 basis points per annum (each, a “Stock Borrow Event”);</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On any day occurring after the Trade Date Party B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only) to but excluding the next subsequent Forward Price Reduction Date exceeds, on a per Share basis, the Forward Price Reduction Amount set forth opposite the first date of any such period on Schedule I, (ii) share capital or securities of another issuer acquired or owned (directly or indirectly) by Party B as a result of a spin-off or other similar transaction or (iii) any other type of securities (other than Shares), rights or warrants or other assets, for payment (cash or other consideration) at less than the prevailing market price as determined by Party A;</w:t>
      </w:r>
    </w:p>
    <w:p>
      <w:pPr>
        <w:spacing w:after="0" w:line="19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ISDA Early Termination Date</w:t>
      </w:r>
      <w:r>
        <w:rPr>
          <w:rFonts w:ascii="Times New Roman" w:cs="Times New Roman" w:eastAsia="Times New Roman" w:hAnsi="Times New Roman"/>
          <w:sz w:val="18"/>
          <w:szCs w:val="18"/>
          <w:color w:val="auto"/>
        </w:rPr>
        <w:t>. Party A notifies Party B that Party A has designated an Early Termination Date pursuant to Section 6 of the Agreement;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The public announcement of any event that if consummated would result in an Extraordinary Event or the occurrence of any Change in Law or a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12.6(a)(iii) of the 2002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definition of “Change in Law” provided in Section 12.9(a)(ii) of the 2002 Definitions is hereby amended by (i) replacing the phrase “the interpretation” in the third line thereof with the phrase “, or public announcement of, the formal or informal interpretation” and</w:t>
      </w:r>
    </w:p>
    <w:p>
      <w:pPr>
        <w:spacing w:after="0" w:line="2" w:lineRule="exact"/>
        <w:rPr>
          <w:rFonts w:ascii="Times New Roman" w:cs="Times New Roman" w:eastAsia="Times New Roman" w:hAnsi="Times New Roman"/>
          <w:sz w:val="18"/>
          <w:szCs w:val="18"/>
          <w:color w:val="auto"/>
        </w:rPr>
      </w:pPr>
    </w:p>
    <w:p>
      <w:pPr>
        <w:jc w:val="both"/>
        <w:ind w:left="1304" w:hanging="8"/>
        <w:spacing w:after="0" w:line="255" w:lineRule="auto"/>
        <w:tabs>
          <w:tab w:leader="none" w:pos="1586"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parenthetical beginning after the word “regulation” in the second line thereof the words “(including, for the avoidance of doubt and without limitation, (x) any tax law or (y) adoption, effectiveness or promulgation of new regulations authorized or mandated by existing statute)”; or</w:t>
      </w:r>
    </w:p>
    <w:p>
      <w:pPr>
        <w:spacing w:after="0" w:line="18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w:t>
      </w:r>
      <w:r>
        <w:rPr>
          <w:rFonts w:ascii="Times New Roman" w:cs="Times New Roman" w:eastAsia="Times New Roman" w:hAnsi="Times New Roman"/>
          <w:sz w:val="18"/>
          <w:szCs w:val="18"/>
          <w:color w:val="auto"/>
        </w:rPr>
        <w:t>t. In the reasonable judgment of Party A, on any day, the Share Amount for such day exceeds the Applicable Share Limit for such day (if any applies).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0" w:name="page91"/>
    <w:bookmarkEnd w:id="90"/>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clause (e) above, the “Share Amount” as of any day is the number of Shares that Party A and any person whose ownership position would be aggregated with that of Party A (Party A or any such person, a “Party A Person”) under any law, rule, regulation, regulatory order or organizational documents or contracts of Party B (including without limitation Article VI of the Articles) that are, in each case, applicable to ownership of Shares (“Applicable Restrictions”), owns, beneficially owns, constructively owns, controls, holds the power to vote or otherwise meets a relevant definition of ownership under any Applicable Restriction, as determined by Party A in its reasonable discretion. The “Applicable Share Limit” means a number of Shares equal to (A) the minimum number of Shares that could give rise to reporting or registration obligations or other requirements (including obtaining prior approval from any person or entity) other than pursuant to the Exchange Act of a Party A Person, or could reasonably be expected to result in an adverse effect on a Party A Person, under any Applicable Restriction, as determined by Party A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94" w:lineRule="exact"/>
        <w:rPr>
          <w:sz w:val="20"/>
          <w:szCs w:val="20"/>
          <w:color w:val="auto"/>
        </w:rPr>
      </w:pPr>
    </w:p>
    <w:p>
      <w:pPr>
        <w:ind w:left="324" w:hanging="324"/>
        <w:spacing w:after="0"/>
        <w:tabs>
          <w:tab w:leader="none" w:pos="32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Settlemen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 xml:space="preserve">Upon the occurrence of any Acceleration Event, Party A shall have the right to designate, upon at least two Scheduled Trading Days’ notice, any Scheduled Trading Day following such occurrence to be a Settlement Date hereunder (a “Termination Settlement Date”) to which Physical Settlement shall apply, and to select the number of Settlement Shares relating to such Termination Settlement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in the case of an Acceleration Event arising out of an Ownership Event, the number of Settlement Shares so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Party A shall not exceed the number of Shares necessary to reduce the Share Amount to the Applicable Share Limit and (ii) in the case of an Acceleration Event arising out of a Stock Borrow Event the number of Settlement Shares so designated by Party A shall not exceed the number of Shares as to which such Stock Borrow Event exists. If, upon designation of a Termination Settlement Date by Party A pursuant to the preceding sentence, Party B fails to deliver the Settlement Shares relating to such Termination Settlement Date when due or otherwise fails to perform obligations within its control in respect of the Transaction, it shall be an Event of Default with respect to Party B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Party B, Cash Settlement or Net Share Settlement shall apply to the portion of the Settlement Shares relating to such Unwind Period as to which Party A has unwound its hedge and Physical Settlement shall apply in respect of (x) the remainder (if any) of such Settlement Shares and (y) the Settlement Shares designated by Party A in respect of such Termination Settlement Date. If an Acceleration Event occurs after Party B has designated a Settlement Date to which Physical Settlement applies but before the relevant Settlement Shares have been delivered to Party A, then Party A shall have the right to cancel such Settlement Date and designate a Termination Settlement Date in respect of such Shares pursuant to the first sentence hereof. If an event or circumstance is an Acceleration Event under both this Confirmation and any Additional Confirmation and the designation of a Termination Settlement Date under one such confirmation would cure the Acceleration Event under the other such confirmation, then Party A shall first designate a Termination Settlement Date under the confirmation with the first occurring Maturity Date before designating a Termination Settlement Date under the other confirmation.</w:t>
      </w:r>
    </w:p>
    <w:p>
      <w:pPr>
        <w:spacing w:after="0" w:line="188" w:lineRule="exact"/>
        <w:rPr>
          <w:sz w:val="20"/>
          <w:szCs w:val="20"/>
          <w:color w:val="auto"/>
        </w:rPr>
      </w:pPr>
    </w:p>
    <w:p>
      <w:pPr>
        <w:ind w:left="324" w:hanging="324"/>
        <w:spacing w:after="0"/>
        <w:tabs>
          <w:tab w:leader="none" w:pos="3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If Party B is unable to comply with the provisions of “Covenant of Party B” above because of a change in law or a change in the policy of the Securities and Exchange Commission or its staff, or Party A otherwise reasonably determines, based on advice of counsel, that any Settlement Shares to be delivered to Party A by Party B may not be freely returned by Party A or its affiliates to securities lenders as described under “Covenant of Party B” above, then delivery of any such Settlement Shares (the “Restricted Shares”) shall be effected pursuant to Annex A hereto, unless waived by Party A.</w:t>
      </w:r>
    </w:p>
    <w:p>
      <w:pPr>
        <w:spacing w:after="0" w:line="183" w:lineRule="exact"/>
        <w:rPr>
          <w:sz w:val="20"/>
          <w:szCs w:val="20"/>
          <w:color w:val="auto"/>
        </w:rPr>
      </w:pPr>
    </w:p>
    <w:p>
      <w:pPr>
        <w:ind w:left="324" w:hanging="324"/>
        <w:spacing w:after="0"/>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It is the intent of Party A and Party B that following any election of Cash Settlement or Net Share Settlement by Party B, the purchase of Shares by Party A during any Unwind Period comply with the requirements of Rule 10b5-1(c)(1)(i)(B) of the Exchange Act and that this Confirmation shall be interpreted to comply with the requirements of Rule 10b5-1(c).</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Party B acknowledges that (i) during any Unwind Period Party B shall not attempt to exercise any influence over how, when or whether to effect purchases of Shares by Party A (or its agent or affiliate) in connection with this Confirmation and (ii) Party B is entering into the Agreement and this Confirmation in good faith and not as part of a plan or scheme to evade compliance with federal securities laws including, without limitation, Rule 10b-5 promulgated under the Exchange Act. Party B further agrees to act in good faith with respect to the Agreement and this Confirmation.</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1" w:name="page92"/>
    <w:bookmarkEnd w:id="91"/>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Party B hereby agrees with Party A that during any Unwind Period Party B shall not communicate, directly or indirectly, any Material Non-Public Information (as defined herein) to any Derivatives Personnel (as defined below). For purposes of the Transaction, “Material Non-Public Information” means information relating to Party B or the Shares that (a) has not been widely disseminated by wire service, in one or more newspapers of general circulation, by communication from Party B to its shareholders or in a press release, or contained in a public filing made by Party B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liquidity problems, extraordinary management developments, purchase or sale of substantial assets, or other similar information For purposes of the Transaction, “Derivatives Personnel” means any employee on the trading side of the Equity Derivatives of Party A and does not include any other person or persons designated from time to time by the Compliance Group of Party A.</w:t>
      </w:r>
    </w:p>
    <w:p>
      <w:pPr>
        <w:spacing w:after="0" w:line="190" w:lineRule="exact"/>
        <w:rPr>
          <w:sz w:val="20"/>
          <w:szCs w:val="20"/>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Party B be required to deliver on any Settlement Date, whether pursuant to Physical Settlement, Net Share Settlement, Termination Settlement or any Private Placement Settlement, more than a number of Shares equal to 1.5 times the Initial Base Amount, subject to reduction by the number of any Shares delivered by Party B on any prior Settlement Date and subject to adjustment from time to time in accordance with the provisions of this Confirmation and the Equity Definitions.</w:t>
      </w:r>
    </w:p>
    <w:p>
      <w:pPr>
        <w:spacing w:after="0" w:line="183" w:lineRule="exact"/>
        <w:rPr>
          <w:sz w:val="20"/>
          <w:szCs w:val="20"/>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Party A may assign or transfer all (but not less than all) of its rights or delegate all (but not less than all) of its duties hereunder to any affiliate of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the applicable law effective on the date of such transfer or assignment, Party B will not be required, as a result of such transfer or assignment, to pay to the transferee an amount in respect of an Indemnifiable Tax greater than the amount, if any, that Party B would have been required to pay Party A in the absence of such transfer or assignment; and Party B will not receive a payment from which an amount has been withheld or deducted, on account of a Tax in respect of which the other party is not required to pay an additional amount, unless Party B would not have been entitled to receive any additional amount in respect of such payment in the absence of such transfer or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1300" w:firstLine="4"/>
        <w:spacing w:after="0" w:line="256" w:lineRule="auto"/>
        <w:tabs>
          <w:tab w:leader="none" w:pos="173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affiliate’s obligations hereunder are fully and unconditionally guaranteed by Party A or its parent or (B) the affiliate’s long-term issuer rating is equal to or better than the credit rating of Party A at the time of such assignment or transfer. Notwithstanding the above or any other provision in this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A’s obligations in respect of the Transaction and any such designee may assume such obligations. Party A shall be discharged of its obligations to Party B to the extent of any such performance.</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Non-Reliance:</w:t>
            </w:r>
          </w:p>
        </w:tc>
        <w:tc>
          <w:tcPr>
            <w:tcW w:w="2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Applicable</w:t>
            </w:r>
          </w:p>
        </w:tc>
        <w:tc>
          <w:tcPr>
            <w:tcW w:w="4020" w:type="dxa"/>
            <w:vAlign w:val="bottom"/>
          </w:tcPr>
          <w:p>
            <w:pPr>
              <w:spacing w:after="0"/>
              <w:rPr>
                <w:sz w:val="20"/>
                <w:szCs w:val="20"/>
                <w:color w:val="auto"/>
              </w:rPr>
            </w:pPr>
          </w:p>
        </w:tc>
      </w:tr>
      <w:tr>
        <w:trPr>
          <w:trHeight w:val="432"/>
        </w:trPr>
        <w:tc>
          <w:tcPr>
            <w:tcW w:w="43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2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Applicable</w:t>
            </w:r>
          </w:p>
        </w:tc>
        <w:tc>
          <w:tcPr>
            <w:tcW w:w="4020" w:type="dxa"/>
            <w:vAlign w:val="bottom"/>
          </w:tcPr>
          <w:p>
            <w:pPr>
              <w:spacing w:after="0"/>
              <w:rPr>
                <w:sz w:val="24"/>
                <w:szCs w:val="24"/>
                <w:color w:val="auto"/>
              </w:rPr>
            </w:pPr>
          </w:p>
        </w:tc>
      </w:tr>
      <w:tr>
        <w:trPr>
          <w:trHeight w:val="432"/>
        </w:trPr>
        <w:tc>
          <w:tcPr>
            <w:tcW w:w="72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Agreements and Acknowledgments Regarding Hedging Activities:</w:t>
            </w:r>
          </w:p>
        </w:tc>
        <w:tc>
          <w:tcPr>
            <w:tcW w:w="40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Applicable</w:t>
            </w:r>
          </w:p>
        </w:tc>
      </w:tr>
      <w:tr>
        <w:trPr>
          <w:trHeight w:val="648"/>
        </w:trPr>
        <w:tc>
          <w:tcPr>
            <w:tcW w:w="4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14</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2" w:name="page93"/>
    <w:bookmarkEnd w:id="92"/>
    <w:p>
      <w:pPr>
        <w:ind w:left="680" w:hanging="672"/>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further supplemented by the following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72" w:lineRule="auto"/>
        <w:rPr>
          <w:sz w:val="20"/>
          <w:szCs w:val="20"/>
          <w:color w:val="auto"/>
        </w:rPr>
      </w:pPr>
      <w:r>
        <w:rPr>
          <w:rFonts w:ascii="Times New Roman" w:cs="Times New Roman" w:eastAsia="Times New Roman" w:hAnsi="Times New Roman"/>
          <w:sz w:val="17"/>
          <w:szCs w:val="17"/>
          <w:color w:val="auto"/>
        </w:rPr>
        <w:t>Notwithstanding Section 6(f) or any other provision of the Agreement or any other agreement between the parties to the contrary, the obligations of Party B hereunder are not secured by any collateral. Obligations under the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under the Transaction, whether arising under the Agreement, this Confirmation, under any other agreement between the parties hereto, by operation of law or otherwise, and each party hereby waives any such right of setoff. In calculating any amounts under Section 6(e) of the Agreement, notwithstanding anything to the contrary in the Agreement, (a) separate amounts shall be calculated as set forth in such Section 6(e) with respect to (i) the Transaction and (ii) all other Transactions, and (b) such separate amounts shall be payable pursuant to Section 6(d)(ii) of the Agreement.</w:t>
      </w:r>
    </w:p>
    <w:p>
      <w:pPr>
        <w:spacing w:after="0" w:line="172"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Claims in Bankruptcy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Party A acknowledges and agrees that this confirmation is not intended to convey to Party A rights with respect to the transactions contemplated hereby that are senior to the claims of common stockholders in any U.S. bankruptcy proceedings of Party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nothing herein shall limit or shall be deemed to limit Party A’s right to pursue remedies in the event of a breach by Party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its obligations and agreements with respect to this Confirmation and the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Party A’s rights in respect of any transaction other than the Transaction.</w:t>
      </w:r>
    </w:p>
    <w:p>
      <w:pPr>
        <w:spacing w:after="0" w:line="183"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Beneficial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provisions hereof, Party A shall not have the right to acquire Shares hereunder and Party A shall not be entitled to take delivery of any Shares deliverable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Applicable Share Limit, (ii) the Section 16 Percentage would exceed 4.9%, (iii) Party A and each person subject to aggregation of Shares with Party A under Section 13 or Section 16 of the Exchange Act and rules promulgated thereunder (the “Party A Group”) would directly or indirectly beneficially own (as such term is defined for purposes of Section 13 or Section 16 of the Exchange Act and rules promulgated thereunder) in excess of 4.9% of the then outstanding Shares (the “Threshold Number of Shares”) or (iv) such acquisition would result in a violation of any restriction on ownership or transfer set forth in Article VI of the Articles (the “Counterparty Stock Ownership Restrictions”). Any purported delivery hereunder shall be void and have no effect to the extent (but only to the extent) that, after such delivery, (i) the Share Amount would exceed the Applicable Share Limit, (ii) the Section 16 Percentage would exceed 4.9%, (iii) Party A Group would directly or indirectly so beneficially own in excess of the Threshold Number of Shares or (iv) such delivery would result in a violation of the Counterparty Stock Ownership Restrictions. If any delivery owed to Party A hereunder is not made, in whole or in part, as a result of this provision, Party B’s obligation to make such delivery shall not be extinguished and Party B shall make such delivery as promptly as practicable after, but in no event later than one Exchange Business Day after, Party A gives notice to Party B that, after such delivery,</w:t>
      </w:r>
    </w:p>
    <w:p>
      <w:pPr>
        <w:spacing w:after="0" w:line="11" w:lineRule="exact"/>
        <w:rPr>
          <w:sz w:val="20"/>
          <w:szCs w:val="20"/>
          <w:color w:val="auto"/>
        </w:rPr>
      </w:pPr>
    </w:p>
    <w:p>
      <w:pPr>
        <w:jc w:val="both"/>
        <w:ind w:left="1300" w:firstLine="4"/>
        <w:spacing w:after="0" w:line="251" w:lineRule="auto"/>
        <w:tabs>
          <w:tab w:leader="none" w:pos="152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Amount would not exceed the Applicable Share Limit, (ii) the Section 16 Percentage would not exceed 4.9%, (iii) Party A Group would not directly or indirectly so beneficially own in excess of the Threshold Number of Shares and (iv) such delivery would not result in a violation of the Counterparty Stock Ownership Restriction. The “Section 16 Percentage” as of any day is the fraction, expressed as a percentage, (A) the numerator of which is the number of Shares that Party A and any of its affiliates or any other person subject to aggregation with Party A for purposes of the “beneficial ownership” test under Section 13 of the Exchange Act, or any “group” (within the meaning of Section 13 of the Exchange Act) of which Party A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Party A hereunder is not made, in whole or in part, as a result of the immediately preceding paragraph, Party A shall be permitted to make any payment due in respect of such Shares to Party B in two or more tranches that correspond in amount to the number of Shares delivered by Party B to Party A pursuant to the immediately preceding paragraph.</w:t>
      </w:r>
    </w:p>
    <w:p>
      <w:pPr>
        <w:spacing w:after="0" w:line="180" w:lineRule="exact"/>
        <w:rPr>
          <w:sz w:val="20"/>
          <w:szCs w:val="20"/>
          <w:color w:val="auto"/>
        </w:rPr>
      </w:pPr>
    </w:p>
    <w:p>
      <w:pPr>
        <w:ind w:left="324" w:hanging="324"/>
        <w:spacing w:after="0"/>
        <w:tabs>
          <w:tab w:leader="none" w:pos="3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Confirmation shall be interpreted as requiring Party B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Party B so elects to deliver cash or fails timely to elect to deliver Shares in respect of such settlement).</w:t>
      </w:r>
    </w:p>
    <w:p>
      <w:pPr>
        <w:spacing w:after="0" w:line="180" w:lineRule="exact"/>
        <w:rPr>
          <w:sz w:val="20"/>
          <w:szCs w:val="20"/>
          <w:color w:val="auto"/>
        </w:rPr>
      </w:pPr>
    </w:p>
    <w:p>
      <w:pPr>
        <w:ind w:left="324" w:hanging="324"/>
        <w:spacing w:after="0"/>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(the “WSTAA”), the parties hereby agree that neither the enactment of the WSTAA or any regulation under the WSTAA, nor any requirement under the WSTAA or an amendment made by the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2002 Definitions incorporated herein, or the Agreement (including, but not limited to, rights arising from any Acceleration Event or Illegality (as defined in the Agreement)).</w:t>
      </w:r>
    </w:p>
    <w:p>
      <w:pPr>
        <w:spacing w:after="0" w:line="187" w:lineRule="exact"/>
        <w:rPr>
          <w:sz w:val="20"/>
          <w:szCs w:val="20"/>
          <w:color w:val="auto"/>
        </w:rPr>
      </w:pPr>
    </w:p>
    <w:p>
      <w:pPr>
        <w:ind w:left="324" w:hanging="324"/>
        <w:spacing w:after="0"/>
        <w:tabs>
          <w:tab w:leader="none" w:pos="3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4" w:right="3920" w:hanging="656"/>
        <w:spacing w:after="0" w:line="500" w:lineRule="auto"/>
        <w:tabs>
          <w:tab w:leader="none" w:pos="130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for Notices. For the purpose of Section 12(a) of the Agreement: Address for notices or communications to Party A:</w:t>
      </w:r>
    </w:p>
    <w:p>
      <w:pPr>
        <w:spacing w:after="0" w:line="2"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Email: SETG-US@jefferies.com and EQDERIV_MO@Jefferies.com</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 for notices or communications to Party B:</w:t>
      </w:r>
    </w:p>
    <w:p>
      <w:pPr>
        <w:spacing w:after="0" w:line="225"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411 Theodore Fremd</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Avenue, Suite 300 Rye,</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New York 10580</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color w:val="auto"/>
        </w:rPr>
        <w:t>Facsimile: 914-288-2138</w:t>
      </w:r>
    </w:p>
    <w:p>
      <w:pPr>
        <w:spacing w:after="0" w:line="203" w:lineRule="exact"/>
        <w:rPr>
          <w:sz w:val="20"/>
          <w:szCs w:val="20"/>
          <w:color w:val="auto"/>
        </w:rPr>
      </w:pPr>
    </w:p>
    <w:p>
      <w:pPr>
        <w:jc w:val="both"/>
        <w:ind w:left="324" w:hanging="324"/>
        <w:spacing w:after="0" w:line="259" w:lineRule="auto"/>
        <w:tabs>
          <w:tab w:leader="none" w:pos="3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Right to Trial by Jury. Each party waives, to the fullest extent permitted by applicable law, any right it may have to a trial by jury in respect of any suit, action or proceeding relating to this Confirmation. </w:t>
      </w:r>
      <w:r>
        <w:rPr>
          <w:rFonts w:ascii="Times New Roman" w:cs="Times New Roman" w:eastAsia="Times New Roman" w:hAnsi="Times New Roman"/>
          <w:sz w:val="18"/>
          <w:szCs w:val="18"/>
          <w:color w:val="auto"/>
        </w:rPr>
        <w:t>Each party (i) certifies that no representative,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of the other party has represented, expressly or otherwise, that such other party would not, in the event of such a suit action or proceeding, seek to enforce the foregoing waiver and (ii) acknowledges that it and the other party have been induced to enter into this Confirmation by, among other things, the mutual waivers and certifications herein.</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The Office of Party A for the Transaction is: New York</w:t>
      </w:r>
    </w:p>
    <w:p>
      <w:pPr>
        <w:spacing w:after="0" w:line="225"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The Office of Party B for the Transaction is: Inapplicable, Party B is not a Multibranch Party</w:t>
      </w:r>
    </w:p>
    <w:p>
      <w:pPr>
        <w:spacing w:after="0" w:line="225" w:lineRule="exact"/>
        <w:rPr>
          <w:sz w:val="20"/>
          <w:szCs w:val="20"/>
          <w:color w:val="auto"/>
        </w:rPr>
      </w:pPr>
    </w:p>
    <w:p>
      <w:pPr>
        <w:ind w:left="324" w:hanging="324"/>
        <w:spacing w:after="0"/>
        <w:tabs>
          <w:tab w:leader="none" w:pos="3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parties hereto intend for:</w:t>
      </w:r>
    </w:p>
    <w:p>
      <w:pPr>
        <w:spacing w:after="0" w:line="225" w:lineRule="exact"/>
        <w:rPr>
          <w:sz w:val="20"/>
          <w:szCs w:val="20"/>
          <w:color w:val="auto"/>
        </w:rPr>
      </w:pPr>
    </w:p>
    <w:p>
      <w:pPr>
        <w:ind w:left="1304" w:hanging="656"/>
        <w:spacing w:after="0" w:line="282" w:lineRule="auto"/>
        <w:tabs>
          <w:tab w:leader="none" w:pos="130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to be a “securities contract” as defined in Section 741(7) of Title 11 of the United States Code (the “Bankruptcy Code”), qualifying for the protections under Section 555 of the Bankruptcy Code;</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4" w:name="page95"/>
    <w:bookmarkEnd w:id="94"/>
    <w:p>
      <w:pPr>
        <w:ind w:left="1304" w:hanging="656"/>
        <w:spacing w:after="0" w:line="282" w:lineRule="auto"/>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right to liquidate the Transaction and to exercise any other remedies upon the occurrence of any Event of Default under the Agreement with respect to the other party to constitute a “contractual right” as defined in the Bankruptcy Code;</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to be a “financial institution” within the meaning of Section 101(22) of the Bankruptcy Code; and</w:t>
      </w:r>
    </w:p>
    <w:p>
      <w:pPr>
        <w:spacing w:after="0" w:line="22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the Transaction, all payments for the Shares and the transfer of such Shares to constitute “settlement payments” as defined in the Bankruptcy Code.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any term, provision, covenant or condition of this Confirmation, or the application thereof to any party or circumstance, shall be held to be invalid or unenforceable in whole or in part for any reason, the remaining terms, provisions, covenants, and conditions hereof shall continue in full force and effect as if this Confirmation had been executed with the invalid or unenforceable provision eliminated, so long as this Confirmation as so modified continues to express, without material change, the original intentions of the parties as to the subject matter of this Confirmation and the deletion of such portion of this Confirmation will not substantially impair the respective benefits or expectations of parties to the Agreement; provided, however, that this severability provision shall not be applicable if any provision of Section 2, 5, 6 or 13 of the Agreement (or any definition or provision in Section 14 to the extent that it relates to, or is used in or in connection with any such Section) shall be so held to be invalid or unenforceable.</w:t>
      </w:r>
    </w:p>
    <w:p>
      <w:pPr>
        <w:spacing w:after="0" w:line="192" w:lineRule="exact"/>
        <w:rPr>
          <w:sz w:val="20"/>
          <w:szCs w:val="20"/>
          <w:color w:val="auto"/>
        </w:rPr>
      </w:pPr>
    </w:p>
    <w:p>
      <w:pPr>
        <w:ind w:left="324" w:hanging="324"/>
        <w:spacing w:after="0"/>
        <w:tabs>
          <w:tab w:leader="none" w:pos="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3" w:lineRule="exact"/>
        <w:rPr>
          <w:sz w:val="20"/>
          <w:szCs w:val="20"/>
          <w:color w:val="auto"/>
        </w:rPr>
      </w:pPr>
    </w:p>
    <w:p>
      <w:pPr>
        <w:ind w:left="324" w:hanging="324"/>
        <w:spacing w:after="0"/>
        <w:tabs>
          <w:tab w:leader="none" w:pos="32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Effective from the date of commencement of discussions concerning the Transaction, each of Party A and Party B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180" w:lineRule="exact"/>
        <w:rPr>
          <w:sz w:val="20"/>
          <w:szCs w:val="20"/>
          <w:color w:val="auto"/>
        </w:rPr>
      </w:pPr>
    </w:p>
    <w:p>
      <w:pPr>
        <w:ind w:left="324" w:hanging="324"/>
        <w:spacing w:after="0"/>
        <w:tabs>
          <w:tab w:leader="none" w:pos="3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Party B represents and warrants that it has received, read and understands Party A’s “Risk Disclosure Statement Regarding OTC Derivatives Products” and acknowledges the terms thereof as if it had signed the Risk Disclosure Statement Verification contained therein as of the date hereof.</w:t>
      </w:r>
    </w:p>
    <w:p>
      <w:pPr>
        <w:spacing w:after="0" w:line="176" w:lineRule="exact"/>
        <w:rPr>
          <w:sz w:val="20"/>
          <w:szCs w:val="20"/>
          <w:color w:val="auto"/>
        </w:rPr>
      </w:pPr>
    </w:p>
    <w:p>
      <w:pPr>
        <w:ind w:left="324" w:hanging="324"/>
        <w:spacing w:after="0"/>
        <w:tabs>
          <w:tab w:leader="none" w:pos="3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Each of Party A and Party B agrees and represents that it is an “eligible contract participant” as defined in Section 1a(18) of the U.S. Commodity Exchange Act, as amended (the “CEA”), the Agreement and the Transaction are subject to individual negotiation by the parties and have not been executed or traded on a “trading facility” as defined in Section 1a(51) of the CEA.</w:t>
      </w:r>
    </w:p>
    <w:p>
      <w:pPr>
        <w:spacing w:after="0" w:line="176" w:lineRule="exact"/>
        <w:rPr>
          <w:sz w:val="20"/>
          <w:szCs w:val="20"/>
          <w:color w:val="auto"/>
        </w:rPr>
      </w:pPr>
    </w:p>
    <w:p>
      <w:pPr>
        <w:ind w:left="324" w:hanging="324"/>
        <w:spacing w:after="0"/>
        <w:tabs>
          <w:tab w:leader="none" w:pos="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3(e) of the Agreement, Party A and Party B each make the following representation:</w:t>
      </w:r>
    </w:p>
    <w:p>
      <w:pPr>
        <w:spacing w:after="0" w:line="225" w:lineRule="exact"/>
        <w:rPr>
          <w:rFonts w:ascii="Times New Roman" w:cs="Times New Roman" w:eastAsia="Times New Roman" w:hAnsi="Times New Roman"/>
          <w:sz w:val="18"/>
          <w:szCs w:val="18"/>
          <w:u w:val="single" w:color="auto"/>
          <w:color w:val="auto"/>
        </w:rPr>
      </w:pPr>
    </w:p>
    <w:p>
      <w:pPr>
        <w:jc w:val="both"/>
        <w:ind w:left="1304"/>
        <w:spacing w:after="0" w:line="254"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it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5" w:name="page96"/>
    <w:bookmarkEnd w:id="95"/>
    <w:p>
      <w:pPr>
        <w:jc w:val="right"/>
        <w:ind w:left="1160" w:right="5720" w:hanging="976"/>
        <w:spacing w:after="0" w:line="530" w:lineRule="auto"/>
        <w:tabs>
          <w:tab w:leader="none" w:pos="836" w:val="left"/>
        </w:tabs>
        <w:numPr>
          <w:ilvl w:val="0"/>
          <w:numId w:val="12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For the purpose of Section 3(f) of the Agreement: Party A makes the following representations:</w:t>
      </w:r>
    </w:p>
    <w:p>
      <w:pPr>
        <w:spacing w:after="0" w:line="1" w:lineRule="exact"/>
        <w:rPr>
          <w:sz w:val="20"/>
          <w:szCs w:val="20"/>
          <w:color w:val="auto"/>
        </w:rPr>
      </w:pPr>
    </w:p>
    <w:p>
      <w:pPr>
        <w:ind w:left="1480" w:hanging="324"/>
        <w:spacing w:after="0" w:line="282" w:lineRule="auto"/>
        <w:tabs>
          <w:tab w:leader="none" w:pos="14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company organized under the laws of the State of Delaware and is treated as a disregarded entity of a New York corporation for United States federal income tax purposes.</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Party B makes the following representations:</w:t>
      </w:r>
    </w:p>
    <w:p>
      <w:pPr>
        <w:spacing w:after="0" w:line="225" w:lineRule="exact"/>
        <w:rPr>
          <w:sz w:val="20"/>
          <w:szCs w:val="20"/>
          <w:color w:val="auto"/>
        </w:rPr>
      </w:pPr>
    </w:p>
    <w:p>
      <w:pPr>
        <w:ind w:left="1480" w:right="20" w:hanging="324"/>
        <w:spacing w:after="0" w:line="282" w:lineRule="auto"/>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1480" w:hanging="324"/>
        <w:spacing w:after="0" w:line="282" w:lineRule="auto"/>
        <w:tabs>
          <w:tab w:leader="none" w:pos="14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1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w:t>
      </w:r>
      <w:r>
        <w:rPr>
          <w:rFonts w:ascii="Times New Roman" w:cs="Times New Roman" w:eastAsia="Times New Roman" w:hAnsi="Times New Roman"/>
          <w:sz w:val="18"/>
          <w:szCs w:val="18"/>
          <w:color w:val="auto"/>
        </w:rPr>
        <w:t>t. “Tax” and “Indemnifiable Tax”, each as defined in Section 14 of the Agreement, shall not include any U.S. federal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91" w:lineRule="exact"/>
        <w:rPr>
          <w:rFonts w:ascii="Times New Roman" w:cs="Times New Roman" w:eastAsia="Times New Roman" w:hAnsi="Times New Roman"/>
          <w:sz w:val="18"/>
          <w:szCs w:val="18"/>
          <w:u w:val="single" w:color="auto"/>
          <w:color w:val="auto"/>
        </w:rPr>
      </w:pPr>
    </w:p>
    <w:p>
      <w:pPr>
        <w:jc w:val="both"/>
        <w:ind w:left="840" w:hanging="656"/>
        <w:spacing w:after="0" w:line="254" w:lineRule="auto"/>
        <w:tabs>
          <w:tab w:leader="none" w:pos="840" w:val="left"/>
        </w:tabs>
        <w:numPr>
          <w:ilvl w:val="0"/>
          <w:numId w:val="1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HIRE Ac</w:t>
      </w:r>
      <w:r>
        <w:rPr>
          <w:rFonts w:ascii="Times New Roman" w:cs="Times New Roman" w:eastAsia="Times New Roman" w:hAnsi="Times New Roman"/>
          <w:sz w:val="18"/>
          <w:szCs w:val="18"/>
          <w:color w:val="auto"/>
        </w:rPr>
        <w:t>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“871(m) Protocol”),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88" w:lineRule="exact"/>
        <w:rPr>
          <w:rFonts w:ascii="Times New Roman" w:cs="Times New Roman" w:eastAsia="Times New Roman" w:hAnsi="Times New Roman"/>
          <w:sz w:val="18"/>
          <w:szCs w:val="18"/>
          <w:u w:val="single" w:color="auto"/>
          <w:color w:val="auto"/>
        </w:rPr>
      </w:pPr>
    </w:p>
    <w:p>
      <w:pPr>
        <w:jc w:val="both"/>
        <w:ind w:left="840" w:hanging="656"/>
        <w:spacing w:after="0" w:line="257" w:lineRule="auto"/>
        <w:tabs>
          <w:tab w:leader="none" w:pos="840" w:val="left"/>
        </w:tabs>
        <w:numPr>
          <w:ilvl w:val="0"/>
          <w:numId w:val="1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Party A shall provide to Party B a valid and duly executed U.S. Internal Revenue Service Form W-9 and Party B shall provide to Party A a valid and duly executed U.S. Internal Revenue Service Form W-9, or any successor thereto, (i) on or before the date of execution of this Confirmation;</w:t>
      </w:r>
    </w:p>
    <w:p>
      <w:pPr>
        <w:spacing w:after="0" w:line="1" w:lineRule="exact"/>
        <w:rPr>
          <w:rFonts w:ascii="Times New Roman" w:cs="Times New Roman" w:eastAsia="Times New Roman" w:hAnsi="Times New Roman"/>
          <w:sz w:val="18"/>
          <w:szCs w:val="18"/>
          <w:u w:val="single" w:color="auto"/>
          <w:color w:val="auto"/>
        </w:rPr>
      </w:pPr>
    </w:p>
    <w:p>
      <w:pPr>
        <w:jc w:val="both"/>
        <w:ind w:left="840" w:hanging="8"/>
        <w:spacing w:after="0" w:line="255" w:lineRule="auto"/>
        <w:tabs>
          <w:tab w:leader="none" w:pos="112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reasonable demand by the other party; and (iii) promptly upon learning that any such tax form previously provided by Party A or Party B, respectively, has become invalid, obsolete, or incorrect. Additionally, each of Party A and Party B shall, promptly upon request by the other party, provide such other tax forms and documents requested by the other party.</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6" w:name="page97"/>
    <w:bookmarkEnd w:id="96"/>
    <w:p>
      <w:pPr>
        <w:ind w:left="324" w:hanging="324"/>
        <w:spacing w:after="0"/>
        <w:tabs>
          <w:tab w:leader="none" w:pos="3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The parties agree that (i) to the extent that prior to the date hereof all parties have adhered to the 2018 ISDA U.S. Resolution Stay Protocol (the “Protocol”), the terms of the Protocol are incorporated into and form a part of the Agreement, and for such purposes the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the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Party A shall be deemed a “Covered Entity” and Party B shall be deemed a “Counterparty Entity.” In the event that, after the date of the Agreement, all parties hereto become adhering parties to the Protocol, the terms of the Protocol will replace the terms of this paragraph. In the event of any inconsistencies between the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w:t>
      </w:r>
    </w:p>
    <w:p>
      <w:pPr>
        <w:spacing w:after="0" w:line="191"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3" w:lineRule="exact"/>
        <w:rPr>
          <w:sz w:val="20"/>
          <w:szCs w:val="20"/>
          <w:color w:val="auto"/>
        </w:rPr>
      </w:pPr>
    </w:p>
    <w:p>
      <w:pPr>
        <w:ind w:left="324" w:hanging="324"/>
        <w:spacing w:after="0"/>
        <w:tabs>
          <w:tab w:leader="none" w:pos="3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Forwards / Dealers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Party A acknowledges that Party B has entered or may enter in the future into one or more similar forward transactions for the Shares (each, an “Other Forward” and collectively, the “Other Forwards”) with one or more dealers, and/or affiliates thereof (each, an “Other Dealer” and collectively, the “Other Dealers”). Party A and Party B agree that if Party B designates a “Settlement Date” with respect to one or more Other Forwards for which “Cash Settlement” or “Net Share Settlement” is applicable, and the resulting “Unwind Period” for such Other Forwards coincides for any period of time with an Unwind Period for this Transaction (the “Overlap Unwind Period”), Party B shall notify Party A at least one Scheduled Trading Day prior to the commencement of such Overlap Unwind Period of the first Scheduled Trading Day and length of such Overlap Unwind Period, and Party A shall be permitted to purchase Shares to unwind its hedge in respect of this Transaction only on alternating Scheduled Trading Days during such Overlap Unwind Period, commencing on the first, second, third or later Scheduled Trading Day of such Overlap Unwind Period, as notified to Party A by Party B at least one Scheduled Trading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190"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signing and returning this Confirmation.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Noonan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[Signature Page to Forward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Gottfried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John Gottfried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[Signature Page to Forward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r>
      <w:tr>
        <w:trPr>
          <w:trHeight w:val="432"/>
        </w:trPr>
        <w:tc>
          <w:tcPr>
            <w:tcW w:w="2880" w:type="dxa"/>
            <w:vAlign w:val="bottom"/>
          </w:tcPr>
          <w:p>
            <w:pPr>
              <w:spacing w:after="0"/>
              <w:rPr>
                <w:sz w:val="24"/>
                <w:szCs w:val="24"/>
                <w:color w:val="auto"/>
              </w:rPr>
            </w:pPr>
          </w:p>
        </w:tc>
        <w:tc>
          <w:tcPr>
            <w:tcW w:w="6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FORWARD PRICE REDUCTION DATES AND AMOUNTS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 Price Reduction Date</w:t>
            </w: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Forward Price Reduction Amount</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Date</w:t>
            </w:r>
          </w:p>
        </w:tc>
        <w:tc>
          <w:tcPr>
            <w:tcW w:w="4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6/30/2026</w:t>
            </w:r>
          </w:p>
        </w:tc>
        <w:tc>
          <w:tcPr>
            <w:tcW w:w="47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USD $</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9/30/2026</w:t>
            </w:r>
          </w:p>
        </w:tc>
        <w:tc>
          <w:tcPr>
            <w:tcW w:w="47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USD $</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12/31/2026</w:t>
            </w:r>
          </w:p>
        </w:tc>
        <w:tc>
          <w:tcPr>
            <w:tcW w:w="47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USD $</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3/31/2027</w:t>
            </w:r>
          </w:p>
        </w:tc>
        <w:tc>
          <w:tcPr>
            <w:tcW w:w="47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USD $</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675"/>
        </w:trPr>
        <w:tc>
          <w:tcPr>
            <w:tcW w:w="28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5" w:lineRule="exact"/>
        <w:rPr>
          <w:sz w:val="20"/>
          <w:szCs w:val="20"/>
          <w:color w:val="auto"/>
        </w:rPr>
      </w:pPr>
    </w:p>
    <w:p>
      <w:pPr>
        <w:jc w:val="both"/>
        <w:ind w:left="640" w:hanging="632"/>
        <w:spacing w:after="0" w:line="251"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Party B delivers the Restricted Shares pursuant to this clause (i) (a “Private Placement Settlement”), then delivery of Restricted Shares by Party B shall be effected in customary private placement procedures with respect to such Restricted Shares reasonably acceptable to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or before the date that a Private Placement Settlement would occur, Party B has taken, or caused to be taken, any action that would make unavailable either the exemption pursuant to Section 4(a)(2) of the Securities Act for the sale by Party B to Party A (or any affiliate designated by Party A) of the Restricted Shares or the exemption pursuant to Section 4(a)(1) or Section 4(a)(3) of the Securities Act for resales of the Restricted Shares by Party A (or any such affiliate of Party A) or Party B fails to deliver the Restricted Shares when due or otherwise fails to perform obligations within its control in respect of a Private Placement Settlement, it shall be an Event of Default with respect to Party B and Section 6 of the Agreement shall apply. The Private Placement Settlement of such Restricted Shares shall include customary representations, covenants, blue sky and other governmental filings and/or registrations, indemnities to Party A, due diligence rights (for Party A or any designated buyer of the Restricted Shares by Party A), opinions and certificates, and such other documentation as is customary for private placement agreements, all reasonably acceptable to Party A. In the case of a Private Placement Settlement, Party A shall, in its good faith discretion, adjust the number of Restricted Shares to be delivered to Party A hereunder and/or the Forward Price in a commercially reasonable manner to reflect the fact that such Restricted Shares may not be freely returned to securities lenders by Party A and may only be saleable by Party A at a discount to reflect the lack of liquidity in Restricted Shares. Notwithstanding the Agreement or this Confirmation, the date of delivery of such Restricted Shares shall be the Clearance System Business Day following notice by Party A to Party B of the number of Restricted Shares to be delivered pursuant to this clause</w:t>
      </w:r>
    </w:p>
    <w:p>
      <w:pPr>
        <w:spacing w:after="0" w:line="11" w:lineRule="exact"/>
        <w:rPr>
          <w:rFonts w:ascii="Times New Roman" w:cs="Times New Roman" w:eastAsia="Times New Roman" w:hAnsi="Times New Roman"/>
          <w:sz w:val="18"/>
          <w:szCs w:val="18"/>
          <w:color w:val="auto"/>
        </w:rPr>
      </w:pPr>
    </w:p>
    <w:p>
      <w:pPr>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the avoidance of doubt, delivery of Restricted Shares shall be due as set forth in the previous sentence and not be due on the Settlement Date or Termination Settlement Date that would otherwise be applicable.</w:t>
      </w:r>
    </w:p>
    <w:p>
      <w:pPr>
        <w:spacing w:after="0" w:line="181"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delivers any Restricted Shares in respect of the Transaction, Party B agrees that (i) such Shares may be transferred by and among Party A and its affiliates and (ii) after the minimum holding period under Rule 144(d) under the Securities Act has elapsed after the applicable Settlement Date, Party B shall promptly remove, or cause the transfer agent for the Shares to remove, any legends referring to any transfer restrictions from such Shares upon delivery by Party A (or such affiliate of Party A) to Party B or such transfer agent of seller’s and broker’s representation letters customarily delivered by Party A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Party A (or such affiliate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1.4</w:t>
      </w:r>
    </w:p>
    <w:p>
      <w:pPr>
        <w:sectPr>
          <w:pgSz w:w="11900" w:h="16838" w:orient="portrait"/>
          <w:cols w:equalWidth="0" w:num="1">
            <w:col w:w="11240"/>
          </w:cols>
          <w:pgMar w:left="320" w:top="333" w:right="3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00" w:lineRule="exact"/>
        <w:rPr>
          <w:sz w:val="20"/>
          <w:szCs w:val="20"/>
          <w:color w:val="auto"/>
        </w:rPr>
      </w:pPr>
    </w:p>
    <w:p>
      <w:pPr>
        <w:sectPr>
          <w:pgSz w:w="11900" w:h="16838" w:orient="portrait"/>
          <w:cols w:equalWidth="0" w:num="2">
            <w:col w:w="580" w:space="260"/>
            <w:col w:w="10400"/>
          </w:cols>
          <w:pgMar w:left="320" w:top="333" w:right="33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411 Theodore Fremd Avenue, Suite 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New York, 10580</w:t>
      </w:r>
    </w:p>
    <w:p>
      <w:pPr>
        <w:spacing w:after="0" w:line="200" w:lineRule="exact"/>
        <w:rPr>
          <w:sz w:val="20"/>
          <w:szCs w:val="20"/>
          <w:color w:val="auto"/>
        </w:rPr>
      </w:pPr>
    </w:p>
    <w:p>
      <w:pPr>
        <w:sectPr>
          <w:pgSz w:w="11900" w:h="16838" w:orient="portrait"/>
          <w:cols w:equalWidth="0" w:num="2">
            <w:col w:w="480" w:space="360"/>
            <w:col w:w="10400"/>
          </w:cols>
          <w:pgMar w:left="320" w:top="333" w:right="33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From: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200" w:lineRule="exact"/>
        <w:rPr>
          <w:sz w:val="20"/>
          <w:szCs w:val="20"/>
          <w:color w:val="auto"/>
        </w:rPr>
      </w:pPr>
    </w:p>
    <w:p>
      <w:pPr>
        <w:sectPr>
          <w:pgSz w:w="11900" w:h="16838" w:orient="portrait"/>
          <w:cols w:equalWidth="0" w:num="2">
            <w:col w:w="680" w:space="160"/>
            <w:col w:w="10400"/>
          </w:cols>
          <w:pgMar w:left="320" w:top="333"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Registered Forward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letter agreement (this “Confirmation”) is to confirm the terms and conditions of the transaction entered into between us on the Trade Date specified below (the “Transaction”). This Confirmation constitutes a “Confirmation” as referred to in the ISDA Master Agreement specified below.</w:t>
      </w:r>
    </w:p>
    <w:p>
      <w:pPr>
        <w:spacing w:after="0" w:line="162" w:lineRule="exact"/>
        <w:rPr>
          <w:sz w:val="20"/>
          <w:szCs w:val="20"/>
          <w:color w:val="auto"/>
        </w:rPr>
      </w:pPr>
    </w:p>
    <w:p>
      <w:pPr>
        <w:jc w:val="both"/>
        <w:ind w:left="640" w:hanging="632"/>
        <w:spacing w:after="0" w:line="258" w:lineRule="auto"/>
        <w:tabs>
          <w:tab w:leader="none" w:pos="6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and provisions contained in the 2006 ISDA Definitions (the “2006 Definitions”) and the 2002 ISDA Equity Derivatives Definitions (the “2002 Definitions” and, together with the 2006 Definitions, the “Definitions”), each as published by the International Swaps and Derivatives Association, Inc., are incorporated into this Confirmation. In the event of any inconsistency between the 2002 Definitions and the 2006 Definitions, the 2002 Definitions will govern. In the event of any inconsistency between the Definitions and this Confirmation, this Confirmation will govern.</w:t>
      </w:r>
    </w:p>
    <w:p>
      <w:pPr>
        <w:spacing w:after="0" w:line="183"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that this Confirmation and the Agreement (as defined below) together evidence a complete binding agreement between Party A and Party B as to the subject matter and terms of the Transaction to which this Confirmation relates, and shall supersede all prior or contemporaneous written or oral communications with respect thereto. This Confirmation, together with any other Confirmations for registered forward transactions entered into between Party A and Party B (each, an “Additional Confirmation”) shall supplement, form a part of, and be subject to an agreement in the form of the 2002 ISDA Master Agreement (the “Agreement”) as if Party A and Party B had executed an agreement in such form on the Trade Date with New York law (without regard to choice of law doctrine other than Title 14 of Article 5 of the New York General Obligations Law) as the governing law. In the event of any inconsistency between the Agreement, this Confirmation, the 2006 Definitions and the 2002 Definitions, the following will prevail for purposes of the Transaction in the order of precedence indicated: (i) this Confirmation;</w:t>
      </w:r>
    </w:p>
    <w:p>
      <w:pPr>
        <w:jc w:val="both"/>
        <w:ind w:left="660" w:hanging="4"/>
        <w:spacing w:after="0" w:line="255" w:lineRule="auto"/>
        <w:tabs>
          <w:tab w:leader="none" w:pos="92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2002 Definitions; (iii) the 2006 Definitions and (iv) the Agreement. The parties hereby agree that no Transaction other than the Transaction to which this Confirmation relates and the Transactions to which the Additional Confirmations, if any, relate (each, an “Additional Transaction”), shall be governed by the Agreement. For purposes of the 2002 Definitions, the Transaction is a Share Forward Transaction.</w:t>
      </w:r>
    </w:p>
    <w:p>
      <w:pPr>
        <w:spacing w:after="0" w:line="18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Party A and Party B each represent to the other that it has entered into the Transaction in reliance upon such tax, accounting, regulatory, legal, and financial advice as it deems necessary and not upon any view expressed by the other.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terms of the particular Transaction to which this Confirmation relates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Terms:</w:t>
            </w:r>
          </w:p>
        </w:tc>
        <w:tc>
          <w:tcPr>
            <w:tcW w:w="7300" w:type="dxa"/>
            <w:vAlign w:val="bottom"/>
          </w:tcPr>
          <w:p>
            <w:pPr>
              <w:spacing w:after="0"/>
              <w:rPr>
                <w:sz w:val="18"/>
                <w:szCs w:val="18"/>
                <w:color w:val="auto"/>
              </w:rPr>
            </w:pPr>
          </w:p>
        </w:tc>
      </w:tr>
      <w:tr>
        <w:trPr>
          <w:trHeight w:val="453"/>
        </w:trPr>
        <w:tc>
          <w:tcPr>
            <w:tcW w:w="680" w:type="dxa"/>
            <w:vAlign w:val="bottom"/>
          </w:tcPr>
          <w:p>
            <w:pPr>
              <w:spacing w:after="0"/>
              <w:rPr>
                <w:sz w:val="24"/>
                <w:szCs w:val="24"/>
                <w:color w:val="auto"/>
              </w:rPr>
            </w:pPr>
          </w:p>
        </w:tc>
        <w:tc>
          <w:tcPr>
            <w:tcW w:w="10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Party A:</w:t>
            </w:r>
          </w:p>
        </w:tc>
        <w:tc>
          <w:tcPr>
            <w:tcW w:w="2200" w:type="dxa"/>
            <w:vAlign w:val="bottom"/>
          </w:tcPr>
          <w:p>
            <w:pPr>
              <w:spacing w:after="0"/>
              <w:rPr>
                <w:sz w:val="24"/>
                <w:szCs w:val="24"/>
                <w:color w:val="auto"/>
              </w:rPr>
            </w:pP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Truist Bank</w:t>
            </w:r>
          </w:p>
        </w:tc>
      </w:tr>
      <w:tr>
        <w:trPr>
          <w:trHeight w:val="432"/>
        </w:trPr>
        <w:tc>
          <w:tcPr>
            <w:tcW w:w="68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Party B:</w:t>
            </w: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Acadia Realty Trust</w:t>
            </w:r>
          </w:p>
        </w:tc>
      </w:tr>
      <w:tr>
        <w:trPr>
          <w:trHeight w:val="432"/>
        </w:trPr>
        <w:tc>
          <w:tcPr>
            <w:tcW w:w="68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Trade Date:</w:t>
            </w: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June 9, 2026</w:t>
            </w:r>
          </w:p>
        </w:tc>
      </w:tr>
      <w:tr>
        <w:trPr>
          <w:trHeight w:val="414"/>
        </w:trPr>
        <w:tc>
          <w:tcPr>
            <w:tcW w:w="68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Effective Date:</w:t>
            </w: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June 10, 2026, or such later date on which the conditions set forth in</w:t>
            </w:r>
          </w:p>
        </w:tc>
      </w:tr>
      <w:tr>
        <w:trPr>
          <w:trHeight w:val="216"/>
        </w:trPr>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Section 3 under the heading “Conditions to Effectiveness” below have</w:t>
            </w:r>
          </w:p>
        </w:tc>
      </w:tr>
      <w:tr>
        <w:trPr>
          <w:trHeight w:val="234"/>
        </w:trPr>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settled.</w:t>
            </w:r>
          </w:p>
        </w:tc>
      </w:tr>
      <w:tr>
        <w:trPr>
          <w:trHeight w:val="414"/>
        </w:trPr>
        <w:tc>
          <w:tcPr>
            <w:tcW w:w="68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Base Amount:</w:t>
            </w: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Initially, 2,100,000 Shares (the “Initial Number of Shares”); provided,</w:t>
            </w:r>
          </w:p>
        </w:tc>
      </w:tr>
      <w:tr>
        <w:trPr>
          <w:trHeight w:val="216"/>
        </w:trPr>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however, that on each Settlement Date, the Base Amount shall be reduced</w:t>
            </w:r>
          </w:p>
        </w:tc>
      </w:tr>
      <w:tr>
        <w:trPr>
          <w:trHeight w:val="234"/>
        </w:trPr>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 the number of Settlement Shares for such Settlement Date.</w:t>
            </w:r>
          </w:p>
        </w:tc>
      </w:tr>
      <w:tr>
        <w:trPr>
          <w:trHeight w:val="675"/>
        </w:trPr>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type w:val="continuous"/>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Maturity Date: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earlier of (i) June 9, 2027 (or, if such date is not a Scheduled Trading</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Day, the next following Scheduled Trading Day) and (ii) the date on which</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Base Amount is reduced to zero.</w:t>
            </w:r>
          </w:p>
        </w:tc>
      </w:tr>
      <w:tr>
        <w:trPr>
          <w:trHeight w:val="414"/>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 the Effective Date, the Initial Forward Price, and on any other day, the</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Forward Price as of the immediately preceding calendar day multiplied by</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sum of (i) 1 and (ii) the Daily Rate for such day; provided that on each</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Forward Price Reduction Date, the Forward Price in effect on such date</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shall be the Forward Price otherwise in effect on such date, minus the</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Forward Price Reduction Amount for such Forward Price Reduction Date.</w:t>
            </w:r>
          </w:p>
        </w:tc>
      </w:tr>
      <w:tr>
        <w:trPr>
          <w:trHeight w:val="414"/>
        </w:trPr>
        <w:tc>
          <w:tcPr>
            <w:tcW w:w="4400" w:type="dxa"/>
            <w:vAlign w:val="bottom"/>
          </w:tcPr>
          <w:p>
            <w:pPr>
              <w:spacing w:after="0"/>
              <w:rPr>
                <w:sz w:val="24"/>
                <w:szCs w:val="24"/>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to the extent</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Party B delivers Shares hereunder on or after a Forward Price Reduction</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Date and at or before the record date for an ordinary cash dividend with an</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ex-dividend date corresponding to such Forward Price Reduction Date, the</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Calculation Agent shall adjust the Forward Price, in a good faith and</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commercially reasonable manner, to preserve the economic intent of the</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parties hereto (taking into account Party A’s commercially reasonable</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hedge positions in respect of the Transaction).</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Initial Forward Price: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USD 21.80 per Share</w:t>
            </w:r>
          </w:p>
        </w:tc>
      </w:tr>
      <w:tr>
        <w:trPr>
          <w:trHeight w:val="414"/>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Daily Rate: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 any day, a rate equal to (i)(A) the Overnight Bank Rate for such day,</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minus (B) the Spread, divided by (ii) 360.</w:t>
            </w:r>
          </w:p>
        </w:tc>
      </w:tr>
      <w:tr>
        <w:trPr>
          <w:trHeight w:val="414"/>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Overnight Bank Rate: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For any day, the rate set forth for such day opposite the caption “Overnight</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Bank Funding Rate”, as  such rate is displayed on the page “OBFR01</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&lt;Index&gt; &lt;GO&gt;” on the BLOOMBERG Professional Service, or any</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successor page; provided that, if no rate appears on any day on such page,</w:t>
            </w:r>
          </w:p>
        </w:tc>
      </w:tr>
      <w:tr>
        <w:trPr>
          <w:trHeight w:val="216"/>
        </w:trPr>
        <w:tc>
          <w:tcPr>
            <w:tcW w:w="4400" w:type="dxa"/>
            <w:vAlign w:val="bottom"/>
          </w:tcPr>
          <w:p>
            <w:pPr>
              <w:spacing w:after="0"/>
              <w:rPr>
                <w:sz w:val="18"/>
                <w:szCs w:val="18"/>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the rate for the immediately preceding day for which a rate does so appear</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shall be used for such day.</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Spread:</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75 basis points.</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Prepayment:</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Variable Obligation:</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 Reduction Date: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Each date (other than the Trade Date) set forth on Schedule I under the</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heading “Forward Price Reduction Date.”</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 Reduction</w:t>
            </w:r>
          </w:p>
        </w:tc>
        <w:tc>
          <w:tcPr>
            <w:tcW w:w="6840" w:type="dxa"/>
            <w:vAlign w:val="bottom"/>
          </w:tcPr>
          <w:p>
            <w:pPr>
              <w:spacing w:after="0"/>
              <w:rPr>
                <w:sz w:val="24"/>
                <w:szCs w:val="24"/>
                <w:color w:val="auto"/>
              </w:rPr>
            </w:pPr>
          </w:p>
        </w:tc>
      </w:tr>
      <w:tr>
        <w:trPr>
          <w:trHeight w:val="414"/>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Amount:</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Amount set forth opposite such date on Schedule I.</w:t>
            </w:r>
          </w:p>
        </w:tc>
      </w:tr>
      <w:tr>
        <w:trPr>
          <w:trHeight w:val="414"/>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Shares:</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Common shares, USD 0.001 par value per share, of Party B (also referred</w:t>
            </w:r>
          </w:p>
        </w:tc>
      </w:tr>
      <w:tr>
        <w:trPr>
          <w:trHeight w:val="234"/>
        </w:trPr>
        <w:tc>
          <w:tcPr>
            <w:tcW w:w="440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to herein as the “Issuer”) (Exchange identifier: “AKR”).</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Related Exchange(s):</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4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Clearance System:</w:t>
            </w:r>
          </w:p>
        </w:tc>
        <w:tc>
          <w:tcPr>
            <w:tcW w:w="6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DTC.</w:t>
            </w:r>
          </w:p>
        </w:tc>
      </w:tr>
      <w:tr>
        <w:trPr>
          <w:trHeight w:val="864"/>
        </w:trPr>
        <w:tc>
          <w:tcPr>
            <w:tcW w:w="44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Calculation Agent:</w:t>
            </w: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Party A. In the event the Calculation Agent makes any calculations,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adjustments  or  determinations  pursuant  to  this  Confirmation,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Agreement  or  the  Equity  Definitions,  the  Calculation  Agent  shall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promptly, upon written request from Party B, provide an explanation in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reasonable detail of the basis for any such calculation, adjustment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determination to Party B (including any quotations, market data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information from external sources used in making such calculation,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adjustment or determination, as the case may be, but without disclosing its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proprietary models or other information that is subject to contractual, legal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or regulatory obligations to not disclose such information); provided that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following the occurrence of an Event of Default under Section 5(a)(vii) of</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the Agreement with respect to which Party A is the Defaulting Party, Party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 shall have the right to designate a nationally recognized third-party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dealer in over-the-counter corporate equity derivatives to act, during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9"/>
              </w:rPr>
              <w:t>period commencing on the date such Event of Default occurred and ending</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9"/>
              </w:rPr>
              <w:t>on the Early Termination Date with respect to such Event of Default, as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Calculation  Agent.  Whenever  the  Calculation  Agent  is  required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permitted to act or to exercise judgment in any way with respect to any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Transaction hereunder, including, without limitation, with respect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calculations, adjustments and determinations that are made in its sole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9"/>
              </w:rPr>
              <w:t>discretion or otherwise, the Calculation Agent shall do so in good faith and</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 a commercially reasonable manner.</w:t>
            </w:r>
          </w:p>
        </w:tc>
      </w:tr>
      <w:tr>
        <w:trPr>
          <w:trHeight w:val="392"/>
        </w:trPr>
        <w:tc>
          <w:tcPr>
            <w:tcW w:w="66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72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Date:</w:t>
            </w: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Any Scheduled Trading Day following the Effective Date and up to and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including the Maturity Date, as designated by (a) Party A pursuant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“Termination Settlement” below or (b) Party B in a written notice (a</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9"/>
              </w:rPr>
              <w:t>“Settlement Notice”) that satisfies the Settlement Notice Requirements and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is delivered to Party A at least (i) two Scheduled Trading Days prior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such Settlement Date, which may be the Maturity Date, if Physical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Settlement applies, and (ii) 20 Scheduled Trading Days prior to such</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Settlement Date, which may be the Maturity Date, if Cash Settlement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Net Share Settlement applies; provided that (i) the Maturity Date shall be a</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Settlement Date if on such date the Base Amount is greater than zero and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(ii) if Cash Settlement or Net Share Settlement applies and Party A shall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have fully unwound its hedge during an Unwind Period by a date that is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more than two Scheduled Trading Days prior to a Settlement Date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specified above, Party A may, by written notice to Party B, specify any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Scheduled Trading Day prior to such originally specified Settlement Date</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as the Settlement Date.</w:t>
            </w:r>
          </w:p>
        </w:tc>
      </w:tr>
      <w:tr>
        <w:trPr>
          <w:trHeight w:val="414"/>
        </w:trPr>
        <w:tc>
          <w:tcPr>
            <w:tcW w:w="660" w:type="dxa"/>
            <w:vAlign w:val="bottom"/>
          </w:tcPr>
          <w:p>
            <w:pPr>
              <w:spacing w:after="0"/>
              <w:rPr>
                <w:sz w:val="24"/>
                <w:szCs w:val="24"/>
                <w:color w:val="auto"/>
              </w:rPr>
            </w:pPr>
          </w:p>
        </w:tc>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Shares:</w:t>
            </w: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9"/>
              </w:rPr>
              <w:t>With respect to any Settlement Date, a number of Shares, not to exceed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Base Amount, designated as such by Party B in the related Settlement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Notice or by Party A pursuant to “Termination Settlement” below;</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provided that on the Maturity Date the number of Settlement Shares shall</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be equal to the Base Amount on such date.</w:t>
            </w:r>
          </w:p>
        </w:tc>
      </w:tr>
      <w:tr>
        <w:trPr>
          <w:trHeight w:val="648"/>
        </w:trPr>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4"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Physical Settlement, Cash Settlement or Net Share Settlement, at the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election of Party B as set forth in a Settlement Notice delivered on or after</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Effective Date (if applicable) that satisfies the Settlement Notice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Requirements; provided that Physical Settlement shall apply (i) if no</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Settlement Method is validly selected, (ii) with respect to any Settlement</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Shares in respect of which Party A is unable, in its good faith and</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commercially reasonable judgment, to unwind its hedge for the Transaction</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 the end of the Unwind Period in a manner that, in the reasonable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judgment of Party A, based on the advice of counsel, is consistent with</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Rule 10b-18 under the Exchange Act or due to the occurrence of Disrupted</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Days or to the lack of sufficient liquidity in the Shares on any Exchange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Business Day during the Unwind Period relative to the liquidity on the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Effective Date, (iii) to any Termination Settlement Date (as defined below</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under “Termination Settlement”), (iv) if the Maturity Date is a Settlement</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Date other than as the result of a valid Settlement Notice in respect of such</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Settlement Date or (v) if Party B has entered into an additional Share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Forward or other equity derivative transaction (each, an “Additional Equity</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Derivative Transaction”), Party A determines, based on the advice of</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counsel, that it is unable to unwind its hedge for the Transaction in a</w:t>
            </w:r>
          </w:p>
        </w:tc>
      </w:tr>
      <w:tr>
        <w:trPr>
          <w:trHeight w:val="234"/>
        </w:trPr>
        <w:tc>
          <w:tcPr>
            <w:tcW w:w="4480" w:type="dxa"/>
            <w:vAlign w:val="bottom"/>
          </w:tcPr>
          <w:p>
            <w:pPr>
              <w:spacing w:after="0"/>
              <w:rPr>
                <w:sz w:val="20"/>
                <w:szCs w:val="20"/>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manner consistent with Rule 10b-18 under the Exchange Act.</w:t>
            </w:r>
          </w:p>
        </w:tc>
      </w:tr>
      <w:tr>
        <w:trPr>
          <w:trHeight w:val="333"/>
        </w:trPr>
        <w:tc>
          <w:tcPr>
            <w:tcW w:w="4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 Notice Requirements:</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Notwithstanding any other provision hereof, a Settlement Notice delivered</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 Party B that specifies Cash Settlement or Net Share Settlement will not</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99"/>
              </w:rPr>
              <w:t>be effective unless the Settlement Notice includes a representation by Party</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 substantially in the form set forth in clause (i) below under the heading</w:t>
            </w:r>
          </w:p>
        </w:tc>
      </w:tr>
      <w:tr>
        <w:trPr>
          <w:trHeight w:val="234"/>
        </w:trPr>
        <w:tc>
          <w:tcPr>
            <w:tcW w:w="4480" w:type="dxa"/>
            <w:vAlign w:val="bottom"/>
          </w:tcPr>
          <w:p>
            <w:pPr>
              <w:spacing w:after="0"/>
              <w:rPr>
                <w:sz w:val="20"/>
                <w:szCs w:val="20"/>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“Representations, Warranties and Agreements of Party B”.</w:t>
            </w:r>
          </w:p>
        </w:tc>
      </w:tr>
      <w:tr>
        <w:trPr>
          <w:trHeight w:val="333"/>
        </w:trPr>
        <w:tc>
          <w:tcPr>
            <w:tcW w:w="4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Unwind Period:</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period from and including the first Exchange Business Day following</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date Party B provides Settlement Notice for a valid election of Cash</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Settlement or Net Share Settlement in respect of a Settlement Date through</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first Scheduled Trading Day preceding such Settlement Date (or the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immediately preceding Exchange Business Day if such Scheduled Trading</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Day is not an Exchange Business Day and excluding any Disrupted Day);</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subject to “Termination Settlement” below. If any Exchange Business Day</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during an Unwind Period is a Disrupted Day, the Calculation Agent shall</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make commercially reasonable adjustments to the terms of the Transaction</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(including, without limitation, the Cash Settlement Amount, the number of</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Net Share Settlement Shares and the 10b-18 VWAP) to account for the</w:t>
            </w:r>
          </w:p>
        </w:tc>
      </w:tr>
      <w:tr>
        <w:trPr>
          <w:trHeight w:val="234"/>
        </w:trPr>
        <w:tc>
          <w:tcPr>
            <w:tcW w:w="4480" w:type="dxa"/>
            <w:vAlign w:val="bottom"/>
          </w:tcPr>
          <w:p>
            <w:pPr>
              <w:spacing w:after="0"/>
              <w:rPr>
                <w:sz w:val="20"/>
                <w:szCs w:val="20"/>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occurrence of such Disrupted Day.</w:t>
            </w:r>
          </w:p>
        </w:tc>
      </w:tr>
      <w:tr>
        <w:trPr>
          <w:trHeight w:val="333"/>
        </w:trPr>
        <w:tc>
          <w:tcPr>
            <w:tcW w:w="4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Market Disruption Event:</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Section 6.3(a) of the 2002 Definitions is hereby amended by replacing the</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first sentence in its entirety with the following: “‘Market Disruption Event’</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means in respect of a Share, the occurrence or existence of (i) a Trading</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Disruption, (ii) an Exchange Disruption, (iii) an Early Closure or (iv) a</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Regulatory Disruption, in each case, that the Calculation Agent determines</w:t>
            </w:r>
          </w:p>
        </w:tc>
      </w:tr>
      <w:tr>
        <w:trPr>
          <w:trHeight w:val="216"/>
        </w:trPr>
        <w:tc>
          <w:tcPr>
            <w:tcW w:w="4480" w:type="dxa"/>
            <w:vAlign w:val="bottom"/>
          </w:tcPr>
          <w:p>
            <w:pPr>
              <w:spacing w:after="0"/>
              <w:rPr>
                <w:sz w:val="18"/>
                <w:szCs w:val="18"/>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 its good faith and commercially reasonable manner, is material at any</w:t>
            </w:r>
          </w:p>
        </w:tc>
      </w:tr>
      <w:tr>
        <w:trPr>
          <w:trHeight w:val="234"/>
        </w:trPr>
        <w:tc>
          <w:tcPr>
            <w:tcW w:w="4480" w:type="dxa"/>
            <w:vAlign w:val="bottom"/>
          </w:tcPr>
          <w:p>
            <w:pPr>
              <w:spacing w:after="0"/>
              <w:rPr>
                <w:sz w:val="20"/>
                <w:szCs w:val="20"/>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time during a Scheduled Trading Day.”</w:t>
            </w:r>
          </w:p>
        </w:tc>
      </w:tr>
      <w:tr>
        <w:trPr>
          <w:trHeight w:val="783"/>
        </w:trPr>
        <w:tc>
          <w:tcPr>
            <w:tcW w:w="44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Early Closure:</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Section 6.3(d) of the 2002 Definitions is hereby amended by deleting the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remainder of the provision following the term “Scheduled Closing Time”</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 the fourth line thereof.</w:t>
            </w:r>
          </w:p>
        </w:tc>
      </w:tr>
      <w:tr>
        <w:trPr>
          <w:trHeight w:val="333"/>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Regulatory Disruption:</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Any event that Party A, in its good faith and commercially reasonable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discretion, based on advice of counsel, determines it appropriate with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regard to any legal, regulatory or self-regulatory requirements or related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policies and procedures (that apply broadly to similar transactions for other</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issuers) for Party A to refrain from or decrease any market activity in</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connection with the Transaction. Subject to applicable legal requirements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and Party A’s internal policies and guidelines, Party A shall promptly</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notify Party B upon the occurrence of a Regulatory Disruption and shall</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subsequently promptly notify Party B on the day Party A determines that</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circumstances giving rise to such Regulatory Disruption have changed.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Party A shall make its determination of a Regulatory Disruption in a</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manner consistent with the determinations made with respect to other</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issuers under similar facts and circumstances..</w:t>
            </w:r>
          </w:p>
        </w:tc>
      </w:tr>
      <w:tr>
        <w:trPr>
          <w:trHeight w:val="351"/>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 Act: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Securities Exchange Act of 1934, as amended from time to time</w:t>
            </w:r>
          </w:p>
        </w:tc>
      </w:tr>
      <w:tr>
        <w:trPr>
          <w:trHeight w:val="351"/>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Securities Act: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Securities Act of 1933, as amended from time to time.</w:t>
            </w:r>
          </w:p>
        </w:tc>
      </w:tr>
      <w:tr>
        <w:trPr>
          <w:trHeight w:val="333"/>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 any Settlement Date in respect of which Physical Settlement applies,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Party B shall deliver to Party A through the Clearance System the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Shares for such Settlement Date, and Party A shall pay to Party</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  by  wire  transfer  of  immediately  available  funds  to  an  account</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designated by Party B, an amount in cash equal to the Physical Settlement</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Amount for such Settlement Date, on a delivery versus payment basis. If,</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 any Settlement Date, the Shares to be delivered by Party B to Party A</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hereunder are not so delivered (the “Deferred Shares”), and a Forward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Price Reduction Date occurs during the period from, and including, such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Date to, but excluding, the date such Shares are actually</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delivered to Party A, then the portion of the Physical Settlement Amount</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payable by Party A to Party B in respect of the Deferred Shares shall be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reduced by an amount equal to the Forward Price Reduction Amount for</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such Forward Price Reduction Date, multiplied by the number of Deferred</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Shares.</w:t>
            </w:r>
          </w:p>
        </w:tc>
      </w:tr>
      <w:tr>
        <w:trPr>
          <w:trHeight w:val="333"/>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For any Settlement Date in respect of which Physical Settlement applies,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 amount in cash equal to the product of (i) the Forward Price on such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Date and (ii) the number of Settlement Shares for such</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Date.</w:t>
            </w:r>
          </w:p>
        </w:tc>
      </w:tr>
      <w:tr>
        <w:trPr>
          <w:trHeight w:val="333"/>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if the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Cash Settlement Amount for such Settlement Date is a positive number,</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Party A will pay such Cash Settlement Amount to Party B. If the Cash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Amount is a negative number, Party B will pay the absolute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value of such Cash Settlement Amount to Party A. Such amounts shall be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paid on the Settlement Date by wire transfer of immediately available</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funds.</w:t>
            </w:r>
          </w:p>
        </w:tc>
      </w:tr>
      <w:tr>
        <w:trPr>
          <w:trHeight w:val="783"/>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 Amount: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For any Settlement Date in respect of which Cash Settlement applies, an</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amount determined by the Calculation Agent equal to the difference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between (1) the product of (i) the difference between (A) the average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Forward Price over the period beginning on, and including, the date that is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one Settlement Cycle following the first day of the applicable Unwind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Period and ending on, and including, such Settlement Date (calculated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assuming no reduction to the Forward Price for any Forward Price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Reduction Date that occurs during the Unwind Period), minus USD 0.015,</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and (B) the average of the 10b-18 VWAP prices per Share on each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9"/>
              </w:rPr>
              <w:t>Exchange Business Day during such Unwind Period, and (ii) the number of</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Shares for such Settlement Date, and (2) the product of (i) the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Forward Price Reduction Amount for any Forward Price Reduction Date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that occurs during such Unwind Period, and (ii) the number of Settlement</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Shares with respect to which Party A has not unwound its hedge for the</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Transaction as of such Forward Price Reduction Date.</w:t>
            </w:r>
          </w:p>
        </w:tc>
      </w:tr>
      <w:tr>
        <w:trPr>
          <w:trHeight w:val="333"/>
        </w:trPr>
        <w:tc>
          <w:tcPr>
            <w:tcW w:w="4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Net Share Settlement:</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On any Settlement Date in respect of which Net Share Settlement applies,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if the number of Net Share Settlement Shares is a (i) negative number,</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Party A shall deliver a number of Shares to Party B equal to the absolute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value of the Net Share Settlement Shares, or (ii) positive number, Party B</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shall deliver to Party A the Net Share Settlement Shares; provided that if</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Party  A  determines  in  its  good  faith  and  commercially  reasonable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judgment that it would be required to deliver Net Share Settlement Shares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to Party B, Party A may elect to deliver a portion of such Net Share</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Shares on one or more dates prior to the applicable Settlement</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Date.</w:t>
            </w:r>
          </w:p>
        </w:tc>
      </w:tr>
      <w:tr>
        <w:trPr>
          <w:trHeight w:val="333"/>
        </w:trPr>
        <w:tc>
          <w:tcPr>
            <w:tcW w:w="4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For any Settlement Date in respect of which Net Share Settlement applies,</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 number of Shares equal to (a) the number of Settlement Shares for such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Date, minus (b) the quotient of (A) the difference between (1)</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product of (i) the average Forward Price over the period beginning on,</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and including, the date that is one Settlement Cycle following the first day</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of the applicable Unwind Period and ending on, and including, such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9"/>
              </w:rPr>
              <w:t>Settlement Date (calculated assuming no reduction to the Forward Price for</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any Forward Price Reduction Date that occurs during the Unwind Period),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minus USD 0.015, and (ii) the number of Settlement Shares for such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Settlement Date, and (2) the product of (i) the Forward Price Reduction</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Amount for any Forward Price Reduction Date that occurs during such</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Unwind Period, and (ii) the number of Shares with respect to which Party</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 has not unwound its hedge as of such Forward Price Reduction Date and</w:t>
            </w:r>
          </w:p>
        </w:tc>
      </w:tr>
      <w:tr>
        <w:trPr>
          <w:trHeight w:val="216"/>
        </w:trPr>
        <w:tc>
          <w:tcPr>
            <w:tcW w:w="4340" w:type="dxa"/>
            <w:vAlign w:val="bottom"/>
          </w:tcPr>
          <w:p>
            <w:pPr>
              <w:spacing w:after="0"/>
              <w:rPr>
                <w:sz w:val="18"/>
                <w:szCs w:val="18"/>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 the average of the 10b-18 VWAP prices per Share on each Exchange</w:t>
            </w:r>
          </w:p>
        </w:tc>
      </w:tr>
      <w:tr>
        <w:trPr>
          <w:trHeight w:val="234"/>
        </w:trPr>
        <w:tc>
          <w:tcPr>
            <w:tcW w:w="4340" w:type="dxa"/>
            <w:vAlign w:val="bottom"/>
          </w:tcPr>
          <w:p>
            <w:pPr>
              <w:spacing w:after="0"/>
              <w:rPr>
                <w:sz w:val="20"/>
                <w:szCs w:val="20"/>
                <w:color w:val="auto"/>
              </w:rPr>
            </w:pPr>
          </w:p>
        </w:tc>
        <w:tc>
          <w:tcPr>
            <w:tcW w:w="69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Business Day during such Unwind Period.</w:t>
            </w:r>
          </w:p>
        </w:tc>
      </w:tr>
      <w:tr>
        <w:trPr>
          <w:trHeight w:val="783"/>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10b-18 VWAP:</w:t>
            </w: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For any Exchange Business Day during the Unwind Period which is not a</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Disrupted  Day,  the  volume-weighted  average  price  reported  on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Bloomberg Page “AKR &lt;Equity&gt; AQR SEC” (or any successor thereto)</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for such Exchange Business Day; provided, however, that if such price is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unavailable for an Exchange Business Day or the Calculation Agent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determines that such price does not correctly reflect the volume-weighted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average price at which the Shares trade as reported in the composite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transactions for the Exchange on such Exchange Business Day, excluding</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 trades that do not settle regular way, (ii) opening (regular way) reported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trades on the Exchange on such Exchange Business Day, (iii) trades that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occur in the last ten minutes before the scheduled close of trading on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Exchange on such Exchange Business Day and ten minutes before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scheduled close of the primary trading session in the market where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trade is effected, and (iv) trades on such Exchange Business Day that do</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not satisfy the requirements of Rule 10b-18(b)(3), the Calculation Agent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shall, in a good faith, commercially reasonable manner, determine the 10b-</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18 VWAP for such Exchange Business Day based on the criteria specified</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above in this proviso.</w:t>
            </w:r>
          </w:p>
        </w:tc>
      </w:tr>
      <w:tr>
        <w:trPr>
          <w:trHeight w:val="351"/>
        </w:trPr>
        <w:tc>
          <w:tcPr>
            <w:tcW w:w="660" w:type="dxa"/>
            <w:vAlign w:val="bottom"/>
          </w:tcPr>
          <w:p>
            <w:pPr>
              <w:spacing w:after="0"/>
              <w:rPr>
                <w:sz w:val="24"/>
                <w:szCs w:val="24"/>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Currency:</w:t>
            </w: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USD.</w:t>
            </w:r>
          </w:p>
        </w:tc>
      </w:tr>
      <w:tr>
        <w:trPr>
          <w:trHeight w:val="351"/>
        </w:trPr>
        <w:tc>
          <w:tcPr>
            <w:tcW w:w="660" w:type="dxa"/>
            <w:vAlign w:val="bottom"/>
          </w:tcPr>
          <w:p>
            <w:pPr>
              <w:spacing w:after="0"/>
              <w:rPr>
                <w:sz w:val="24"/>
                <w:szCs w:val="24"/>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Failure to Deliver:</w:t>
            </w: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Inapplicable.</w:t>
            </w:r>
          </w:p>
        </w:tc>
      </w:tr>
      <w:tr>
        <w:trPr>
          <w:trHeight w:val="310"/>
        </w:trPr>
        <w:tc>
          <w:tcPr>
            <w:tcW w:w="66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1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Method of Adjustment:</w:t>
            </w: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33"/>
        </w:trPr>
        <w:tc>
          <w:tcPr>
            <w:tcW w:w="660" w:type="dxa"/>
            <w:vAlign w:val="bottom"/>
          </w:tcPr>
          <w:p>
            <w:pPr>
              <w:spacing w:after="0"/>
              <w:rPr>
                <w:sz w:val="24"/>
                <w:szCs w:val="24"/>
                <w:color w:val="auto"/>
              </w:rPr>
            </w:pPr>
          </w:p>
        </w:tc>
        <w:tc>
          <w:tcPr>
            <w:tcW w:w="3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Adjustment:</w:t>
            </w: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If, in Party A’s commercially reasonable judgment, the stock loan fee to</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Party A (or an affiliate thereof), excluding the federal funds or other</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interest rate component payable by the relevant stock lender to Party A or</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such affiliate (the “Stock Loan Fee”), over the immediately preceding one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month period, of borrowing a number of Shares equal to the Base Amount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to hedge its exposure to the Transaction exceeds a weighted average rate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equal to 25 basis points per annum, the Calculation Agent shall reduce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Forward Price in order to compensate Party A for the amount by which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Stock Loan Fee exceeded a weighted average rate equal to 25 basis points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per annum during such period. The Calculation Agent shall notify Party B</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in writing prior to making any such adjustment to the Forward Price and,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upon the request of Party B, Party A shall provide an itemized list in</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reasonable detail of the Stock Loan Fees for the applicable one month</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period (including any quotations, market data or information from external</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sources used by Party A in developing such list, but without disclosing its</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proprietary models or other information that is subject to contractual, legal</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or regulatory obligations to not disclose such information).</w:t>
            </w:r>
          </w:p>
        </w:tc>
      </w:tr>
      <w:tr>
        <w:trPr>
          <w:trHeight w:val="783"/>
        </w:trPr>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4" w:right="339" w:bottom="1440" w:gutter="0" w:footer="0" w:header="0"/>
        </w:sectPr>
      </w:pPr>
    </w:p>
    <w:bookmarkStart w:id="108" w:name="page109"/>
    <w:bookmarkEnd w:id="108"/>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Details:</w:t>
            </w:r>
          </w:p>
        </w:tc>
        <w:tc>
          <w:tcPr>
            <w:tcW w:w="6760" w:type="dxa"/>
            <w:vAlign w:val="bottom"/>
          </w:tcPr>
          <w:p>
            <w:pPr>
              <w:spacing w:after="0"/>
              <w:rPr>
                <w:sz w:val="17"/>
                <w:szCs w:val="17"/>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53"/>
        </w:trPr>
        <w:tc>
          <w:tcPr>
            <w:tcW w:w="3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Payments to Party A:</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w:t>
            </w:r>
          </w:p>
        </w:tc>
      </w:tr>
      <w:tr>
        <w:trPr>
          <w:trHeight w:val="234"/>
        </w:trPr>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Settlement Date</w:t>
            </w:r>
          </w:p>
        </w:tc>
      </w:tr>
      <w:tr>
        <w:trPr>
          <w:trHeight w:val="333"/>
        </w:trPr>
        <w:tc>
          <w:tcPr>
            <w:tcW w:w="3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Payments to Party B:</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w:t>
            </w:r>
          </w:p>
        </w:tc>
      </w:tr>
      <w:tr>
        <w:trPr>
          <w:trHeight w:val="234"/>
        </w:trPr>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Settlement Date</w:t>
            </w:r>
          </w:p>
        </w:tc>
      </w:tr>
      <w:tr>
        <w:trPr>
          <w:trHeight w:val="351"/>
        </w:trPr>
        <w:tc>
          <w:tcPr>
            <w:tcW w:w="3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Delivery of Shares to Party A:</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 be advised.</w:t>
            </w:r>
          </w:p>
        </w:tc>
      </w:tr>
      <w:tr>
        <w:trPr>
          <w:trHeight w:val="351"/>
        </w:trPr>
        <w:tc>
          <w:tcPr>
            <w:tcW w:w="3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Delivery of Shares to Party B:</w:t>
            </w:r>
          </w:p>
        </w:tc>
        <w:tc>
          <w:tcPr>
            <w:tcW w:w="6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 be advised.</w:t>
            </w:r>
          </w:p>
        </w:tc>
      </w:tr>
    </w:tbl>
    <w:p>
      <w:pPr>
        <w:spacing w:after="0" w:line="333" w:lineRule="exact"/>
        <w:rPr>
          <w:sz w:val="20"/>
          <w:szCs w:val="20"/>
          <w:color w:val="auto"/>
        </w:rPr>
      </w:pPr>
    </w:p>
    <w:p>
      <w:pPr>
        <w:ind w:left="240" w:hanging="232"/>
        <w:spacing w:after="0"/>
        <w:tabs>
          <w:tab w:leader="none" w:pos="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Confirmation and the Transaction shall be subject to the following conditions:</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Party B and Acadia Realty Limited Partnership (the “Partnership”) contained in the Underwriting Agreement dated the date hereof between Party B, the Partnership, Party A and the Underwriters party thereto (the “Underwriting Agreement”), and any certificate delivered pursuant thereto by Party B or the Partnership shall be true and correct on the Effective Date as if made as of the Effective Date;</w:t>
      </w:r>
    </w:p>
    <w:p>
      <w:pPr>
        <w:spacing w:after="0" w:line="179"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Party B and the Partnership shall have performed all of the obligations required to be performed by it under the Underwriting Agreement on or prior to the Effective Date;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set forth in Section 6 of the Underwriting Agreement shall have been satisfied;</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(as defined in the Underwriting Agreement) shall have occurred as provided in the Underwriting Agreement;</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Party B hereunder and under the Agreement shall be true and correct on the Effective Date as if made as of the Effective Date;</w:t>
      </w:r>
    </w:p>
    <w:p>
      <w:pPr>
        <w:spacing w:after="0" w:line="161"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performed all of the obligations required to be performed by it hereunder and under the Agreement on or prior to the Effective Date, including without limitation its obligations under Section 3(d)‎ hereof; and</w:t>
      </w:r>
    </w:p>
    <w:p>
      <w:pPr>
        <w:spacing w:after="0" w:line="162" w:lineRule="exact"/>
        <w:rPr>
          <w:sz w:val="20"/>
          <w:szCs w:val="20"/>
          <w:color w:val="auto"/>
        </w:rPr>
      </w:pPr>
    </w:p>
    <w:p>
      <w:pPr>
        <w:jc w:val="both"/>
        <w:ind w:left="1620" w:hanging="323"/>
        <w:spacing w:after="0" w:line="261" w:lineRule="auto"/>
        <w:rPr>
          <w:sz w:val="20"/>
          <w:szCs w:val="20"/>
          <w:color w:val="auto"/>
        </w:rPr>
      </w:pPr>
      <w:r>
        <w:rPr>
          <w:rFonts w:ascii="Times New Roman" w:cs="Times New Roman" w:eastAsia="Times New Roman" w:hAnsi="Times New Roman"/>
          <w:sz w:val="18"/>
          <w:szCs w:val="18"/>
          <w:color w:val="auto"/>
        </w:rPr>
        <w:t>(vii)Party B shall have delivered to Party A an opinion of counsel in form and substance reasonably satisfactory to Party A, with respect to the matters set forth in Section 3(a) of the Agreement and that the maximum number of Shares initially issuable hereunder have been duly authorized and, upon issuance pursuant to the terms of the Transaction, will be validly issued, fully paid and nonassessable.</w:t>
      </w:r>
    </w:p>
    <w:p>
      <w:pPr>
        <w:spacing w:after="0" w:line="18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Confirmation, if (x) on or prior to 9:00 a.m., New York City time, on the date the Closing Date (as defined in the Underwriting Agreement) is scheduled to occur, in connection with establishing its commercially reasonable hedge position Party A, in its sole judgment, is unable, after using commercially reasonable efforts, to borrow and deliver for sale the Initial Number of Shares or (y) in Party A’s sole judgment, it would incur a stock loan cost of more than 200 basis points per annum with respect to all or any portion of the Initial Number of Shares (in each case, an “Initial Hedging Disruption”), the effectiveness of this Confirmation and the Transaction shall be limited to the number of Shares Party A is so able to borrow in connection with establishing its commercially reasonable hedge position at a cost of not more than 200 basis points per annum (such number of Shares, the “Reduced Number of Shares”), which, for the avoidance of doubt, may be zero.</w:t>
      </w:r>
    </w:p>
    <w:p>
      <w:pPr>
        <w:spacing w:after="0" w:line="192" w:lineRule="exact"/>
        <w:rPr>
          <w:sz w:val="20"/>
          <w:szCs w:val="20"/>
          <w:color w:val="auto"/>
        </w:rPr>
      </w:pPr>
    </w:p>
    <w:p>
      <w:pPr>
        <w:ind w:left="980" w:hanging="324"/>
        <w:spacing w:after="0"/>
        <w:tabs>
          <w:tab w:leader="none" w:pos="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and acknowledges that the Transaction is being entered into in accordance with the October 9, 2003 interpretive letter from the staff of the Securities and Exchange Commission to Goldman, Sachs &amp; Co. (the “Interpretive Letter”). Party B represents that it is eligible to conduct a primary offering of Shares on Form S-3 and that the offering contemplated complies with Rule 415 under the Securities Act.</w:t>
      </w:r>
    </w:p>
    <w:p>
      <w:pPr>
        <w:spacing w:after="0" w:line="17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 of Party B</w:t>
      </w:r>
      <w:r>
        <w:rPr>
          <w:rFonts w:ascii="Times New Roman" w:cs="Times New Roman" w:eastAsia="Times New Roman" w:hAnsi="Times New Roman"/>
          <w:sz w:val="18"/>
          <w:szCs w:val="18"/>
          <w:color w:val="auto"/>
        </w:rPr>
        <w:t>: Party B hereby represents and warrants to, and agrees with, Party A as of the date hereof that:</w:t>
      </w:r>
    </w:p>
    <w:p>
      <w:pPr>
        <w:spacing w:after="0" w:line="161" w:lineRule="exact"/>
        <w:rPr>
          <w:rFonts w:ascii="Times New Roman" w:cs="Times New Roman" w:eastAsia="Times New Roman" w:hAnsi="Times New Roman"/>
          <w:sz w:val="18"/>
          <w:szCs w:val="18"/>
          <w:color w:val="auto"/>
        </w:rPr>
      </w:pPr>
    </w:p>
    <w:p>
      <w:pPr>
        <w:jc w:val="both"/>
        <w:ind w:left="1820" w:hanging="516"/>
        <w:spacing w:after="0" w:line="252" w:lineRule="auto"/>
        <w:tabs>
          <w:tab w:leader="none" w:pos="18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represents to Party A on the Trade Date and on any date that Party B notifies Party A that Cash Settlement or Net Share Settlement applies to this Transaction, that (A) Party B is not aware of any material nonpublic information regarding Party B or the Shares, (B) each of its filings under the Securities Act, the Exchange Act or other applicable securities laws that were required to be filed have been filed in the prior 12 months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Party B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Party B agrees not to designate, or to appropriately rescind or modify a prior designation of, any Settlement Date if it is notified by Party A that, in the reasonable determination of Party A, based on advice of counsel, such settlement or Party A’s related market activity in respect of such date would result in a violation of any applicable federal or state law or regulation, including the U.S. federal securities laws.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91" w:orient="portrait"/>
          <w:cols w:equalWidth="0" w:num="1">
            <w:col w:w="11240"/>
          </w:cols>
          <w:pgMar w:left="320" w:top="891" w:right="339" w:bottom="0"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ind w:left="700" w:hanging="516"/>
        <w:spacing w:after="0" w:line="282" w:lineRule="auto"/>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when issued and delivered in accordance with the terms of the Transaction, will be duly authorized and validly issued, fully paid and nonassessable, and the issuance thereof will not be subject to any preemptive or similar rights.</w:t>
      </w:r>
    </w:p>
    <w:p>
      <w:pPr>
        <w:spacing w:after="0" w:line="161" w:lineRule="exact"/>
        <w:rPr>
          <w:rFonts w:ascii="Times New Roman" w:cs="Times New Roman" w:eastAsia="Times New Roman" w:hAnsi="Times New Roman"/>
          <w:sz w:val="18"/>
          <w:szCs w:val="18"/>
          <w:color w:val="auto"/>
        </w:rPr>
      </w:pPr>
    </w:p>
    <w:p>
      <w:pPr>
        <w:jc w:val="both"/>
        <w:ind w:left="700" w:right="20" w:hanging="516"/>
        <w:spacing w:after="0" w:line="261" w:lineRule="auto"/>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reserved and will keep available at all times, free from preemptive rights, out of its authorized but unissued Shares, solely for the purpose of issuance upon settlement of the Transaction as herein provided, the maximum number of Shares as shall be issuable at such time upon settlement of the Transaction as set forth below under the heading “Maximum Share Delivery”. All Shares so issuable shall, upon such issuance, be accepted for listing or quotation on the Exchange.</w:t>
      </w:r>
    </w:p>
    <w:p>
      <w:pPr>
        <w:spacing w:after="0" w:line="179" w:lineRule="exact"/>
        <w:rPr>
          <w:rFonts w:ascii="Times New Roman" w:cs="Times New Roman" w:eastAsia="Times New Roman" w:hAnsi="Times New Roman"/>
          <w:sz w:val="18"/>
          <w:szCs w:val="18"/>
          <w:color w:val="auto"/>
        </w:rPr>
      </w:pPr>
    </w:p>
    <w:p>
      <w:pPr>
        <w:jc w:val="both"/>
        <w:ind w:left="700" w:hanging="516"/>
        <w:spacing w:after="0" w:line="253" w:lineRule="auto"/>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provide Party A prior written notice (an “Issuer Repurchase Notice”) prior to executing any repurchase of Shares by Party B or any of its subsidiaries (or entering into any contract that would require, or give the option to, Party B or any of its subsidiaries, to purchase or repurchase Shares), whether out of profits or capital or whether the consideration for such repurchase is cash, securities or otherwise (an “Issuer Repurchase”), that alone or in the aggregate would result in the Base Amount Percentage (as defined below) being (i) equal to or greater than 4.5% of the outstanding Shares or (ii) greater by 0.5% or more than the Base Amount Percentage at the time of the immediately preceding Issuer Repurchase Notice (or in the case of the first such Issuer Repurchase Notice, greater than the Base Amount Percentage as of the later of the date hereof or the immediately preceding Settlement Date, if any). The “Base Amount Percentage” as of any day is the fraction (1) the numerator of which is the aggregate of the Base Amount and each “Base Amount” (as defined in the applicable Additional Confirmation and any Additional Equity Derivative Transaction) under any outstanding Additional Transactions and (2) the denominator of which is the number of Shares outstanding on such day.</w:t>
      </w:r>
    </w:p>
    <w:p>
      <w:pPr>
        <w:spacing w:after="0" w:line="191" w:lineRule="exact"/>
        <w:rPr>
          <w:rFonts w:ascii="Times New Roman" w:cs="Times New Roman" w:eastAsia="Times New Roman" w:hAnsi="Times New Roman"/>
          <w:sz w:val="18"/>
          <w:szCs w:val="18"/>
          <w:color w:val="auto"/>
        </w:rPr>
      </w:pPr>
    </w:p>
    <w:p>
      <w:pPr>
        <w:jc w:val="both"/>
        <w:ind w:left="700" w:hanging="516"/>
        <w:spacing w:after="0" w:line="258" w:lineRule="auto"/>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Party B of this Confirmation and the consummation of the Transaction (including, without limitation, the issuance and delivery of Shares on any Settlement Date) except (i) such as have been obtained under the Securities Act, and (ii) as may be required to be obtained under state securities laws.</w:t>
      </w:r>
    </w:p>
    <w:p>
      <w:pPr>
        <w:spacing w:after="0" w:line="183" w:lineRule="exact"/>
        <w:rPr>
          <w:rFonts w:ascii="Times New Roman" w:cs="Times New Roman" w:eastAsia="Times New Roman" w:hAnsi="Times New Roman"/>
          <w:sz w:val="18"/>
          <w:szCs w:val="18"/>
          <w:color w:val="auto"/>
        </w:rPr>
      </w:pPr>
    </w:p>
    <w:p>
      <w:pPr>
        <w:ind w:left="700" w:hanging="516"/>
        <w:spacing w:after="0" w:line="282" w:lineRule="auto"/>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not to make any Issuer Repurchase if, immediately following such Issuer Repurchase, the Base Amount Percentage would be equal to or greater than 4.9%.</w:t>
      </w:r>
    </w:p>
    <w:p>
      <w:pPr>
        <w:spacing w:after="0" w:line="161"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insolvent, nor will Party B be rendered insolvent as a result of the Transaction.</w:t>
      </w:r>
    </w:p>
    <w:p>
      <w:pPr>
        <w:spacing w:after="0" w:line="225" w:lineRule="exact"/>
        <w:rPr>
          <w:sz w:val="20"/>
          <w:szCs w:val="20"/>
          <w:color w:val="auto"/>
        </w:rPr>
      </w:pPr>
    </w:p>
    <w:p>
      <w:pPr>
        <w:jc w:val="both"/>
        <w:ind w:left="700" w:hanging="519"/>
        <w:spacing w:after="0" w:line="256" w:lineRule="auto"/>
        <w:tabs>
          <w:tab w:leader="none" w:pos="680" w:val="left"/>
        </w:tabs>
        <w:rPr>
          <w:sz w:val="20"/>
          <w:szCs w:val="20"/>
          <w:color w:val="auto"/>
        </w:rPr>
      </w:pPr>
      <w:r>
        <w:rPr>
          <w:rFonts w:ascii="Times New Roman" w:cs="Times New Roman" w:eastAsia="Times New Roman" w:hAnsi="Times New Roman"/>
          <w:sz w:val="18"/>
          <w:szCs w:val="18"/>
          <w:color w:val="auto"/>
        </w:rPr>
        <w:t>(viii) </w:t>
        <w:tab/>
        <w:t>Neither Party B nor any of its affiliated purchasers shall take any action (including, without limitation, any direct purchases by Party B or any of its affiliated purchasers or any purchases by a party to a derivative transaction with Party B or any of its affiliated purchasers), either under this Confirmation, under an agreement with another party or otherwise, that in the reasonable judgment of Party B is reasonably likely to cause any purchases of Shares by Party A or any of its affiliates in connection with any Cash Settlement or Net Share Settlement of the Transaction not to meet the conditions of the safe harbor provided by Rule 10b-18 under the Exchange Act if such purchases were made by Party B.</w:t>
      </w:r>
    </w:p>
    <w:p>
      <w:pPr>
        <w:spacing w:after="0" w:line="187" w:lineRule="exact"/>
        <w:rPr>
          <w:sz w:val="20"/>
          <w:szCs w:val="20"/>
          <w:color w:val="auto"/>
        </w:rPr>
      </w:pPr>
    </w:p>
    <w:p>
      <w:pPr>
        <w:ind w:left="700" w:hanging="516"/>
        <w:spacing w:after="0" w:line="282" w:lineRule="auto"/>
        <w:tabs>
          <w:tab w:leader="none" w:pos="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engage in any “distribution” (as defined in Regulation M under the Exchange Act (“Regulation M”)) that would cause a “restricted period” (as defined in Regulation M) to occur during any Unwind Period.</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1" w:name="page112"/>
    <w:bookmarkEnd w:id="111"/>
    <w:p>
      <w:pPr>
        <w:jc w:val="both"/>
        <w:ind w:left="700" w:hanging="516"/>
        <w:spacing w:after="0" w:line="261"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179" w:lineRule="exact"/>
        <w:rPr>
          <w:rFonts w:ascii="Times New Roman" w:cs="Times New Roman" w:eastAsia="Times New Roman" w:hAnsi="Times New Roman"/>
          <w:sz w:val="18"/>
          <w:szCs w:val="18"/>
          <w:color w:val="auto"/>
        </w:rPr>
      </w:pPr>
    </w:p>
    <w:p>
      <w:pPr>
        <w:ind w:left="700" w:hanging="516"/>
        <w:spacing w:after="0"/>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w:t>
      </w:r>
    </w:p>
    <w:p>
      <w:pPr>
        <w:spacing w:after="0" w:line="225" w:lineRule="exact"/>
        <w:rPr>
          <w:rFonts w:ascii="Times New Roman" w:cs="Times New Roman" w:eastAsia="Times New Roman" w:hAnsi="Times New Roman"/>
          <w:sz w:val="18"/>
          <w:szCs w:val="18"/>
          <w:color w:val="auto"/>
        </w:rPr>
      </w:pPr>
    </w:p>
    <w:p>
      <w:pPr>
        <w:jc w:val="both"/>
        <w:ind w:left="1020" w:hanging="32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Transaction, Party A and its Affiliates may buy or sell Shares or other securities or buy or sell options or futures contracts or enter into swaps or other derivative securities in order to establish, adjust or unwind its hedge position with respect to the Transaction;</w:t>
      </w:r>
    </w:p>
    <w:p>
      <w:pPr>
        <w:spacing w:after="0" w:line="175" w:lineRule="exact"/>
        <w:rPr>
          <w:rFonts w:ascii="Times New Roman" w:cs="Times New Roman" w:eastAsia="Times New Roman" w:hAnsi="Times New Roman"/>
          <w:sz w:val="18"/>
          <w:szCs w:val="18"/>
          <w:color w:val="auto"/>
        </w:rPr>
      </w:pPr>
    </w:p>
    <w:p>
      <w:pPr>
        <w:ind w:left="1020" w:hanging="323"/>
        <w:spacing w:after="0" w:line="282"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its Affiliates may also be active in the market for the Shares and Share-linked transactions other than in connection with hedging activities in relation to the Transaction;</w:t>
      </w:r>
    </w:p>
    <w:p>
      <w:pPr>
        <w:spacing w:after="0" w:line="161" w:lineRule="exact"/>
        <w:rPr>
          <w:rFonts w:ascii="Times New Roman" w:cs="Times New Roman" w:eastAsia="Times New Roman" w:hAnsi="Times New Roman"/>
          <w:sz w:val="18"/>
          <w:szCs w:val="18"/>
          <w:color w:val="auto"/>
        </w:rPr>
      </w:pPr>
    </w:p>
    <w:p>
      <w:pPr>
        <w:jc w:val="both"/>
        <w:ind w:left="1020" w:hanging="32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make its own determination as to whether, when or in what manner any hedging or market activities in Party B’s securities shall be conducted and shall do so in a manner that it deems appropriate to hedge its price and market risk with respect to the Forward Price and the 10b-18 VWAP;</w:t>
      </w:r>
    </w:p>
    <w:p>
      <w:pPr>
        <w:spacing w:after="0" w:line="175" w:lineRule="exact"/>
        <w:rPr>
          <w:rFonts w:ascii="Times New Roman" w:cs="Times New Roman" w:eastAsia="Times New Roman" w:hAnsi="Times New Roman"/>
          <w:sz w:val="18"/>
          <w:szCs w:val="18"/>
          <w:color w:val="auto"/>
        </w:rPr>
      </w:pPr>
    </w:p>
    <w:p>
      <w:pPr>
        <w:ind w:left="1020" w:hanging="323"/>
        <w:spacing w:after="0" w:line="282"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Party A and its Affiliates with respect to the Shares may affect the market price and volatility of the Shares, as well as the Forward Price and 10b-18 VWAP, each in a manner that may be adverse to Party B; and</w:t>
      </w:r>
    </w:p>
    <w:p>
      <w:pPr>
        <w:spacing w:after="0" w:line="161" w:lineRule="exact"/>
        <w:rPr>
          <w:rFonts w:ascii="Times New Roman" w:cs="Times New Roman" w:eastAsia="Times New Roman" w:hAnsi="Times New Roman"/>
          <w:sz w:val="18"/>
          <w:szCs w:val="18"/>
          <w:color w:val="auto"/>
        </w:rPr>
      </w:pPr>
    </w:p>
    <w:p>
      <w:pPr>
        <w:jc w:val="both"/>
        <w:ind w:left="1020" w:hanging="32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 derivatives transaction in which it has granted Party A the right, under certain circumstances, to receive cash or Shares, as the case may be; Party A may purchase Shares for its own account at an average price that may be greater than, or less than, the effective price paid by Party B under the terms of the Transaction.</w:t>
      </w:r>
    </w:p>
    <w:p>
      <w:pPr>
        <w:spacing w:after="0" w:line="175" w:lineRule="exact"/>
        <w:rPr>
          <w:rFonts w:ascii="Times New Roman" w:cs="Times New Roman" w:eastAsia="Times New Roman" w:hAnsi="Times New Roman"/>
          <w:sz w:val="18"/>
          <w:szCs w:val="18"/>
          <w:color w:val="auto"/>
        </w:rPr>
      </w:pPr>
    </w:p>
    <w:p>
      <w:pPr>
        <w:ind w:left="700" w:hanging="516"/>
        <w:spacing w:after="0" w:line="282"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Party B do not constitute “plan assets” under the Employee Retirement Income Security Act of 1974, as amended, the Department of Labor Regulations promulgated thereunder or similar law.</w:t>
      </w:r>
    </w:p>
    <w:p>
      <w:pPr>
        <w:spacing w:after="0" w:line="161" w:lineRule="exact"/>
        <w:rPr>
          <w:rFonts w:ascii="Times New Roman" w:cs="Times New Roman" w:eastAsia="Times New Roman" w:hAnsi="Times New Roman"/>
          <w:sz w:val="18"/>
          <w:szCs w:val="18"/>
          <w:color w:val="auto"/>
        </w:rPr>
      </w:pPr>
    </w:p>
    <w:p>
      <w:pPr>
        <w:jc w:val="both"/>
        <w:ind w:left="700" w:hanging="516"/>
        <w:spacing w:after="0" w:line="258"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at least one day prior to the first day of any Unwind Period, notify Party A of the total number of Shares purchased in Rule 10b-18 purchases of blocks pursuant to the once-a-week block exception contained in Rule 10b-18(b)(4) by or for Party B or any of its affiliated purchasers during each of the four calendar weeks preceding the first day of the Unwind Period and during the calendar week in which the first day of the Unwind Period occurs (“Rule 10b-18 purchase”, “blocks” and “affiliated purchaser” each being used as defined in Rule 10b-18).</w:t>
      </w:r>
    </w:p>
    <w:p>
      <w:pPr>
        <w:spacing w:after="0" w:line="183" w:lineRule="exact"/>
        <w:rPr>
          <w:rFonts w:ascii="Times New Roman" w:cs="Times New Roman" w:eastAsia="Times New Roman" w:hAnsi="Times New Roman"/>
          <w:sz w:val="18"/>
          <w:szCs w:val="18"/>
          <w:color w:val="auto"/>
        </w:rPr>
      </w:pPr>
    </w:p>
    <w:p>
      <w:pPr>
        <w:jc w:val="both"/>
        <w:ind w:left="700" w:hanging="516"/>
        <w:spacing w:after="0" w:line="253"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Unwind Period, Party B shall (i) notify Party A prior to the opening of trading in the Shares on any day on which Party B makes, or expects to be made, any public announcement (as defined in Rule 165(f) under the Securities Act) of any merger, acquisition, or similar transaction involving a recapitalization relating to Party B (other than any such transaction in which the consideration consists solely of cash and there is no valuation period), (ii) promptly notify Party A following any such announcement that such announcement has been made, and (iii) promptly deliver to Party A following the making of any such announcement information indicating (A) Party B’s average daily Rule 10b-18 purchases (as defined in Rule 10b-18) during the three full calendar months preceding the date of the announcement of such transaction and (B) Party B’s block purchases (as defined in Rule 10b-18) effected pursuant to paragraph (b)(4) of Rule 10b-18 during the three full calendar months preceding the date of the announcement of such transaction. In addition, Party B shall promptly notify Party A of the earlier to occur of the completion of such transaction and the completion of the vote by target shareholders.</w:t>
      </w:r>
    </w:p>
    <w:p>
      <w:pPr>
        <w:spacing w:after="0" w:line="194" w:lineRule="exact"/>
        <w:rPr>
          <w:rFonts w:ascii="Times New Roman" w:cs="Times New Roman" w:eastAsia="Times New Roman" w:hAnsi="Times New Roman"/>
          <w:sz w:val="18"/>
          <w:szCs w:val="18"/>
          <w:color w:val="auto"/>
        </w:rPr>
      </w:pPr>
    </w:p>
    <w:p>
      <w:pPr>
        <w:ind w:left="700" w:hanging="516"/>
        <w:spacing w:after="0" w:line="282"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700" w:hanging="516"/>
        <w:spacing w:after="0" w:line="258" w:lineRule="auto"/>
        <w:tabs>
          <w:tab w:leader="none" w:pos="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2002 Definitions, Party B acknowledges that Party A is not making any representations or warranties or taking any position or expressing any view with respect to the treatment of the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2" w:name="page113"/>
    <w:bookmarkEnd w:id="112"/>
    <w:p>
      <w:pPr>
        <w:ind w:left="1164" w:hanging="516"/>
        <w:spacing w:after="0" w:line="282" w:lineRule="auto"/>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understands no obligations of Party A to it hereunder will be entitled to the benefit of deposit insurance and that such obligations will not be guaranteed by any affiliate of Party A or any governmental agency.</w:t>
      </w:r>
    </w:p>
    <w:p>
      <w:pPr>
        <w:spacing w:after="0" w:line="161" w:lineRule="exact"/>
        <w:rPr>
          <w:rFonts w:ascii="Times New Roman" w:cs="Times New Roman" w:eastAsia="Times New Roman" w:hAnsi="Times New Roman"/>
          <w:sz w:val="18"/>
          <w:szCs w:val="18"/>
          <w:color w:val="auto"/>
        </w:rPr>
      </w:pPr>
    </w:p>
    <w:p>
      <w:pPr>
        <w:jc w:val="both"/>
        <w:ind w:left="1164" w:hanging="516"/>
        <w:spacing w:after="0" w:line="261" w:lineRule="auto"/>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federal, state or local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other than Sections 13 and 16 under the Exchange Act.</w:t>
      </w:r>
    </w:p>
    <w:p>
      <w:pPr>
        <w:spacing w:after="0" w:line="179" w:lineRule="exact"/>
        <w:rPr>
          <w:rFonts w:ascii="Times New Roman" w:cs="Times New Roman" w:eastAsia="Times New Roman" w:hAnsi="Times New Roman"/>
          <w:sz w:val="18"/>
          <w:szCs w:val="18"/>
          <w:color w:val="auto"/>
        </w:rPr>
      </w:pPr>
    </w:p>
    <w:p>
      <w:pPr>
        <w:ind w:left="1164" w:hanging="516"/>
        <w:spacing w:after="0" w:line="282" w:lineRule="auto"/>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knowledge of the occurrence of any event that would constitute an Event of Default or Potential Event of Default, Party B will so notify Party A in writing within one Scheduled Trading Day.</w:t>
      </w:r>
    </w:p>
    <w:p>
      <w:pPr>
        <w:spacing w:after="0" w:line="161" w:lineRule="exact"/>
        <w:rPr>
          <w:rFonts w:ascii="Times New Roman" w:cs="Times New Roman" w:eastAsia="Times New Roman" w:hAnsi="Times New Roman"/>
          <w:sz w:val="18"/>
          <w:szCs w:val="18"/>
          <w:color w:val="auto"/>
        </w:rPr>
      </w:pPr>
    </w:p>
    <w:p>
      <w:pPr>
        <w:jc w:val="both"/>
        <w:ind w:left="1164" w:hanging="516"/>
        <w:spacing w:after="0" w:line="266" w:lineRule="auto"/>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has such knowledge and experience in financial and business affairs as to be capable of evaluating the merits and risks of entering into the Transaction, (ii) has consulted with its own legal, financial, accounting and tax advisors in connection with the Transaction and (iii) is entering into the Transaction for a bona fide business purpose.</w:t>
      </w:r>
    </w:p>
    <w:p>
      <w:pPr>
        <w:spacing w:after="0" w:line="175" w:lineRule="exact"/>
        <w:rPr>
          <w:rFonts w:ascii="Times New Roman" w:cs="Times New Roman" w:eastAsia="Times New Roman" w:hAnsi="Times New Roman"/>
          <w:sz w:val="18"/>
          <w:szCs w:val="18"/>
          <w:color w:val="auto"/>
        </w:rPr>
      </w:pPr>
    </w:p>
    <w:p>
      <w:pPr>
        <w:ind w:left="1164" w:right="20" w:hanging="516"/>
        <w:spacing w:after="0" w:line="282" w:lineRule="auto"/>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has not been the subject of any civil proceeding of a judicial or administrative body of competent jurisdiction that could reasonably be expected to impair materially Party B’s ability to perform its obligations hereunder.</w:t>
      </w:r>
    </w:p>
    <w:p>
      <w:pPr>
        <w:spacing w:after="0" w:line="161" w:lineRule="exact"/>
        <w:rPr>
          <w:rFonts w:ascii="Times New Roman" w:cs="Times New Roman" w:eastAsia="Times New Roman" w:hAnsi="Times New Roman"/>
          <w:sz w:val="18"/>
          <w:szCs w:val="18"/>
          <w:color w:val="auto"/>
        </w:rPr>
      </w:pPr>
    </w:p>
    <w:p>
      <w:pPr>
        <w:jc w:val="both"/>
        <w:ind w:left="1164" w:hanging="516"/>
        <w:spacing w:after="0" w:line="266" w:lineRule="auto"/>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positions of Party B’s common stock held by Party A or any of its affiliates solely in its capacity as a nominee or fiduciary do not constitute “beneficial ownership” or “direct or indirect ownership” Party A for the purposes of Article VI of the Declaration of Trust of Party B, as amended (the “Articles”), including without limitation Section 6.6 thereof.</w:t>
      </w:r>
    </w:p>
    <w:p>
      <w:pPr>
        <w:spacing w:after="0" w:line="176" w:lineRule="exact"/>
        <w:rPr>
          <w:sz w:val="20"/>
          <w:szCs w:val="20"/>
          <w:color w:val="auto"/>
        </w:rPr>
      </w:pPr>
    </w:p>
    <w:p>
      <w:pPr>
        <w:ind w:left="324" w:hanging="324"/>
        <w:spacing w:after="0"/>
        <w:tabs>
          <w:tab w:leader="none" w:pos="3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Party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Subject to the circumstances described under “Private Placement Procedures”, Party B acknowledges and agrees that any Shares delivered by Party B to Party A on any Settlement Date will be newly issued Shares and when delivered by Party A (or an affiliate of Party A) to securities lenders from whom Party A (or an affiliate of Party A) borrowed Shares in connection with hedging its exposure to the Transaction will be freely saleable without further registration or other restrictions under the Securities Act, in the hands of those securities lenders, irrespective of whether such stock loan is effected by Party A or an affiliate of Party A. Accordingly, Party B agrees that the Shares that it delivers to Party A on each Settlement Date will not bear a restrictive legend and that such Shares will be deposited in, and the delivery thereof shall be effected through the facilities of, the Clearance System.</w:t>
      </w:r>
    </w:p>
    <w:p>
      <w:pPr>
        <w:spacing w:after="0" w:line="189" w:lineRule="exact"/>
        <w:rPr>
          <w:sz w:val="20"/>
          <w:szCs w:val="20"/>
          <w:color w:val="auto"/>
        </w:rPr>
      </w:pPr>
    </w:p>
    <w:p>
      <w:pPr>
        <w:ind w:left="324" w:hanging="324"/>
        <w:spacing w:after="0"/>
        <w:tabs>
          <w:tab w:leader="none" w:pos="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Party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shall be applicable, Party A shall use any Shares delivered by Party B to Party A on any Settlement Date to return to securities lenders to close out open Share loans created by Party A or an affiliate of Party A in the course of Party A’s or such affiliate’s hedging activities related to Party A’s exposure under this Confirmation.</w:t>
      </w:r>
    </w:p>
    <w:p>
      <w:pPr>
        <w:spacing w:after="0" w:line="179"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the Transaction, Party A shall use good faith efforts to conduct its activities, or cause its affiliates to conduct their activities, in a manner consistent with the requirements of the safe harbor provided by Rule 10b-18 under the Exchange Act, as if such provisions were applicable to such purchases aggregated with any analogous purchases occurring on the same day under any Additional Transaction.</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Deadline for Designating an Early Termination Date and Payment Suspension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either party provides notice to the other party that there has occurred (1) an Event of Default as to which Party B is the Defaulting Party; (2) a Potential Event of Default with respect to Party B or (3) a Termination Event as to which Party B is the sole Affected Party, then, notwithstanding Section 9(f) of the Agreement and unless Party A and Party B otherwise agree in writing, after 30 calendar days have elapsed following such notice, (i) Party A shall have no further right to designate an Early Termination Date by reason of the aforementioned Event of Default or Termination Event and (ii) the aforementioned Event of Default or Potential Event of Default shall be deemed to cease to be continuing for the purposes of Section 2(a)(iii)(1) of the Agreement. Party A hereby agrees to provide any notice referred to in the preceding sentence as promptly as practicable after it determines, acting in good faith, that the aforementioned Event of Default, Potential Event of Default or Termination Event has occurred.</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3" w:name="page114"/>
    <w:bookmarkEnd w:id="113"/>
    <w:p>
      <w:pPr>
        <w:ind w:left="324" w:hanging="324"/>
        <w:spacing w:after="0"/>
        <w:tabs>
          <w:tab w:leader="none" w:pos="3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in the Agreement, in the 2006 Definitions or in the 2002 Definitions, upon any Insolvency Filing in respect of the Issuer, the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w:t>
      </w:r>
    </w:p>
    <w:p>
      <w:pPr>
        <w:spacing w:after="0" w:line="180" w:lineRule="exact"/>
        <w:rPr>
          <w:sz w:val="20"/>
          <w:szCs w:val="20"/>
          <w:color w:val="auto"/>
        </w:rPr>
      </w:pPr>
    </w:p>
    <w:p>
      <w:pPr>
        <w:ind w:left="324" w:hanging="324"/>
        <w:spacing w:after="0"/>
        <w:tabs>
          <w:tab w:leader="none" w:pos="3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If an ex-dividend date for an Extraordinary Dividend occurs on or after the Trade Date and on or prior to the Maturity Date (or, if later, the last date on which Shares are delivered by Party B to Party A in settlement of the Transaction), Party B shall pay an amount in cash equal to the product of such Extraordinary Dividend and the Base Amount to Party A on the earlier of (i) the date on which such Extraordinary Dividend is paid by the Issuer to holders of record of the Shares or (ii) the Maturity Date. “Extraordinary Dividend” means the per Share amount of any cash dividend or distribution declared by the Issuer with respect to the Shares that is specified by the board of directors of the Issuer as an “extraordinary” dividend.</w:t>
      </w:r>
    </w:p>
    <w:p>
      <w:pPr>
        <w:spacing w:after="0" w:line="187" w:lineRule="exact"/>
        <w:rPr>
          <w:sz w:val="20"/>
          <w:szCs w:val="20"/>
          <w:color w:val="auto"/>
        </w:rPr>
      </w:pPr>
    </w:p>
    <w:p>
      <w:pPr>
        <w:ind w:left="324" w:hanging="324"/>
        <w:spacing w:after="0"/>
        <w:tabs>
          <w:tab w:leader="none" w:pos="32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each constitute an “Acceleration Event”:</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Events</w:t>
      </w:r>
      <w:r>
        <w:rPr>
          <w:rFonts w:ascii="Times New Roman" w:cs="Times New Roman" w:eastAsia="Times New Roman" w:hAnsi="Times New Roman"/>
          <w:sz w:val="18"/>
          <w:szCs w:val="18"/>
          <w:color w:val="auto"/>
        </w:rPr>
        <w:t>. In the good faith and commercially reasonable judgment of Party A (i) Party A (or its affiliate) is unable, after using commercially reasonable efforts, to hedge its exposure to the Transaction because of the lack of sufficient Shares being made available for Share borrowing by lenders, or (ii) Party A (or its affiliate) would incur a Stock Loan Fee to borrow a number of Shares equal to the Base Amount of more than a rate of 200 basis points per annum (each, a “Stock Borrow Event”);</w:t>
      </w:r>
    </w:p>
    <w:p>
      <w:pPr>
        <w:spacing w:after="0" w:line="179"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On any day occurring after the Trade Date Party B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only) to but excluding the next subsequent Forward Price Reduction Date exceeds, on a per Share basis, the Forward Price Reduction Amount set forth opposite the first date of any such period on Schedule I,</w:t>
      </w:r>
    </w:p>
    <w:p>
      <w:pPr>
        <w:spacing w:after="0" w:line="3" w:lineRule="exact"/>
        <w:rPr>
          <w:rFonts w:ascii="Times New Roman" w:cs="Times New Roman" w:eastAsia="Times New Roman" w:hAnsi="Times New Roman"/>
          <w:sz w:val="18"/>
          <w:szCs w:val="18"/>
          <w:color w:val="auto"/>
        </w:rPr>
      </w:pPr>
    </w:p>
    <w:p>
      <w:pPr>
        <w:jc w:val="both"/>
        <w:ind w:left="964" w:firstLine="8"/>
        <w:spacing w:after="0" w:line="255" w:lineRule="auto"/>
        <w:tabs>
          <w:tab w:leader="none" w:pos="1234"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capital or securities of another issuer acquired or owned (directly or indirectly) by Party B as a result of a spin-off or other similar transaction or (iii) any other type of securities (other than Shares), rights or warrants or other assets, for payment (cash or other consideration) at less than the prevailing market price as determined by Party A;</w:t>
      </w:r>
    </w:p>
    <w:p>
      <w:pPr>
        <w:spacing w:after="0" w:line="185"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ISDA Early Termination Date</w:t>
      </w:r>
      <w:r>
        <w:rPr>
          <w:rFonts w:ascii="Times New Roman" w:cs="Times New Roman" w:eastAsia="Times New Roman" w:hAnsi="Times New Roman"/>
          <w:sz w:val="18"/>
          <w:szCs w:val="18"/>
          <w:color w:val="auto"/>
        </w:rPr>
        <w:t>. Party A notifies Party B that Party A has designated an Early Termination Date pursuant to Section 6 of the Agreement;</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61" w:lineRule="auto"/>
        <w:tabs>
          <w:tab w:leader="none" w:pos="9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The public announcement of any event that if consummated would result in an Extraordinary Event or the occurrence of any Change in Law or a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w:t>
      </w:r>
    </w:p>
    <w:p>
      <w:pPr>
        <w:jc w:val="both"/>
        <w:ind w:left="964" w:firstLine="8"/>
        <w:spacing w:after="0" w:line="250" w:lineRule="auto"/>
        <w:tabs>
          <w:tab w:leader="none" w:pos="1286"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2002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definition of “Change in Law” provided in Section 12.9(a)(ii) of the 2002 Definitions is hereby amended by (i) replacing the phrase “the interpretation” in the third line thereof with the phrase “, or public announcement of, the formal or informal interpretation” and (ii) replacing the parenthetical beginning after the word “regulation” in the second line thereof the words “(including, for the avoidance of doubt and without limitation,</w:t>
      </w:r>
    </w:p>
    <w:p>
      <w:pPr>
        <w:spacing w:after="0" w:line="2" w:lineRule="exact"/>
        <w:rPr>
          <w:rFonts w:ascii="Times New Roman" w:cs="Times New Roman" w:eastAsia="Times New Roman" w:hAnsi="Times New Roman"/>
          <w:sz w:val="18"/>
          <w:szCs w:val="18"/>
          <w:color w:val="auto"/>
        </w:rPr>
      </w:pPr>
    </w:p>
    <w:p>
      <w:pPr>
        <w:ind w:left="1224" w:hanging="252"/>
        <w:spacing w:after="0"/>
        <w:tabs>
          <w:tab w:leader="none" w:pos="1224"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law or (y) adoption, effectiveness or promulgation of new regulations authorized or mandated by existing statute)”; or</w:t>
      </w:r>
    </w:p>
    <w:p>
      <w:pPr>
        <w:spacing w:after="0" w:line="206"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w:t>
      </w:r>
      <w:r>
        <w:rPr>
          <w:rFonts w:ascii="Times New Roman" w:cs="Times New Roman" w:eastAsia="Times New Roman" w:hAnsi="Times New Roman"/>
          <w:sz w:val="18"/>
          <w:szCs w:val="18"/>
          <w:color w:val="auto"/>
        </w:rPr>
        <w:t>t. In the reasonable judgment of Party A, on any day, the Share Amount for such day exceeds the Applicable Share Limit for such day (if any applies).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4" w:name="page115"/>
    <w:bookmarkEnd w:id="114"/>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clause (e) above, the “Share Amount” as of any day is the number of Shares that Party A and any person whose ownership position would be aggregated with that of Party A (Party A or any such person, a “Party A Person”) under any law, rule, regulation, regulatory order or organizational documents or contracts of Party B (including without limitation Article VI of the Articles) that are, in each case, applicable to ownership of Shares (“Applicable Restrictions”), owns, beneficially owns, constructively owns, controls, holds the power to vote or otherwise meets a relevant definition of ownership under any Applicable Restriction, as determined by Party A in its reasonable discretion. The “Applicable Share Limit” means a number of Shares equal to (A) the minimum number of Shares that could give rise to reporting or registration obligations or other requirements (including obtaining prior approval from any person or entity) other than pursuant to the Exchange Act of a Party A Person, or could reasonably be expected to result in an adverse effect on a Party A Person, under any Applicable Restriction, as determined by Party A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94" w:lineRule="exact"/>
        <w:rPr>
          <w:sz w:val="20"/>
          <w:szCs w:val="20"/>
          <w:color w:val="auto"/>
        </w:rPr>
      </w:pPr>
    </w:p>
    <w:p>
      <w:pPr>
        <w:ind w:left="324" w:hanging="324"/>
        <w:spacing w:after="0"/>
        <w:tabs>
          <w:tab w:leader="none" w:pos="32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Settlemen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 xml:space="preserve">Upon the occurrence of any Acceleration Event, Party A shall have the right to designate, upon at least two Scheduled Trading Days’ notice, any Scheduled Trading Day following such occurrence to be a Settlement Date hereunder (a “Termination Settlement Date”) to which Physical Settlement shall apply, and to select the number of Settlement Shares relating to such Termination Settlement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in the case of an Acceleration Event arising out of an Ownership Event, the number of Settlement Shares so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Party A shall not exceed the number of Shares necessary to reduce the Share Amount to the Applicable Share Limit and (ii) in the case of an Acceleration Event arising out of a Stock Borrow Event the number of Settlement Shares so designated by Party A shall not exceed the number of Shares as to which such Stock Borrow Event exists. If, upon designation of a Termination Settlement Date by Party A pursuant to the preceding sentence, Party B fails to deliver the Settlement Shares relating to such Termination Settlement Date when due or otherwise fails to perform obligations within its control in respect of the Transaction, it shall be an Event of Default with respect to Party B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Party B, Cash Settlement or Net Share Settlement shall apply to the portion of the Settlement Shares relating to such Unwind Period as to which Party A has unwound its hedge and Physical Settlement shall apply in respect of (x) the remainder (if any) of such Settlement Shares and (y) the Settlement Shares designated by Party A in respect of such Termination Settlement Date. If an Acceleration Event occurs after Party B has designated a Settlement Date to which Physical Settlement applies but before the relevant Settlement Shares have been delivered to Party A, then Party A shall have the right to cancel such Settlement Date and designate a Termination Settlement Date in respect of such Shares pursuant to the first sentence hereof. If an event or circumstance is an Acceleration Event under both this Confirmation and any Additional Confirmation and the designation of a Termination Settlement Date under one such confirmation would cure the Acceleration Event under the other such confirmation, then Party A shall first designate a Termination Settlement Date under the confirmation with the first occurring Maturity Date before designating a Termination Settlement Date under the other confirmation.</w:t>
      </w:r>
    </w:p>
    <w:p>
      <w:pPr>
        <w:spacing w:after="0" w:line="188" w:lineRule="exact"/>
        <w:rPr>
          <w:sz w:val="20"/>
          <w:szCs w:val="20"/>
          <w:color w:val="auto"/>
        </w:rPr>
      </w:pPr>
    </w:p>
    <w:p>
      <w:pPr>
        <w:ind w:left="324" w:hanging="324"/>
        <w:spacing w:after="0"/>
        <w:tabs>
          <w:tab w:leader="none" w:pos="3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If Party B is unable to comply with the provisions of “Covenant of Party B” above because of a change in law or a change in the policy of the Securities and Exchange Commission or its staff, or Party A otherwise reasonably determines, based on advice of counsel, that any Settlement Shares to be delivered to Party A by Party B may not be freely returned by Party A or its affiliates to securities lenders as described under “Covenant of Party B” above, then delivery of any such Settlement Shares (the “Restricted Shares”) shall be effected pursuant to Annex A hereto, unless waived by Party A.</w:t>
      </w:r>
    </w:p>
    <w:p>
      <w:pPr>
        <w:spacing w:after="0" w:line="183" w:lineRule="exact"/>
        <w:rPr>
          <w:sz w:val="20"/>
          <w:szCs w:val="20"/>
          <w:color w:val="auto"/>
        </w:rPr>
      </w:pPr>
    </w:p>
    <w:p>
      <w:pPr>
        <w:ind w:left="324" w:hanging="324"/>
        <w:spacing w:after="0"/>
        <w:tabs>
          <w:tab w:leader="none" w:pos="3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It is the intent of Party A and Party B that following any election of Cash Settlement or Net Share Settlement by Party B, the purchase of Shares by Party A during any Unwind Period comply with the requirements of Rule 10b5-1(c)(1)(i)(B) of the Exchange Act and that this Confirmation shall be interpreted to comply with the requirements of Rule 10b5-1(c).</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Party B acknowledges that (i) during any Unwind Period Party B shall not attempt to exercise any influence over how, when or whether to effect purchases of Shares by Party A (or its agent or affiliate) in connection with this Confirmation and (ii) Party B is entering into the Agreement and this Confirmation in good faith and not as part of a plan or scheme to evade compliance with federal securities laws including, without limitation, Rule 10b-5 promulgated under the Exchange Act. Party B further agrees to act in good faith with respect to the Agreement and this Confirmation.</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5" w:name="page116"/>
    <w:bookmarkEnd w:id="115"/>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Party B hereby agrees with Party A that during any Unwind Period Party B shall not communicate, directly or indirectly, any Material Non-Public Information (as defined herein) to any Derivatives Personnel (as defined below). For purposes of the Transaction, “Material Non-Public Information” means information relating to Party B or the Shares that (a) has not been widely disseminated by wire service, in one or more newspapers of general circulation, by communication from Party B to its shareholders or in a press release, or contained in a public filing made by Party B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liquidity problems, extraordinary management developments, purchase or sale of substantial assets, or other similar information For purposes of the Transaction, “Derivatives Personnel” means any employee on the trading side of the Equity Derivatives of Party A and does not include any other person or persons designated from time to time by the Compliance Group of Party A.</w:t>
      </w:r>
    </w:p>
    <w:p>
      <w:pPr>
        <w:spacing w:after="0" w:line="190" w:lineRule="exact"/>
        <w:rPr>
          <w:sz w:val="20"/>
          <w:szCs w:val="20"/>
          <w:color w:val="auto"/>
        </w:rPr>
      </w:pPr>
    </w:p>
    <w:p>
      <w:pPr>
        <w:ind w:left="980" w:hanging="324"/>
        <w:spacing w:after="0"/>
        <w:tabs>
          <w:tab w:leader="none" w:pos="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Party B be required to deliver on any Settlement Date, whether pursuant to Physical Settlement, Net Share Settlement, Termination Settlement or any Private Placement Settlement, more than a number of Shares equal to 1.5 times the Initial Base Amount, subject to reduction by the number of any Shares delivered by Party B on any prior Settlement Date and subject to adjustment from time to time in accordance with the provisions of this Confirmation and the Equity Definitions.</w:t>
      </w:r>
    </w:p>
    <w:p>
      <w:pPr>
        <w:spacing w:after="0" w:line="183" w:lineRule="exact"/>
        <w:rPr>
          <w:sz w:val="20"/>
          <w:szCs w:val="20"/>
          <w:color w:val="auto"/>
        </w:rPr>
      </w:pPr>
    </w:p>
    <w:p>
      <w:pPr>
        <w:ind w:left="980" w:hanging="324"/>
        <w:spacing w:after="0"/>
        <w:tabs>
          <w:tab w:leader="none" w:pos="9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Party A may assign or transfer all (but not less than all) of its rights or delegate all (but not less than all) of its duties hereunder to any affiliate of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the applicable law effective on the date of such transfer or assignment, Party B will not be required, as a result of such transfer or assignment, to pay to the transferee an amount in respect of an Indemnifiable Tax greater than the amount, if any, that Party B would have been required to pay Party A in the absence of such transfer or assignment; and Party B will not receive a payment from which an amount has been withheld or deducted, on account of a Tax in respect of which the other party is not required to pay an additional amount, unless Party B would not have been entitled to receive any additional amount in respect of such payment in the absence of such transfer or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(A)  the affiliate’s obligations hereunder are fully and unconditionally guaranteed by Party A or its parent or (B) the affiliate’s long-term issuer rating is equal to or better than the credit rating of Party A at the time of such assignment or transfer. Notwithstanding the above or any other provision in this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A’s obligations in respect of the Transaction and any such designee may assume such obligations. Party A shall be discharged of its obligations to Party B to the extent of any such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jc w:val="right"/>
              <w:ind w:right="4060"/>
              <w:spacing w:after="0"/>
              <w:rPr>
                <w:sz w:val="20"/>
                <w:szCs w:val="20"/>
                <w:color w:val="auto"/>
              </w:rPr>
            </w:pPr>
            <w:r>
              <w:rPr>
                <w:rFonts w:ascii="Times New Roman" w:cs="Times New Roman" w:eastAsia="Times New Roman" w:hAnsi="Times New Roman"/>
                <w:sz w:val="18"/>
                <w:szCs w:val="18"/>
                <w:color w:val="auto"/>
              </w:rPr>
              <w:t>(o) Acknowledgements:</w:t>
            </w:r>
          </w:p>
        </w:tc>
        <w:tc>
          <w:tcPr>
            <w:tcW w:w="4720" w:type="dxa"/>
            <w:vAlign w:val="bottom"/>
          </w:tcPr>
          <w:p>
            <w:pPr>
              <w:spacing w:after="0"/>
              <w:rPr>
                <w:sz w:val="18"/>
                <w:szCs w:val="18"/>
                <w:color w:val="auto"/>
              </w:rPr>
            </w:pPr>
          </w:p>
        </w:tc>
      </w:tr>
      <w:tr>
        <w:trPr>
          <w:trHeight w:val="453"/>
        </w:trPr>
        <w:tc>
          <w:tcPr>
            <w:tcW w:w="980" w:type="dxa"/>
            <w:vAlign w:val="bottom"/>
          </w:tcPr>
          <w:p>
            <w:pPr>
              <w:spacing w:after="0"/>
              <w:rPr>
                <w:sz w:val="24"/>
                <w:szCs w:val="24"/>
                <w:color w:val="auto"/>
              </w:rPr>
            </w:pPr>
          </w:p>
        </w:tc>
        <w:tc>
          <w:tcPr>
            <w:tcW w:w="14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Non-Reliance:</w:t>
            </w:r>
          </w:p>
        </w:tc>
        <w:tc>
          <w:tcPr>
            <w:tcW w:w="4120" w:type="dxa"/>
            <w:vAlign w:val="bottom"/>
          </w:tcPr>
          <w:p>
            <w:pPr>
              <w:spacing w:after="0"/>
              <w:rPr>
                <w:sz w:val="24"/>
                <w:szCs w:val="24"/>
                <w:color w:val="auto"/>
              </w:rPr>
            </w:pPr>
          </w:p>
        </w:tc>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351"/>
        </w:trPr>
        <w:tc>
          <w:tcPr>
            <w:tcW w:w="980" w:type="dxa"/>
            <w:vAlign w:val="bottom"/>
          </w:tcPr>
          <w:p>
            <w:pPr>
              <w:spacing w:after="0"/>
              <w:rPr>
                <w:sz w:val="24"/>
                <w:szCs w:val="24"/>
                <w:color w:val="auto"/>
              </w:rPr>
            </w:pPr>
          </w:p>
        </w:tc>
        <w:tc>
          <w:tcPr>
            <w:tcW w:w="5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351"/>
        </w:trPr>
        <w:tc>
          <w:tcPr>
            <w:tcW w:w="980" w:type="dxa"/>
            <w:vAlign w:val="bottom"/>
          </w:tcPr>
          <w:p>
            <w:pPr>
              <w:spacing w:after="0"/>
              <w:rPr>
                <w:sz w:val="24"/>
                <w:szCs w:val="24"/>
                <w:color w:val="auto"/>
              </w:rPr>
            </w:pPr>
          </w:p>
        </w:tc>
        <w:tc>
          <w:tcPr>
            <w:tcW w:w="5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Agreements and Acknowledgments Regarding Hedging Activities:</w:t>
            </w:r>
          </w:p>
        </w:tc>
        <w:tc>
          <w:tcPr>
            <w:tcW w:w="4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Applicable</w:t>
            </w:r>
          </w:p>
        </w:tc>
      </w:tr>
      <w:tr>
        <w:trPr>
          <w:trHeight w:val="783"/>
        </w:trPr>
        <w:tc>
          <w:tcPr>
            <w:tcW w:w="652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14</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4.               The Agreement is further supplemented by the following provisions:</w:t>
      </w:r>
    </w:p>
    <w:p>
      <w:pPr>
        <w:spacing w:after="0" w:line="225" w:lineRule="exact"/>
        <w:rPr>
          <w:sz w:val="20"/>
          <w:szCs w:val="20"/>
          <w:color w:val="auto"/>
        </w:rPr>
      </w:pPr>
    </w:p>
    <w:p>
      <w:pPr>
        <w:ind w:left="980" w:hanging="324"/>
        <w:spacing w:after="0"/>
        <w:tabs>
          <w:tab w:leader="none" w:pos="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72" w:lineRule="auto"/>
        <w:rPr>
          <w:sz w:val="20"/>
          <w:szCs w:val="20"/>
          <w:color w:val="auto"/>
        </w:rPr>
      </w:pPr>
      <w:r>
        <w:rPr>
          <w:rFonts w:ascii="Times New Roman" w:cs="Times New Roman" w:eastAsia="Times New Roman" w:hAnsi="Times New Roman"/>
          <w:sz w:val="17"/>
          <w:szCs w:val="17"/>
          <w:color w:val="auto"/>
        </w:rPr>
        <w:t>Notwithstanding Section 6(f) or any other provision of the Agreement or any other agreement between the parties to the contrary, the obligations of Party B hereunder are not secured by any collateral. Obligations under the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under the Transaction, whether arising under the Agreement, this Confirmation, under any other agreement between the parties hereto, by operation of law or otherwise, and each party hereby waives any such right of setoff. In calculating any amounts under Section 6(e) of the Agreement, notwithstanding anything to the contrary in the Agreement, (a) separate amounts shall be calculated as set forth in such Section 6(e) with respect to (i) the Transaction and (ii) all other Transactions, and (b) such separate amounts shall be payable pursuant to Section 6(d)(ii) of the Agreement.</w:t>
      </w:r>
    </w:p>
    <w:p>
      <w:pPr>
        <w:spacing w:after="0" w:line="172" w:lineRule="exact"/>
        <w:rPr>
          <w:sz w:val="20"/>
          <w:szCs w:val="20"/>
          <w:color w:val="auto"/>
        </w:rPr>
      </w:pPr>
    </w:p>
    <w:p>
      <w:pPr>
        <w:ind w:left="980" w:hanging="324"/>
        <w:spacing w:after="0"/>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Claims in Bankruptcy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Party A acknowledges and agrees that this confirmation is not intended to convey to Party A rights with respect to the transactions contemplated hereby that are senior to the claims of common stockholders in any U.S. bankruptcy proceedings of Party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nothing herein shall limit or shall be deemed to limit Party A’s right to pursue remedies in the event of a breach by Party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its obligations and agreements with respect to this Confirmation and the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Party A’s rights in respect of any transaction other than the Transaction.</w:t>
      </w:r>
    </w:p>
    <w:p>
      <w:pPr>
        <w:spacing w:after="0" w:line="183" w:lineRule="exact"/>
        <w:rPr>
          <w:sz w:val="20"/>
          <w:szCs w:val="20"/>
          <w:color w:val="auto"/>
        </w:rPr>
      </w:pPr>
    </w:p>
    <w:p>
      <w:pPr>
        <w:ind w:left="980" w:hanging="324"/>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Beneficial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provisions hereof, Party A shall not have the right to acquire Shares hereunder and Party A shall not be entitled to take delivery of any Shares deliverable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Applicable Share Limit, (ii) the Section 16 Percentage would exceed 4.9%, (iii) Party A and each person subject to aggregation of Shares with Party A under Section 13 or Section 16 of the Exchange Act and rules promulgated thereunder (the “Party A Group”) would directly or indirectly beneficially own (as such term is defined for purposes of Section 13 or Section 16 of the Exchange Act and rules promulgated thereunder) in excess of 4.9% of the then outstanding Shares (the “Threshold Number of Shares”) or (iv) such acquisition would result in a violation of any restriction on ownership or transfer set forth in Article VI of the Articles (the “Counterparty Stock Ownership Restrictions”). Any purported delivery hereunder shall be void and have no effect to the extent (but only to the extent) that, after such delivery, (i) the Share Amount would exceed the Applicable Share Limit, (ii) the Section 16 Percentage would exceed 4.9%, (iii) Party A Group would directly or indirectly so beneficially own in excess of the Threshold Number of Shares or (iv) such delivery would result in a violation of the Counterparty Stock Ownership Restrictions. If any delivery owed to Party A hereunder is not made, in whole or in part, as a result of this provision, Party B’s obligation to make such delivery shall not be extinguished and Party B shall make such delivery as promptly as practicable after, but in no event later than one Exchange Business Day after, Party A gives notice to Party B that, after such delivery,</w:t>
      </w:r>
    </w:p>
    <w:p>
      <w:pPr>
        <w:spacing w:after="0" w:line="11" w:lineRule="exact"/>
        <w:rPr>
          <w:sz w:val="20"/>
          <w:szCs w:val="20"/>
          <w:color w:val="auto"/>
        </w:rPr>
      </w:pPr>
    </w:p>
    <w:p>
      <w:pPr>
        <w:jc w:val="both"/>
        <w:ind w:left="1300" w:firstLine="4"/>
        <w:spacing w:after="0" w:line="251" w:lineRule="auto"/>
        <w:tabs>
          <w:tab w:leader="none" w:pos="152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Amount would not exceed the Applicable Share Limit, (ii) the Section 16 Percentage would not exceed 4.9%, (iii) Party A Group would not directly or indirectly so beneficially own in excess of the Threshold Number of Shares and (iv) such delivery would not result in a violation of the Counterparty Stock Ownership Restriction. The “Section 16 Percentage” as of any day is the fraction, expressed as a percentage, (A) the numerator of which is the number of Shares that Party A and any of its affiliates or any other person subject to aggregation with Party A for purposes of the “beneficial ownership” test under Section 13 of the Exchange Act, or any “group” (within the meaning of Section 13 of the Exchange Act) of which Party A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9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Party A hereunder is not made, in whole or in part, as a result of the immediately preceding paragraph, Party A shall be permitted to make any payment due in respect of such Shares to Party B in two or more tranches that correspond in amount to the number of Shares delivered by Party B to Party A pursuant to the immediately preceding paragraph.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324" w:hanging="324"/>
        <w:spacing w:after="0"/>
        <w:tabs>
          <w:tab w:leader="none" w:pos="3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Confirmation shall be interpreted as requiring Party B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Party B so elects to deliver cash or fails timely to elect to deliver Shares in respect of such settlement).</w:t>
      </w:r>
    </w:p>
    <w:p>
      <w:pPr>
        <w:spacing w:after="0" w:line="180" w:lineRule="exact"/>
        <w:rPr>
          <w:sz w:val="20"/>
          <w:szCs w:val="20"/>
          <w:color w:val="auto"/>
        </w:rPr>
      </w:pPr>
    </w:p>
    <w:p>
      <w:pPr>
        <w:ind w:left="324" w:hanging="324"/>
        <w:spacing w:after="0"/>
        <w:tabs>
          <w:tab w:leader="none" w:pos="3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(the “WSTAA”), the parties hereby agree that neither the enactment of the WSTAA or any regulation under the WSTAA, nor any requirement under the WSTAA or an amendment made by the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2002 Definitions incorporated herein, or the Agreement (including, but not limited to, rights arising from any Acceleration Event or Illegality (as defined in the Agreement)).</w:t>
      </w:r>
    </w:p>
    <w:p>
      <w:pPr>
        <w:spacing w:after="0" w:line="187" w:lineRule="exact"/>
        <w:rPr>
          <w:sz w:val="20"/>
          <w:szCs w:val="20"/>
          <w:color w:val="auto"/>
        </w:rPr>
      </w:pPr>
    </w:p>
    <w:p>
      <w:pPr>
        <w:ind w:left="324" w:hanging="324"/>
        <w:spacing w:after="0"/>
        <w:tabs>
          <w:tab w:leader="none" w:pos="3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for Notices. For the purpose of Section 12(a) of the Agreement:</w:t>
      </w:r>
    </w:p>
    <w:p>
      <w:pPr>
        <w:spacing w:after="0" w:line="252"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Address for notices or communications to Party A:</w:t>
      </w:r>
    </w:p>
    <w:p>
      <w:pPr>
        <w:spacing w:after="0" w:line="25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50 Hudson Yards</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70th Floor</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Attn: Equity Syndicate Department</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TruistSecurities.prospectus@Truist.com</w:t>
      </w:r>
    </w:p>
    <w:p>
      <w:pPr>
        <w:spacing w:after="0" w:line="20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Rakesh Mangat</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Tel: 212-303-0137</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u w:val="single" w:color="auto"/>
          <w:color w:val="auto"/>
        </w:rPr>
        <w:t>rakesh.mangat@truist.com</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 for notices or communications to Party B:</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411 Theodore Fremd</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Avenue, Suite 300 Rye,</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10580</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Facsimile: 914-288-2138</w:t>
      </w:r>
    </w:p>
    <w:p>
      <w:pPr>
        <w:spacing w:after="0" w:line="203" w:lineRule="exact"/>
        <w:rPr>
          <w:sz w:val="20"/>
          <w:szCs w:val="20"/>
          <w:color w:val="auto"/>
        </w:rPr>
      </w:pPr>
    </w:p>
    <w:p>
      <w:pPr>
        <w:jc w:val="both"/>
        <w:ind w:left="324" w:hanging="324"/>
        <w:spacing w:after="0" w:line="259" w:lineRule="auto"/>
        <w:tabs>
          <w:tab w:leader="none" w:pos="3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Right to Trial by Jury. Each party waives, to the fullest extent permitted by applicable law, any right it may have to a trial by jury in respect of any suit, action or proceeding relating to this Confirmation. </w:t>
      </w:r>
      <w:r>
        <w:rPr>
          <w:rFonts w:ascii="Times New Roman" w:cs="Times New Roman" w:eastAsia="Times New Roman" w:hAnsi="Times New Roman"/>
          <w:sz w:val="18"/>
          <w:szCs w:val="18"/>
          <w:color w:val="auto"/>
        </w:rPr>
        <w:t>Each party (i) certifies that no representative,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of the other party has represented, expressly or otherwise, that such other party would not, in the event of such a suit action or proceeding, seek to enforce the foregoing waiver and (ii) acknowledges that it and the other party have been induced to enter into this Confirmation by, among other things, the mutual waivers and certifications herein.</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8" w:name="page119"/>
    <w:bookmarkEnd w:id="118"/>
    <w:p>
      <w:pPr>
        <w:ind w:left="4"/>
        <w:spacing w:after="0"/>
        <w:rPr>
          <w:sz w:val="20"/>
          <w:szCs w:val="20"/>
          <w:color w:val="auto"/>
        </w:rPr>
      </w:pPr>
      <w:r>
        <w:rPr>
          <w:rFonts w:ascii="Times New Roman" w:cs="Times New Roman" w:eastAsia="Times New Roman" w:hAnsi="Times New Roman"/>
          <w:sz w:val="18"/>
          <w:szCs w:val="18"/>
          <w:color w:val="auto"/>
        </w:rPr>
        <w:t>(h) Offices:</w:t>
      </w:r>
    </w:p>
    <w:p>
      <w:pPr>
        <w:spacing w:after="0" w:line="225"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The Office of Party A for the Transaction is: Inapplicable, Party A is not a Multibranch Party</w:t>
      </w:r>
    </w:p>
    <w:p>
      <w:pPr>
        <w:spacing w:after="0" w:line="225"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The Office of Party B for the Transaction is: Inapplicable, Party B is not a Multibranch Party</w:t>
      </w:r>
    </w:p>
    <w:p>
      <w:pPr>
        <w:spacing w:after="0" w:line="225" w:lineRule="exact"/>
        <w:rPr>
          <w:sz w:val="20"/>
          <w:szCs w:val="20"/>
          <w:color w:val="auto"/>
        </w:rPr>
      </w:pPr>
    </w:p>
    <w:p>
      <w:pPr>
        <w:ind w:left="324" w:hanging="324"/>
        <w:spacing w:after="0"/>
        <w:tabs>
          <w:tab w:leader="none" w:pos="3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parties hereto intend for:</w:t>
      </w:r>
    </w:p>
    <w:p>
      <w:pPr>
        <w:spacing w:after="0" w:line="225" w:lineRule="exact"/>
        <w:rPr>
          <w:sz w:val="20"/>
          <w:szCs w:val="20"/>
          <w:color w:val="auto"/>
        </w:rPr>
      </w:pPr>
    </w:p>
    <w:p>
      <w:pPr>
        <w:ind w:left="964" w:hanging="316"/>
        <w:spacing w:after="0" w:line="282" w:lineRule="auto"/>
        <w:tabs>
          <w:tab w:leader="none" w:pos="96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to be a “securities contract” as defined in Section 741(7) of Title 11 of the United States Code (the “Bankruptcy Code”), qualifying for the protections under Section 555 of the Bankruptcy Code;</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right to liquidate the Transaction and to exercise any other remedies upon the occurrence of any Event of Default under the Agreement with respect to the other party to constitute a “contractual right” as defined in the Bankruptcy Code;</w:t>
      </w:r>
    </w:p>
    <w:p>
      <w:pPr>
        <w:spacing w:after="0" w:line="161"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to be a “financial institution” within the meaning of Section 101(22) of the Bankruptcy Code; and</w:t>
      </w:r>
    </w:p>
    <w:p>
      <w:pPr>
        <w:spacing w:after="0" w:line="225"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the Transaction, all payments for the Shares and the transfer of such Shares to constitute “settlement payments” as defined in the Bankruptcy Code.</w:t>
      </w:r>
    </w:p>
    <w:p>
      <w:pPr>
        <w:spacing w:after="0" w:line="162" w:lineRule="exact"/>
        <w:rPr>
          <w:sz w:val="20"/>
          <w:szCs w:val="20"/>
          <w:color w:val="auto"/>
        </w:rPr>
      </w:pPr>
    </w:p>
    <w:p>
      <w:pPr>
        <w:ind w:left="324" w:hanging="324"/>
        <w:spacing w:after="0"/>
        <w:tabs>
          <w:tab w:leader="none" w:pos="3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any term, provision, covenant or condition of this Confirmation, or the application thereof to any party or circumstance, shall be held to be invalid or unenforceable in whole or in part for any reason, the remaining terms, provisions, covenants, and conditions hereof shall continue in full force and effect as if this Confirmation had been executed with the invalid or unenforceable provision eliminated, so long as this Confirmation as so modified continues to express, without material change, the original intentions of the parties as to the subject matter of this Confirmation and the deletion of such portion of this Confirmation will not substantially impair the respective benefits or expectations of parties to the Agreement; provided, however, that this severability provision shall not be applicable if any provision of Section 2, 5, 6 or 13 of the Agreement (or any definition or provision in Section 14 to the extent that it relates to, or is used in or in connection with any such Section) shall be so held to be invalid or unenforceable.</w:t>
      </w:r>
    </w:p>
    <w:p>
      <w:pPr>
        <w:spacing w:after="0" w:line="192" w:lineRule="exact"/>
        <w:rPr>
          <w:sz w:val="20"/>
          <w:szCs w:val="20"/>
          <w:color w:val="auto"/>
        </w:rPr>
      </w:pPr>
    </w:p>
    <w:p>
      <w:pPr>
        <w:ind w:left="324" w:hanging="324"/>
        <w:spacing w:after="0"/>
        <w:tabs>
          <w:tab w:leader="none" w:pos="32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3" w:lineRule="exact"/>
        <w:rPr>
          <w:sz w:val="20"/>
          <w:szCs w:val="20"/>
          <w:color w:val="auto"/>
        </w:rPr>
      </w:pPr>
    </w:p>
    <w:p>
      <w:pPr>
        <w:ind w:left="324" w:hanging="324"/>
        <w:spacing w:after="0"/>
        <w:tabs>
          <w:tab w:leader="none" w:pos="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Effective from the date of commencement of discussions concerning the Transaction, each of Party A and Party B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180" w:lineRule="exact"/>
        <w:rPr>
          <w:sz w:val="20"/>
          <w:szCs w:val="20"/>
          <w:color w:val="auto"/>
        </w:rPr>
      </w:pPr>
    </w:p>
    <w:p>
      <w:pPr>
        <w:ind w:left="324" w:hanging="324"/>
        <w:spacing w:after="0"/>
        <w:tabs>
          <w:tab w:leader="none" w:pos="32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Party B represents and warrants that it has received, read and understands Party A’s “Risk Disclosure Statement Regarding OTC Derivatives Products” and acknowledges the terms thereof as if it had signed the Risk Disclosure Statement Verification contained therein as of the date hereof.</w:t>
      </w:r>
    </w:p>
    <w:p>
      <w:pPr>
        <w:spacing w:after="0" w:line="176" w:lineRule="exact"/>
        <w:rPr>
          <w:sz w:val="20"/>
          <w:szCs w:val="20"/>
          <w:color w:val="auto"/>
        </w:rPr>
      </w:pPr>
    </w:p>
    <w:p>
      <w:pPr>
        <w:ind w:left="324" w:hanging="324"/>
        <w:spacing w:after="0"/>
        <w:tabs>
          <w:tab w:leader="none" w:pos="32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Each of Party A and Party B agrees and represents that it is an “eligible contract participant” as defined in Section 1a(18) of the U.S. Commodity Exchange Act, as amended (the “CEA”), the Agreement and the Transaction are subject to individual negotiation by the parties and have not been executed or traded on a “trading facility” as defined in Section 1a(51) of the CEA.</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9" w:name="page120"/>
    <w:bookmarkEnd w:id="119"/>
    <w:p>
      <w:pPr>
        <w:ind w:left="324" w:hanging="324"/>
        <w:spacing w:after="0"/>
        <w:tabs>
          <w:tab w:leader="none" w:pos="32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1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3(e) of the Agreement, Party A and Party B each make the following representation:</w:t>
      </w:r>
    </w:p>
    <w:p>
      <w:pPr>
        <w:spacing w:after="0" w:line="225" w:lineRule="exact"/>
        <w:rPr>
          <w:rFonts w:ascii="Times New Roman" w:cs="Times New Roman" w:eastAsia="Times New Roman" w:hAnsi="Times New Roman"/>
          <w:sz w:val="18"/>
          <w:szCs w:val="18"/>
          <w:u w:val="single" w:color="auto"/>
          <w:color w:val="auto"/>
        </w:rPr>
      </w:pPr>
    </w:p>
    <w:p>
      <w:pPr>
        <w:jc w:val="both"/>
        <w:ind w:left="964"/>
        <w:spacing w:after="0" w:line="254"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it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188" w:lineRule="exact"/>
        <w:rPr>
          <w:rFonts w:ascii="Times New Roman" w:cs="Times New Roman" w:eastAsia="Times New Roman" w:hAnsi="Times New Roman"/>
          <w:sz w:val="18"/>
          <w:szCs w:val="18"/>
          <w:u w:val="single" w:color="auto"/>
          <w:color w:val="auto"/>
        </w:rPr>
      </w:pPr>
    </w:p>
    <w:p>
      <w:pPr>
        <w:ind w:left="964" w:hanging="316"/>
        <w:spacing w:after="0"/>
        <w:tabs>
          <w:tab w:leader="none" w:pos="964" w:val="left"/>
        </w:tabs>
        <w:numPr>
          <w:ilvl w:val="1"/>
          <w:numId w:val="16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3(f) of the Agreement:</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Party A makes the following representations:</w:t>
      </w:r>
    </w:p>
    <w:p>
      <w:pPr>
        <w:spacing w:after="0" w:line="225" w:lineRule="exact"/>
        <w:rPr>
          <w:sz w:val="20"/>
          <w:szCs w:val="20"/>
          <w:color w:val="auto"/>
        </w:rPr>
      </w:pPr>
    </w:p>
    <w:p>
      <w:pPr>
        <w:ind w:left="1624" w:hanging="328"/>
        <w:spacing w:after="0" w:line="282" w:lineRule="auto"/>
        <w:tabs>
          <w:tab w:leader="none" w:pos="16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Treasury Regulation Section 1.1441-4(a)(3)(ii)) for U.S. federal income tax purposes.</w:t>
      </w:r>
    </w:p>
    <w:p>
      <w:pPr>
        <w:spacing w:after="0" w:line="161" w:lineRule="exact"/>
        <w:rPr>
          <w:rFonts w:ascii="Times New Roman" w:cs="Times New Roman" w:eastAsia="Times New Roman" w:hAnsi="Times New Roman"/>
          <w:sz w:val="18"/>
          <w:szCs w:val="18"/>
          <w:color w:val="auto"/>
        </w:rPr>
      </w:pPr>
    </w:p>
    <w:p>
      <w:pPr>
        <w:ind w:left="1624" w:hanging="328"/>
        <w:spacing w:after="0" w:line="282" w:lineRule="auto"/>
        <w:tabs>
          <w:tab w:leader="none" w:pos="162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organized and existing under the laws of the State of North Carolina and is an exempt recipient within the meaning of Treasury Regulation Section 1.6049-4(c)(1)(ii).</w:t>
      </w:r>
    </w:p>
    <w:p>
      <w:pPr>
        <w:spacing w:after="0" w:line="16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Party B makes the following representations:</w:t>
      </w:r>
    </w:p>
    <w:p>
      <w:pPr>
        <w:spacing w:after="0" w:line="225" w:lineRule="exact"/>
        <w:rPr>
          <w:sz w:val="20"/>
          <w:szCs w:val="20"/>
          <w:color w:val="auto"/>
        </w:rPr>
      </w:pPr>
    </w:p>
    <w:p>
      <w:pPr>
        <w:ind w:left="1624" w:right="20" w:hanging="328"/>
        <w:spacing w:after="0" w:line="282" w:lineRule="auto"/>
        <w:tabs>
          <w:tab w:leader="none" w:pos="162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1624" w:hanging="328"/>
        <w:spacing w:after="0" w:line="282" w:lineRule="auto"/>
        <w:tabs>
          <w:tab w:leader="none" w:pos="162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0"/>
          <w:numId w:val="1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w:t>
      </w:r>
      <w:r>
        <w:rPr>
          <w:rFonts w:ascii="Times New Roman" w:cs="Times New Roman" w:eastAsia="Times New Roman" w:hAnsi="Times New Roman"/>
          <w:sz w:val="18"/>
          <w:szCs w:val="18"/>
          <w:color w:val="auto"/>
        </w:rPr>
        <w:t>t. “Tax” and “Indemnifiable Tax”, each as defined in Section 14 of the Agreement, shall not include any U.S. federal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91" w:lineRule="exact"/>
        <w:rPr>
          <w:rFonts w:ascii="Times New Roman" w:cs="Times New Roman" w:eastAsia="Times New Roman" w:hAnsi="Times New Roman"/>
          <w:sz w:val="18"/>
          <w:szCs w:val="18"/>
          <w:u w:val="single" w:color="auto"/>
          <w:color w:val="auto"/>
        </w:rPr>
      </w:pPr>
    </w:p>
    <w:p>
      <w:pPr>
        <w:jc w:val="both"/>
        <w:ind w:left="964" w:hanging="316"/>
        <w:spacing w:after="0" w:line="254" w:lineRule="auto"/>
        <w:tabs>
          <w:tab w:leader="none" w:pos="964" w:val="left"/>
        </w:tabs>
        <w:numPr>
          <w:ilvl w:val="0"/>
          <w:numId w:val="1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HIRE Ac</w:t>
      </w:r>
      <w:r>
        <w:rPr>
          <w:rFonts w:ascii="Times New Roman" w:cs="Times New Roman" w:eastAsia="Times New Roman" w:hAnsi="Times New Roman"/>
          <w:sz w:val="18"/>
          <w:szCs w:val="18"/>
          <w:color w:val="auto"/>
        </w:rPr>
        <w:t>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“871(m) Protocol”),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91" w:lineRule="exact"/>
        <w:rPr>
          <w:rFonts w:ascii="Times New Roman" w:cs="Times New Roman" w:eastAsia="Times New Roman" w:hAnsi="Times New Roman"/>
          <w:sz w:val="18"/>
          <w:szCs w:val="18"/>
          <w:u w:val="single" w:color="auto"/>
          <w:color w:val="auto"/>
        </w:rPr>
      </w:pPr>
    </w:p>
    <w:p>
      <w:pPr>
        <w:jc w:val="both"/>
        <w:ind w:left="964" w:hanging="316"/>
        <w:spacing w:after="0" w:line="256" w:lineRule="auto"/>
        <w:tabs>
          <w:tab w:leader="none" w:pos="964" w:val="left"/>
        </w:tabs>
        <w:numPr>
          <w:ilvl w:val="0"/>
          <w:numId w:val="1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Party A shall provide to Party B a valid and duly executed U.S. Internal Revenue Service Form W-9 and Party B shall provide to Party A a valid and duly executed U.S. Internal Revenue Service Form W-9, or any successor thereto, (i) on or before the date of execution of this Confirmation; (ii) promptly upon reasonable demand by the other party; and (iii) promptly upon learning that any such tax form previously provided by Party A or Party B, respectively, has become invalid, obsolete, or incorrect. Additionally, each of Party A and Party B shall, promptly upon request by the other party, provide such other tax forms and documents requested by the other party.</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0" w:name="page121"/>
    <w:bookmarkEnd w:id="120"/>
    <w:p>
      <w:pPr>
        <w:ind w:left="324" w:hanging="324"/>
        <w:spacing w:after="0"/>
        <w:tabs>
          <w:tab w:leader="none" w:pos="3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The parties agree that (i) to the extent that prior to the date hereof all parties have adhered to the 2018 ISDA U.S. Resolution Stay Protocol (the “Protocol”), the terms of the Protocol are incorporated into and form a part of the Agreement, and for such purposes the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the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Party A shall be deemed a “Covered Entity” and Party B shall be deemed a “Counterparty Entity.” In the event that, after the date of the Agreement, all parties hereto become adhering parties to the Protocol, the terms of the Protocol will replace the terms of this paragraph. In the event of any inconsistencies between the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w:t>
      </w:r>
    </w:p>
    <w:p>
      <w:pPr>
        <w:spacing w:after="0" w:line="191"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3" w:lineRule="exact"/>
        <w:rPr>
          <w:sz w:val="20"/>
          <w:szCs w:val="20"/>
          <w:color w:val="auto"/>
        </w:rPr>
      </w:pPr>
    </w:p>
    <w:p>
      <w:pPr>
        <w:ind w:left="324" w:hanging="324"/>
        <w:spacing w:after="0"/>
        <w:tabs>
          <w:tab w:leader="none" w:pos="3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Forwards / Dealers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Party A acknowledges that Party B has entered or may enter in the future into one or more similar forward transactions for the Shares (each, an “Other Forward” and collectively, the “Other Forwards”) with one or more dealers, and/or affiliates thereof (each, an “Other Dealer” and collectively, the “Other Dealers”). Party A and Party B agree that if Party B designates a “Settlement Date” with respect to one or more Other Forwards for which “Cash Settlement” or “Net Share Settlement” is applicable, and the resulting “Unwind Period” for such Other Forwards coincides for any period of time with an Unwind Period for this Transaction (the “Overlap Unwind Period”), Party B shall notify Party A at least one Scheduled Trading Day prior to the commencement of such Overlap Unwind Period of the first Scheduled Trading Day and length of such Overlap Unwind Period, and Party A shall be permitted to purchase Shares to unwind its hedge in respect of this Transaction only on alternating Scheduled Trading Days during such Overlap Unwind Period, commencing on the first, second, third or later Scheduled Trading Day of such Overlap Unwind Period, as notified to Party A by Party B at least one Scheduled Trading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190"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signing and returning this Confirmation.</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Truist Bank</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Rakesh Mangat</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Rakesh Mangat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-121920</wp:posOffset>
            </wp:positionV>
            <wp:extent cx="32746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[Signature Page to Forward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Gottfried</w:t>
            </w:r>
          </w:p>
        </w:tc>
      </w:tr>
      <w:tr>
        <w:trPr>
          <w:trHeight w:val="191"/>
        </w:trPr>
        <w:tc>
          <w:tcPr>
            <w:tcW w:w="58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Gottfried</w:t>
            </w:r>
          </w:p>
        </w:tc>
        <w:tc>
          <w:tcPr>
            <w:tcW w:w="560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432"/>
        </w:trPr>
        <w:tc>
          <w:tcPr>
            <w:tcW w:w="580" w:type="dxa"/>
            <w:vAlign w:val="bottom"/>
          </w:tcPr>
          <w:p>
            <w:pPr>
              <w:spacing w:after="0"/>
              <w:rPr>
                <w:sz w:val="24"/>
                <w:szCs w:val="24"/>
                <w:color w:val="auto"/>
              </w:rPr>
            </w:pPr>
          </w:p>
        </w:tc>
        <w:tc>
          <w:tcPr>
            <w:tcW w:w="1066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[Signature Page to Forward Confirmation]</w:t>
            </w:r>
          </w:p>
        </w:tc>
      </w:tr>
      <w:tr>
        <w:trPr>
          <w:trHeight w:val="432"/>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FORWARD PRICE REDUCTION DATES AND AMOUNTS</w:t>
            </w:r>
          </w:p>
        </w:tc>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4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 Price Reduction Date</w:t>
            </w: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Forward Price Reduction Amount</w:t>
            </w:r>
          </w:p>
        </w:tc>
        <w:tc>
          <w:tcPr>
            <w:tcW w:w="1680" w:type="dxa"/>
            <w:vAlign w:val="bottom"/>
          </w:tcPr>
          <w:p>
            <w:pPr>
              <w:spacing w:after="0"/>
              <w:rPr>
                <w:sz w:val="24"/>
                <w:szCs w:val="24"/>
                <w:color w:val="auto"/>
              </w:rPr>
            </w:pP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Date</w:t>
            </w:r>
          </w:p>
        </w:tc>
        <w:tc>
          <w:tcPr>
            <w:tcW w:w="3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w:t>
            </w:r>
          </w:p>
        </w:tc>
        <w:tc>
          <w:tcPr>
            <w:tcW w:w="168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6/30/2026</w:t>
            </w:r>
          </w:p>
        </w:tc>
        <w:tc>
          <w:tcPr>
            <w:tcW w:w="3840" w:type="dxa"/>
            <w:vAlign w:val="bottom"/>
          </w:tcPr>
          <w:p>
            <w:pPr>
              <w:spacing w:after="0"/>
              <w:rPr>
                <w:sz w:val="18"/>
                <w:szCs w:val="18"/>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USD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9/30/2026</w:t>
            </w:r>
          </w:p>
        </w:tc>
        <w:tc>
          <w:tcPr>
            <w:tcW w:w="38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USD $</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8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12/31/2026</w:t>
            </w:r>
          </w:p>
        </w:tc>
        <w:tc>
          <w:tcPr>
            <w:tcW w:w="3840" w:type="dxa"/>
            <w:vAlign w:val="bottom"/>
          </w:tcPr>
          <w:p>
            <w:pPr>
              <w:spacing w:after="0"/>
              <w:rPr>
                <w:sz w:val="18"/>
                <w:szCs w:val="18"/>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USD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3/31/2027</w:t>
            </w:r>
          </w:p>
        </w:tc>
        <w:tc>
          <w:tcPr>
            <w:tcW w:w="38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USD $</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80" w:type="dxa"/>
            <w:vAlign w:val="bottom"/>
          </w:tcPr>
          <w:p>
            <w:pPr>
              <w:spacing w:after="0"/>
              <w:rPr>
                <w:sz w:val="18"/>
                <w:szCs w:val="18"/>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55"/>
        </w:trPr>
        <w:tc>
          <w:tcPr>
            <w:tcW w:w="2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5" w:lineRule="exact"/>
        <w:rPr>
          <w:sz w:val="20"/>
          <w:szCs w:val="20"/>
          <w:color w:val="auto"/>
        </w:rPr>
      </w:pPr>
    </w:p>
    <w:p>
      <w:pPr>
        <w:jc w:val="both"/>
        <w:ind w:left="640" w:hanging="632"/>
        <w:spacing w:after="0" w:line="251" w:lineRule="auto"/>
        <w:tabs>
          <w:tab w:leader="none" w:pos="6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Party B delivers the Restricted Shares pursuant to this clause (i) (a “Private Placement Settlement”), then delivery of Restricted Shares by Party B shall be effected in customary private placement procedures with respect to such Restricted Shares reasonably acceptable to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or before the date that a Private Placement Settlement would occur, Party B has taken, or caused to be taken, any action that would make unavailable either the exemption pursuant to Section 4(a)(2) of the Securities Act for the sale by Party B to Party A (or any affiliate designated by Party A) of the Restricted Shares or the exemption pursuant to Section 4(a)(1) or Section 4(a)(3) of the Securities Act for resales of the Restricted Shares by Party A (or any such affiliate of Party A) or Party B fails to deliver the Restricted Shares when due or otherwise fails to perform obligations within its control in respect of a Private Placement Settlement, it shall be an Event of Default with respect to Party B and Section 6 of the Agreement shall apply. The Private Placement Settlement of such Restricted Shares shall include customary representations, covenants, blue sky and other governmental filings and/or registrations, indemnities to Party A, due diligence rights (for Party A or any designated buyer of the Restricted Shares by Party A), opinions and certificates, and such other documentation as is customary for private placement agreements, all reasonably acceptable to Party A. In the case of a Private Placement Settlement, Party A shall, in its good faith discretion, adjust the number of Restricted Shares to be delivered to Party A hereunder and/or the Forward Price in a commercially reasonable manner to reflect the fact that such Restricted Shares may not be freely returned to securities lenders by Party A and may only be saleable by Party A at a discount to reflect the lack of liquidity in Restricted Shares. Notwithstanding the Agreement or this Confirmation, the date of delivery of such Restricted Shares shall be the Clearance System Business Day following notice by Party A to Party B of the number of Restricted Shares to be delivered pursuant to this clause</w:t>
      </w:r>
    </w:p>
    <w:p>
      <w:pPr>
        <w:spacing w:after="0" w:line="11" w:lineRule="exact"/>
        <w:rPr>
          <w:rFonts w:ascii="Times New Roman" w:cs="Times New Roman" w:eastAsia="Times New Roman" w:hAnsi="Times New Roman"/>
          <w:sz w:val="18"/>
          <w:szCs w:val="18"/>
          <w:color w:val="auto"/>
        </w:rPr>
      </w:pPr>
    </w:p>
    <w:p>
      <w:pPr>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the avoidance of doubt, delivery of Restricted Shares shall be due as set forth in the previous sentence and not be due on the Settlement Date or Termination Settlement Date that would otherwise be applicable.</w:t>
      </w:r>
    </w:p>
    <w:p>
      <w:pPr>
        <w:spacing w:after="0" w:line="181"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delivers any Restricted Shares in respect of the Transaction, Party B agrees that (i) such Shares may be transferred by and among Party A and its affiliates and (ii) after the minimum holding period under Rule 144(d) under the Securities Act has elapsed after the applicable Settlement Date, Party B shall promptly remove, or cause the transfer agent for the Shares to remove, any legends referring to any transfer restrictions from such Shares upon delivery by Party A (or such affiliate of Party A) to Party B or such transfer agent of seller’s and broker’s representation letters customarily delivered by Party A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Party A (or such affiliate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June 9,</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To:  </w:t>
            </w: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Acadia Realty Trust</w:t>
            </w:r>
          </w:p>
        </w:tc>
      </w:tr>
      <w:tr>
        <w:trPr>
          <w:trHeight w:val="216"/>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411 Theodore Fremd Avenue, Suite 300</w:t>
            </w:r>
          </w:p>
        </w:tc>
      </w:t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Rye, New York,</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10580</w:t>
            </w:r>
          </w:p>
        </w:tc>
      </w:tr>
    </w:tbl>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tab/>
        <w:t>Wells Fargo Bank, National Association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Registered Forward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letter agreement (this “Confirmation”) is to confirm the terms and conditions of the transaction entered into between us on the Trade Date specified below (the “Transaction”). This Confirmation constitutes a “Confirmation” as referred to in the ISDA Master Agreement specified below.</w:t>
      </w:r>
    </w:p>
    <w:p>
      <w:pPr>
        <w:spacing w:after="0" w:line="162" w:lineRule="exact"/>
        <w:rPr>
          <w:sz w:val="20"/>
          <w:szCs w:val="20"/>
          <w:color w:val="auto"/>
        </w:rPr>
      </w:pPr>
    </w:p>
    <w:p>
      <w:pPr>
        <w:jc w:val="both"/>
        <w:ind w:left="720" w:hanging="658"/>
        <w:spacing w:after="0" w:line="258" w:lineRule="auto"/>
        <w:tabs>
          <w:tab w:leader="none" w:pos="7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and provisions contained in the 2006 ISDA Definitions (the “2006 Definitions”) and the 2002 ISDA Equity Derivatives Definitions (the “2002 Definitions” and, together with the 2006 Definitions, the “Definitions”), each as published by the International Swaps and Derivatives Association, Inc., are incorporated into this Confirmation. In the event of any inconsistency between the 2002 Definitions and the 2006 Definitions, the 2002 Definitions will govern. In the event of any inconsistency between the Definitions and this Confirmation, this Confirmation will govern.</w:t>
      </w:r>
    </w:p>
    <w:p>
      <w:pPr>
        <w:spacing w:after="0" w:line="183" w:lineRule="exact"/>
        <w:rPr>
          <w:rFonts w:ascii="Times New Roman" w:cs="Times New Roman" w:eastAsia="Times New Roman" w:hAnsi="Times New Roman"/>
          <w:sz w:val="18"/>
          <w:szCs w:val="18"/>
          <w:color w:val="auto"/>
        </w:rPr>
      </w:pPr>
    </w:p>
    <w:p>
      <w:pPr>
        <w:jc w:val="both"/>
        <w:ind w:left="7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further agrees that this Confirmation and the Agreement (as defined below) together evidence a complete binding agreement between Party A and Party B as to the subject matter and terms of the Transaction to which this Confirmation relates, and shall supersede all prior or contemporaneous written or oral communications with respect thereto. This Confirmation, together with any other Confirmations for registered forward transactions entered into between Party A and Party B (each, an “Additional Confirmation”) shall supplement, form a part of, and be subject to an agreement in the form of the 2002 ISDA Master Agreement (the “Agreement”) as if Party A and Party B had executed an agreement in such form on the Trade Date with New York law (without regard to choice of law doctrine other than Title 14 of Article 5 of the New York General Obligations Law) as the governing law. In the event of any inconsistency between the Agreement, this Confirmation, the 2006 Definitions and the 2002 Definitions, the following will prevail for purposes of the Transaction in the order of precedence indicated: (i) this Confirmation; (ii) the 2002 Definitions; (iii) the 2006 Definitions and (iv) the Agreement. The parties hereby agree that no Transaction other than the Transaction to which this Confirmation relates and the Transactions to which the Additional Confirmations, if any, relate (each, an “Additional Transaction”), shall be governed by the Agreement. For purposes of the 2002 Definitions, the Transaction is a Share Forward Transaction.</w:t>
      </w:r>
    </w:p>
    <w:p>
      <w:pPr>
        <w:spacing w:after="0" w:line="189" w:lineRule="exact"/>
        <w:rPr>
          <w:rFonts w:ascii="Times New Roman" w:cs="Times New Roman" w:eastAsia="Times New Roman" w:hAnsi="Times New Roman"/>
          <w:sz w:val="18"/>
          <w:szCs w:val="18"/>
          <w:color w:val="auto"/>
        </w:rPr>
      </w:pPr>
    </w:p>
    <w:p>
      <w:pPr>
        <w:ind w:left="7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each represent to the other that it has entered into the Transaction in reliance upon such tax, accounting, regulatory, legal, and financial advice as it deems necessary and not upon any view expressed by the other.</w:t>
      </w:r>
    </w:p>
    <w:p>
      <w:pPr>
        <w:spacing w:after="0" w:line="161" w:lineRule="exact"/>
        <w:rPr>
          <w:rFonts w:ascii="Times New Roman" w:cs="Times New Roman" w:eastAsia="Times New Roman" w:hAnsi="Times New Roman"/>
          <w:sz w:val="18"/>
          <w:szCs w:val="18"/>
          <w:color w:val="auto"/>
        </w:rPr>
      </w:pPr>
    </w:p>
    <w:p>
      <w:pPr>
        <w:ind w:left="720" w:right="4120" w:hanging="658"/>
        <w:spacing w:after="0" w:line="500" w:lineRule="auto"/>
        <w:tabs>
          <w:tab w:leader="none" w:pos="7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the particular Transaction to which this Confirmation relates are as follows: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Party A:</w:t>
            </w: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432"/>
        </w:trPr>
        <w:tc>
          <w:tcPr>
            <w:tcW w:w="3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Party B:</w:t>
            </w: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Acadia Realty Trust</w:t>
            </w:r>
          </w:p>
        </w:tc>
      </w:tr>
      <w:tr>
        <w:trPr>
          <w:trHeight w:val="432"/>
        </w:trPr>
        <w:tc>
          <w:tcPr>
            <w:tcW w:w="3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Trade Date:</w:t>
            </w: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June 9, 2026</w:t>
            </w:r>
          </w:p>
        </w:tc>
      </w:tr>
      <w:tr>
        <w:trPr>
          <w:trHeight w:val="414"/>
        </w:trPr>
        <w:tc>
          <w:tcPr>
            <w:tcW w:w="3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Effective Date:</w:t>
            </w: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June 10, 2026, or such later date on which the conditions set forth in Section 3 under the</w:t>
            </w:r>
          </w:p>
        </w:tc>
      </w:tr>
      <w:tr>
        <w:trPr>
          <w:trHeight w:val="234"/>
        </w:trPr>
        <w:tc>
          <w:tcPr>
            <w:tcW w:w="3460" w:type="dxa"/>
            <w:vAlign w:val="bottom"/>
          </w:tcPr>
          <w:p>
            <w:pPr>
              <w:spacing w:after="0"/>
              <w:rPr>
                <w:sz w:val="20"/>
                <w:szCs w:val="20"/>
                <w:color w:val="auto"/>
              </w:rPr>
            </w:pP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heading “Conditions to Effectiveness” below have settled.</w:t>
            </w:r>
          </w:p>
        </w:tc>
      </w:tr>
      <w:tr>
        <w:trPr>
          <w:trHeight w:val="414"/>
        </w:trPr>
        <w:tc>
          <w:tcPr>
            <w:tcW w:w="3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Base Amount:</w:t>
            </w: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Initially, 2,100,000 Shares (the “Initial Number of Shares”); provided, however, that on</w:t>
            </w:r>
          </w:p>
        </w:tc>
      </w:tr>
      <w:tr>
        <w:trPr>
          <w:trHeight w:val="216"/>
        </w:trPr>
        <w:tc>
          <w:tcPr>
            <w:tcW w:w="3460" w:type="dxa"/>
            <w:vAlign w:val="bottom"/>
          </w:tcPr>
          <w:p>
            <w:pPr>
              <w:spacing w:after="0"/>
              <w:rPr>
                <w:sz w:val="18"/>
                <w:szCs w:val="18"/>
                <w:color w:val="auto"/>
              </w:rPr>
            </w:pP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each Settlement Date, the Base Amount shall be reduced by the number of Settlement</w:t>
            </w:r>
          </w:p>
        </w:tc>
      </w:tr>
      <w:tr>
        <w:trPr>
          <w:trHeight w:val="234"/>
        </w:trPr>
        <w:tc>
          <w:tcPr>
            <w:tcW w:w="3460" w:type="dxa"/>
            <w:vAlign w:val="bottom"/>
          </w:tcPr>
          <w:p>
            <w:pPr>
              <w:spacing w:after="0"/>
              <w:rPr>
                <w:sz w:val="20"/>
                <w:szCs w:val="20"/>
                <w:color w:val="auto"/>
              </w:rPr>
            </w:pPr>
          </w:p>
        </w:tc>
        <w:tc>
          <w:tcPr>
            <w:tcW w:w="77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Shares for such Settlement Date.</w:t>
            </w:r>
          </w:p>
        </w:tc>
      </w:tr>
      <w:tr>
        <w:trPr>
          <w:trHeight w:val="702"/>
        </w:trPr>
        <w:tc>
          <w:tcPr>
            <w:tcW w:w="346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Maturity Date: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earlier of (i) June 9, 2027 (or, if such date is not a Scheduled Trading Day, the next</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following Scheduled Trading Day) and (ii) the date on which the Base Amount is</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reduced to zero.</w:t>
            </w:r>
          </w:p>
        </w:tc>
      </w:tr>
      <w:tr>
        <w:trPr>
          <w:trHeight w:val="414"/>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On the Effective Date, the Initial Forward Price, and on any other day, the Forward</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Price as of the immediately preceding calendar day multiplied by the sum of (i) 1 and</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(ii) the Daily Rate for such day; provided that on each Forward Price Reduction Date,</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Forward Price in effect on such date shall be the Forward Price otherwise in effect</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on such date, minus the Forward Price Reduction Amount for such Forward Price</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Reduction Date.</w:t>
            </w:r>
          </w:p>
        </w:tc>
      </w:tr>
      <w:tr>
        <w:trPr>
          <w:trHeight w:val="414"/>
        </w:trPr>
        <w:tc>
          <w:tcPr>
            <w:tcW w:w="4040" w:type="dxa"/>
            <w:vAlign w:val="bottom"/>
          </w:tcPr>
          <w:p>
            <w:pPr>
              <w:spacing w:after="0"/>
              <w:rPr>
                <w:sz w:val="24"/>
                <w:szCs w:val="24"/>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 to the extent Party B</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delivers Shares hereunder on or after a Forward Price Reduction Date and at or before</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record date for an ordinary cash dividend with an ex-dividend date corresponding to</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such Forward Price Reduction Date, the Calculation Agent shall adjust the Forward</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Price, in a good faith and commercially reasonable manner, to preserve the economic</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intent of the parties hereto (taking into account Party A’s commercially reasonable</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hedge positions in respect of the Transaction).</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Initial Forward Price: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USD 21.80 per Share</w:t>
            </w:r>
          </w:p>
        </w:tc>
      </w:tr>
      <w:tr>
        <w:trPr>
          <w:trHeight w:val="414"/>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Daily Rate: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any day, a rate equal to (i)(A) the Overnight Bank Rate for such day, minus (B) the</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Spread, divided by (ii) 360.</w:t>
            </w:r>
          </w:p>
        </w:tc>
      </w:tr>
      <w:tr>
        <w:trPr>
          <w:trHeight w:val="414"/>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Overnight Bank Rate: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Funding Rate”, as such rate is displayed on the page “OBFR01 &lt;Index&gt; &lt;GO&gt;” on the</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BLOOMBERG Professional Service, or any successor page; provided that, if no rate</w:t>
            </w:r>
          </w:p>
        </w:tc>
      </w:tr>
      <w:tr>
        <w:trPr>
          <w:trHeight w:val="216"/>
        </w:trPr>
        <w:tc>
          <w:tcPr>
            <w:tcW w:w="4040" w:type="dxa"/>
            <w:vAlign w:val="bottom"/>
          </w:tcPr>
          <w:p>
            <w:pPr>
              <w:spacing w:after="0"/>
              <w:rPr>
                <w:sz w:val="18"/>
                <w:szCs w:val="18"/>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appears on any day on such page, the rate for the immediately preceding day for which</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 rate does so appear shall be used for such day.</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Spread:</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 basis points.</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Prepayment:</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Variable Obligation:</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 Reduction Date: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Each date (other than the Trade Date) set forth on Schedule I under the heading</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“Forward Price Reduction Date.”</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 Reduction</w:t>
            </w:r>
          </w:p>
        </w:tc>
        <w:tc>
          <w:tcPr>
            <w:tcW w:w="7200" w:type="dxa"/>
            <w:vAlign w:val="bottom"/>
          </w:tcPr>
          <w:p>
            <w:pPr>
              <w:spacing w:after="0"/>
              <w:rPr>
                <w:sz w:val="24"/>
                <w:szCs w:val="24"/>
                <w:color w:val="auto"/>
              </w:rPr>
            </w:pPr>
          </w:p>
        </w:tc>
      </w:tr>
      <w:tr>
        <w:trPr>
          <w:trHeight w:val="414"/>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Amount:</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 each Forward Price Reduction Date, the Forward Price Reduction Amount set forth</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opposite such date on Schedule I.</w:t>
            </w:r>
          </w:p>
        </w:tc>
      </w:tr>
      <w:tr>
        <w:trPr>
          <w:trHeight w:val="414"/>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Shares:</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Common shares, USD 0.001 par value per share, of Party B (also referred to herein as</w:t>
            </w:r>
          </w:p>
        </w:tc>
      </w:tr>
      <w:tr>
        <w:trPr>
          <w:trHeight w:val="234"/>
        </w:trPr>
        <w:tc>
          <w:tcPr>
            <w:tcW w:w="4040" w:type="dxa"/>
            <w:vAlign w:val="bottom"/>
          </w:tcPr>
          <w:p>
            <w:pPr>
              <w:spacing w:after="0"/>
              <w:rPr>
                <w:sz w:val="20"/>
                <w:szCs w:val="20"/>
                <w:color w:val="auto"/>
              </w:rPr>
            </w:pP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the “Issuer”) (Exchange identifier: “AKR”).</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Related Exchange(s):</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4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Clearance System:</w:t>
            </w:r>
          </w:p>
        </w:tc>
        <w:tc>
          <w:tcPr>
            <w:tcW w:w="7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DTC.</w:t>
            </w:r>
          </w:p>
        </w:tc>
      </w:tr>
      <w:tr>
        <w:trPr>
          <w:trHeight w:val="675"/>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31"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Calculation Agent:</w:t>
            </w: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Party A. In the event the Calculation Agent makes any calculations, adjustments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determinations pursuant to this Confirmation, the Agreement or the Equity Definitions,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Calculation Agent shall promptly, upon written request from Party B, provide an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explanation in reasonable detail of the basis for any such calculation, adjustment or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determination to Party B (including any quotations, market data or information from</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external sources used in making such calculation, adjustment or determination, as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case may be, but without disclosing its proprietary models or other information that is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subject to contractual, legal or regulatory obligations to not disclose such information);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provided that following the occurrence of an Event of Default under Section 5(a)(vii) of</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Agreement with respect to which Party A is the Defaulting Party, Party B shall have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right to designate a nationally recognized third-party dealer in over-the-counter</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corporate equity derivatives to act, during the period commencing on the date such</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Event of Default occurred and ending on the Early Termination Date with respect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such Event of Default, as the Calculation Agent. Whenever the Calculation Agent is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required or permitted to act or to exercise judgment in any way with respect to any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Transaction hereunder, including, without limitation, with respect to calculations,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adjustments and determinations that are made in its sole discretion or otherwise, the</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Calculation Agent shall do so in good faith and in a commercially reasonable manner.</w:t>
            </w:r>
          </w:p>
        </w:tc>
      </w:tr>
      <w:tr>
        <w:trPr>
          <w:trHeight w:val="391"/>
        </w:trPr>
        <w:tc>
          <w:tcPr>
            <w:tcW w:w="66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76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Date:</w:t>
            </w: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Any Scheduled Trading Day following the Effective Date and up to and including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Maturity Date, as designated by (a) Party A pursuant to “Termination Settlement” below</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or (b) Party B in a written notice (a “Settlement Notice”) that satisfies the Settlement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Notice Requirements and is delivered to Party A at least (i) two Scheduled Trading</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Days prior to such Settlement Date, which may be the Maturity Date, if Physical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Settlement applies, and (ii) 20 Scheduled Trading Days prior to such Settlement Date,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which may be the Maturity Date, if Cash Settlement or Net Share Settlement applies;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provided that (i) the Maturity Date shall be a Settlement Date if on such date the Base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Amount is greater than zero and (ii) if Cash Settlement or Net Share Settlement applies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and Party A shall have fully unwound its hedge during an Unwind Period by a date that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is more than two Scheduled Trading Days prior to a Settlement Date specified above,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Party A may, by written notice to Party B, specify any Scheduled Trading Day prior to</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such originally specified Settlement Date as the Settlement Date.</w:t>
            </w:r>
          </w:p>
        </w:tc>
      </w:tr>
      <w:tr>
        <w:trPr>
          <w:trHeight w:val="414"/>
        </w:trPr>
        <w:tc>
          <w:tcPr>
            <w:tcW w:w="660" w:type="dxa"/>
            <w:vAlign w:val="bottom"/>
          </w:tcPr>
          <w:p>
            <w:pPr>
              <w:spacing w:after="0"/>
              <w:rPr>
                <w:sz w:val="24"/>
                <w:szCs w:val="24"/>
                <w:color w:val="auto"/>
              </w:rPr>
            </w:pPr>
          </w:p>
        </w:tc>
        <w:tc>
          <w:tcPr>
            <w:tcW w:w="29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Shares:</w:t>
            </w: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With respect to any Settlement Date, a number of Shares, not to exceed the Base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Amount, designated as such by Party B in the related Settlement Notice or by Party A</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pursuant to “Termination Settlement” below; provided that on the Maturity Date the</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number of Settlement Shares shall be equal to the Base Amount on such date.</w:t>
            </w:r>
          </w:p>
        </w:tc>
      </w:tr>
      <w:tr>
        <w:trPr>
          <w:trHeight w:val="648"/>
        </w:trPr>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31"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w:t>
            </w: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Physical Settlement, Cash Settlement or Net Share Settlement, at the election of Party B</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as set forth in a Settlement Notice delivered on or after the Effective Date (if applicable)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that satisfies the Settlement Notice Requirements; provided that Physical Settlement</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shall apply (i) if no Settlement Method is validly selected, (ii) with respect to any</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Settlement Shares in respect of which Party A is unable, in its good faith and</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commercially reasonable judgment, to unwind its hedge for the Transaction by the end</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 the Unwind Period in a manner that, in the reasonable judgment of Party A, based on</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advice of counsel, is consistent with Rule 10b-18 under the Exchange Act or due to</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occurrence of Disrupted Days or to the lack of sufficient liquidity in the Shares on</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any Exchange Business Day during the Unwind Period relative to the liquidity on the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Effective Date, (iii) to any Termination Settlement Date (as defined below under</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“Termination Settlement”), (iv) if the Maturity Date is a Settlement Date other than as</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the result of a valid Settlement Notice in respect of such Settlement Date or (v) if Party</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 has entered into an additional Share Forward or other equity derivative transaction</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(each, an “Additional Equity Derivative Transaction”), Party A determines, based on the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advice of counsel, that it is unable to unwind its hedge for the Transaction in a manner</w:t>
            </w:r>
          </w:p>
        </w:tc>
      </w:tr>
      <w:tr>
        <w:trPr>
          <w:trHeight w:val="234"/>
        </w:trPr>
        <w:tc>
          <w:tcPr>
            <w:tcW w:w="4120" w:type="dxa"/>
            <w:vAlign w:val="bottom"/>
          </w:tcPr>
          <w:p>
            <w:pPr>
              <w:spacing w:after="0"/>
              <w:rPr>
                <w:sz w:val="20"/>
                <w:szCs w:val="20"/>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consistent with Rule 10b-18 under the Exchange Act.</w:t>
            </w:r>
          </w:p>
        </w:tc>
      </w:tr>
      <w:tr>
        <w:trPr>
          <w:trHeight w:val="414"/>
        </w:trPr>
        <w:tc>
          <w:tcPr>
            <w:tcW w:w="4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 Notice Requirements:</w:t>
            </w: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by Party B</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that specifies Cash Settlement or Net Share Settlement will not be effective unless the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Settlement Notice includes a representation by Party B substantially in the form set</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forth  in  clause  (i)  below  under  the  heading  “Representations,  Warranties  and</w:t>
            </w:r>
          </w:p>
        </w:tc>
      </w:tr>
      <w:tr>
        <w:trPr>
          <w:trHeight w:val="234"/>
        </w:trPr>
        <w:tc>
          <w:tcPr>
            <w:tcW w:w="4120" w:type="dxa"/>
            <w:vAlign w:val="bottom"/>
          </w:tcPr>
          <w:p>
            <w:pPr>
              <w:spacing w:after="0"/>
              <w:rPr>
                <w:sz w:val="20"/>
                <w:szCs w:val="20"/>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Agreements of Party B”.</w:t>
            </w:r>
          </w:p>
        </w:tc>
      </w:tr>
      <w:tr>
        <w:trPr>
          <w:trHeight w:val="414"/>
        </w:trPr>
        <w:tc>
          <w:tcPr>
            <w:tcW w:w="4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Unwind Period:</w:t>
            </w: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The period from and including the first Exchange Business Day following the date Party</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 provides Settlement Notice for a valid election of Cash Settlement or Net Share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Settlement in respect of a Settlement Date through the first Scheduled Trading Day</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preceding such Settlement Date (or the immediately preceding Exchange Business Day</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if such Scheduled Trading Day is not an Exchange Business Day and excluding any</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Disrupted Day); subject to “Termination Settlement” below. If any Exchange Business</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Day during an Unwind Period is a Disrupted Day, the Calculation Agent shall make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commercially reasonable adjustments to the terms of the Transaction (including,</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without limitation, the Cash Settlement Amount, the number of Net Share Settlement</w:t>
            </w:r>
          </w:p>
        </w:tc>
      </w:tr>
      <w:tr>
        <w:trPr>
          <w:trHeight w:val="234"/>
        </w:trPr>
        <w:tc>
          <w:tcPr>
            <w:tcW w:w="4120" w:type="dxa"/>
            <w:vAlign w:val="bottom"/>
          </w:tcPr>
          <w:p>
            <w:pPr>
              <w:spacing w:after="0"/>
              <w:rPr>
                <w:sz w:val="20"/>
                <w:szCs w:val="20"/>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Shares and the 10b-18 VWAP) to account for the occurrence of such Disrupted Day.</w:t>
            </w:r>
          </w:p>
        </w:tc>
      </w:tr>
      <w:tr>
        <w:trPr>
          <w:trHeight w:val="414"/>
        </w:trPr>
        <w:tc>
          <w:tcPr>
            <w:tcW w:w="41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Market Disruption Event:</w:t>
            </w: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Section 6.3(a) of the 2002 Definitions is hereby amended by replacing the first sentence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 its entirety with the following: “‘Market Disruption Event’ means in respect of a</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Share, the occurrence or existence of (i) a Trading Disruption, (ii) an Exchange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Disruption, (iii) an Early Closure or (iv) a Regulatory Disruption, in each case, that the</w:t>
            </w:r>
          </w:p>
        </w:tc>
      </w:tr>
      <w:tr>
        <w:trPr>
          <w:trHeight w:val="216"/>
        </w:trPr>
        <w:tc>
          <w:tcPr>
            <w:tcW w:w="4120" w:type="dxa"/>
            <w:vAlign w:val="bottom"/>
          </w:tcPr>
          <w:p>
            <w:pPr>
              <w:spacing w:after="0"/>
              <w:rPr>
                <w:sz w:val="18"/>
                <w:szCs w:val="18"/>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Calculation Agent determines in its good faith and commercially reasonable manner, is</w:t>
            </w:r>
          </w:p>
        </w:tc>
      </w:tr>
      <w:tr>
        <w:trPr>
          <w:trHeight w:val="234"/>
        </w:trPr>
        <w:tc>
          <w:tcPr>
            <w:tcW w:w="4120" w:type="dxa"/>
            <w:vAlign w:val="bottom"/>
          </w:tcPr>
          <w:p>
            <w:pPr>
              <w:spacing w:after="0"/>
              <w:rPr>
                <w:sz w:val="20"/>
                <w:szCs w:val="20"/>
                <w:color w:val="auto"/>
              </w:rPr>
            </w:pPr>
          </w:p>
        </w:tc>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material at any time during a Scheduled Trading Day.”</w:t>
            </w:r>
          </w:p>
        </w:tc>
      </w:tr>
      <w:tr>
        <w:trPr>
          <w:trHeight w:val="675"/>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Early Closure:</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Section 6.3(d) of the 2002 Definitions is hereby amended by deleting the remainder of</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provision following the term “Scheduled Closing Time” in the fourth line thereof.</w:t>
            </w:r>
          </w:p>
        </w:tc>
      </w:tr>
      <w:tr>
        <w:trPr>
          <w:trHeight w:val="414"/>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Regulatory Disruption:</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Any event that Party A, in its good faith and commercially reasonable discretion, based</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advice of counsel, determines it appropriate with regard to any legal, regulatory or</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self-regulatory requirements or related policies and procedures (that apply broadly to</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similar transactions for other issuers) for Party A to refrain from or decrease any market</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activity in connection with the Transaction. Subject to applicable legal requirements and</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Party A’s internal policies and guidelines, Party A shall promptly notify Party B upon</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occurrence of a Regulatory Disruption and shall subsequently promptly notify Party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 on the day Party A determines that the circumstances giving rise to such Regulatory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Disruption have changed. Party A shall make its determination of a Regulatory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Disruption in a manner consistent with the determinations made with respect to other</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issuers under similar facts and circumstances..</w:t>
            </w:r>
          </w:p>
        </w:tc>
      </w:tr>
      <w:tr>
        <w:trPr>
          <w:trHeight w:val="432"/>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 Act: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Securities Exchange Act of 1934, as amended from time to time</w:t>
            </w:r>
          </w:p>
        </w:tc>
      </w:tr>
      <w:tr>
        <w:trPr>
          <w:trHeight w:val="432"/>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Securities Act: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Securities Act of 1933, as amended from time to time.</w:t>
            </w:r>
          </w:p>
        </w:tc>
      </w:tr>
      <w:tr>
        <w:trPr>
          <w:trHeight w:val="414"/>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any Settlement Date in respect of which Physical Settlement applies, Party B shall</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deliver to Party A through the Clearance System the Settlement Shares for such</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Settlement Date, and Party A shall pay to Party B, by wire transfer of immediately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available funds to an account designated by Party B, an amount in cash equal to the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Physical Settlement Amount for such Settlement Date, on a delivery versus payment</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basis. If, on any Settlement Date, the Shares to be delivered by Party B to Party A</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hereunder are not so delivered (the “Deferred Shares”), and a Forward Price Reduction</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 occurs during the period from, and including, such Settlement Date to, but</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excluding, the date such Shares are actually delivered to Party A, then the portion of the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Physical Settlement Amount payable by Party A to Party B in respect of the Deferred</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Shares shall be reduced by an amount equal to the Forward Price Reduction Amount for</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such Forward Price Reduction Date, multiplied by the number of Deferred Shares.</w:t>
            </w:r>
          </w:p>
        </w:tc>
      </w:tr>
      <w:tr>
        <w:trPr>
          <w:trHeight w:val="414"/>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any Settlement Date in respect of which Physical Settlement applies, an amount in</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equal to the product of (i) the Forward Price on such Settlement Date and (ii) the</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 of Settlement Shares for such Settlement Date.</w:t>
            </w:r>
          </w:p>
        </w:tc>
      </w:tr>
      <w:tr>
        <w:trPr>
          <w:trHeight w:val="675"/>
        </w:trPr>
        <w:tc>
          <w:tcPr>
            <w:tcW w:w="39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31" w:right="3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any Settlement Date in respect of which Cash Settlement applies, if the Cash</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Settlement Amount for such Settlement Date is a positive number, Party A will pay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such Cash Settlement Amount to Party B. If the Cash Settlement Amount is a negative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 Party B will pay the absolute value of such Cash Settlement Amount to Party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 Such amounts shall be paid on the Settlement Date by wire transfer of immediately</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available funds.</w:t>
            </w:r>
          </w:p>
        </w:tc>
      </w:tr>
      <w:tr>
        <w:trPr>
          <w:trHeight w:val="414"/>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 Amount: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any Settlement Date in respect of which Cash Settlement applies, an amount</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determined by the Calculation Agent equal to the difference between (1) the product of</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 the difference between (A) the average Forward Price over the period beginning on,</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including, the date that is one Settlement Cycle following the first day of the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applicable Unwind Period and ending on, and including, such Settlement Date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(calculated assuming no reduction to the Forward Price for any Forward Price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Reduction Date that occurs during the Unwind Period), minus USD 0.015, and (B) the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average of the 10b-18 VWAP prices per Share on each Exchange Business Day during</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such Unwind Period, and (ii) the number of Settlement Shares for such Settlement Date,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(2) the product of (i) the Forward Price Reduction Amount for any Forward Price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Reduction Date that occurs during such Unwind Period, and (ii) the number of</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Settlement Shares with respect to which Party A has not unwound its hedge for the</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Transaction as of such Forward Price Reduction Date.</w:t>
            </w:r>
          </w:p>
        </w:tc>
      </w:tr>
      <w:tr>
        <w:trPr>
          <w:trHeight w:val="414"/>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Share Settlement:</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On any Settlement Date in respect of which Net Share Settlement applies, if the number</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Net Share Settlement Shares is a (i) negative number, Party A shall deliver a number</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Shares to Party B equal to the absolute value of the Net Share Settlement Shares, or</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 positive number, Party B shall deliver to Party A the Net Share Settlement Shares;</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provided that if Party A determines in its good faith and commercially reasonable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judgment that it would be required to deliver Net Share Settlement Shares to Party B,</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Party A may elect to deliver a portion of such Net Share Settlement Shares on one or</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more dates prior to the applicable Settlement Date.</w:t>
            </w:r>
          </w:p>
        </w:tc>
      </w:tr>
      <w:tr>
        <w:trPr>
          <w:trHeight w:val="414"/>
        </w:trPr>
        <w:tc>
          <w:tcPr>
            <w:tcW w:w="3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any Settlement Date in respect of which Net Share Settlement applies, a number of</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Shares equal to (a) the number of Settlement Shares for such Settlement Date, minus</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 the quotient of (A) the difference between (1) the product of (i) the average Forward</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Price over the period beginning on, and including, the date that is one Settlement Cycle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following the first day of the applicable Unwind Period and ending on, and including,</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such Settlement Date (calculated assuming no reduction to the Forward Price for any</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Forward Price Reduction Date that occurs during the Unwind Period), minus USD</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0.015, and (ii) the number of Settlement Shares for such Settlement Date, and (2) the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product of (i) the Forward Price Reduction Amount for any Forward Price Reduction</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 that occurs during such Unwind Period, and (ii) the number of Shares with respect</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which Party A has not unwound its hedge as of such Forward Price Reduction Date</w:t>
            </w:r>
          </w:p>
        </w:tc>
      </w:tr>
      <w:tr>
        <w:trPr>
          <w:trHeight w:val="216"/>
        </w:trPr>
        <w:tc>
          <w:tcPr>
            <w:tcW w:w="3980" w:type="dxa"/>
            <w:vAlign w:val="bottom"/>
          </w:tcPr>
          <w:p>
            <w:pPr>
              <w:spacing w:after="0"/>
              <w:rPr>
                <w:sz w:val="18"/>
                <w:szCs w:val="18"/>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and (B) the average of the 10b-18 VWAP prices per Share on each Exchange Business</w:t>
            </w:r>
          </w:p>
        </w:tc>
      </w:tr>
      <w:tr>
        <w:trPr>
          <w:trHeight w:val="234"/>
        </w:trPr>
        <w:tc>
          <w:tcPr>
            <w:tcW w:w="3980" w:type="dxa"/>
            <w:vAlign w:val="bottom"/>
          </w:tcPr>
          <w:p>
            <w:pPr>
              <w:spacing w:after="0"/>
              <w:rPr>
                <w:sz w:val="20"/>
                <w:szCs w:val="20"/>
                <w:color w:val="auto"/>
              </w:rPr>
            </w:pPr>
          </w:p>
        </w:tc>
        <w:tc>
          <w:tcPr>
            <w:tcW w:w="7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Day during such Unwind Period.</w:t>
            </w:r>
          </w:p>
        </w:tc>
      </w:tr>
      <w:tr>
        <w:trPr>
          <w:trHeight w:val="675"/>
        </w:trPr>
        <w:tc>
          <w:tcPr>
            <w:tcW w:w="39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31" w:right="3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10b-18 VWAP:</w:t>
            </w: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For any Exchange Business Day during the Unwind Period which is not a Disrupted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Day, the volume-weighted average price reported on the Bloomberg Page “AKR</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&lt;Equity&gt; AQR SEC” (or any successor thereto) for such Exchange Business Day;</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provided, however, that if such price is unavailable for an Exchange Business Day or</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Calculation Agent determines that such price does not correctly reflect the volume-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weighted average price at which the Shares trade as reported in the composite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transactions for the Exchange on such Exchange Business Day, excluding (i) trades that</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do not settle regular way, (ii) opening (regular way) reported trades on the Exchange on</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such Exchange Business Day, (iii) trades that occur in the last ten minutes before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scheduled close of trading on the Exchange on such Exchange Business Day and ten</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minutes before the scheduled close of the primary trading session in the market where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trade is effected, and (iv) trades on such Exchange Business Day that do not satisfy</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requirements of Rule 10b-18(b)(3), the Calculation Agent shall, in a good faith,</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commercially reasonable manner, determine the 10b-18 VWAP for such Exchange</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Business Day based on the criteria specified above in this proviso.</w:t>
            </w:r>
          </w:p>
        </w:tc>
      </w:tr>
      <w:tr>
        <w:trPr>
          <w:trHeight w:val="432"/>
        </w:trPr>
        <w:tc>
          <w:tcPr>
            <w:tcW w:w="660" w:type="dxa"/>
            <w:vAlign w:val="bottom"/>
          </w:tcPr>
          <w:p>
            <w:pPr>
              <w:spacing w:after="0"/>
              <w:rPr>
                <w:sz w:val="24"/>
                <w:szCs w:val="24"/>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Settlement Currency:</w:t>
            </w: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660" w:type="dxa"/>
            <w:vAlign w:val="bottom"/>
          </w:tcPr>
          <w:p>
            <w:pPr>
              <w:spacing w:after="0"/>
              <w:rPr>
                <w:sz w:val="24"/>
                <w:szCs w:val="24"/>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Failure to Deliver:</w:t>
            </w: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Inapplicable.</w:t>
            </w:r>
          </w:p>
        </w:tc>
      </w:tr>
      <w:tr>
        <w:trPr>
          <w:trHeight w:val="391"/>
        </w:trPr>
        <w:tc>
          <w:tcPr>
            <w:tcW w:w="66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4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Method of Adjustment:</w:t>
            </w: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14"/>
        </w:trPr>
        <w:tc>
          <w:tcPr>
            <w:tcW w:w="660" w:type="dxa"/>
            <w:vAlign w:val="bottom"/>
          </w:tcPr>
          <w:p>
            <w:pPr>
              <w:spacing w:after="0"/>
              <w:rPr>
                <w:sz w:val="24"/>
                <w:szCs w:val="24"/>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Additional Adjustment:</w:t>
            </w: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If, in Party A’s commercially reasonable judgment, the stock loan fee to Party A (or an</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affiliate thereof), excluding the federal funds or other interest rate component payable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by the relevant stock lender to Party A or such affiliate (the “Stock Loan Fee”), over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immediately preceding one month period, of borrowing a number of Shares equal to the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Base Amount to hedge its exposure to the Transaction exceeds a weighted average rate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equal to 25 basis points per annum, the Calculation Agent shall reduce the Forward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Price in order to compensate Party A for the amount by which the Stock Loan Fee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exceeded a weighted average rate equal to 25 basis points per annum during such</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period. The Calculation Agent shall notify Party B in writing prior to making any such</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adjustment to the Forward Price and, upon the request of Party B, Party A shall provide</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an itemized list in reasonable detail of the Stock Loan Fees for the applicable one month</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period (including any quotations, market data or information from external sources used</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by Party A in developing such list, but without disclosing its proprietary models or other</w:t>
            </w:r>
          </w:p>
        </w:tc>
      </w:t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information that is subject to contractual, legal or regulatory obligations to not disclose</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such information).</w:t>
            </w:r>
          </w:p>
        </w:tc>
      </w:tr>
      <w:tr>
        <w:trPr>
          <w:trHeight w:val="391"/>
        </w:trPr>
        <w:tc>
          <w:tcPr>
            <w:tcW w:w="66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Details:</w:t>
            </w:r>
          </w:p>
        </w:tc>
        <w:tc>
          <w:tcPr>
            <w:tcW w:w="74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Payments to Party A:</w:t>
            </w: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 Settlement</w:t>
            </w:r>
          </w:p>
        </w:tc>
      </w:tr>
      <w:tr>
        <w:trPr>
          <w:trHeight w:val="234"/>
        </w:trPr>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Date</w:t>
            </w:r>
          </w:p>
        </w:tc>
      </w:tr>
      <w:tr>
        <w:trPr>
          <w:trHeight w:val="675"/>
        </w:trPr>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31" w:right="339" w:bottom="1440" w:gutter="0" w:footer="0" w:header="0"/>
        </w:sectPr>
      </w:pPr>
    </w:p>
    <w:bookmarkStart w:id="132" w:name="page133"/>
    <w:bookmarkEnd w:id="132"/>
    <w:p>
      <w:pPr>
        <w:ind w:left="980"/>
        <w:spacing w:after="0"/>
        <w:rPr>
          <w:sz w:val="20"/>
          <w:szCs w:val="20"/>
          <w:color w:val="auto"/>
        </w:rPr>
      </w:pPr>
      <w:r>
        <w:rPr>
          <w:rFonts w:ascii="Times New Roman" w:cs="Times New Roman" w:eastAsia="Times New Roman" w:hAnsi="Times New Roman"/>
          <w:sz w:val="17"/>
          <w:szCs w:val="17"/>
          <w:color w:val="auto"/>
        </w:rPr>
        <w:t>Payments to Party B:</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To be advised under separate cover or telephone confirmed prior to each Settlement Date</w:t>
      </w:r>
    </w:p>
    <w:p>
      <w:pPr>
        <w:spacing w:after="0" w:line="162" w:lineRule="exact"/>
        <w:rPr>
          <w:sz w:val="20"/>
          <w:szCs w:val="20"/>
          <w:color w:val="auto"/>
        </w:rPr>
      </w:pPr>
    </w:p>
    <w:p>
      <w:pPr>
        <w:sectPr>
          <w:pgSz w:w="11900" w:h="16838" w:orient="portrait"/>
          <w:cols w:equalWidth="0" w:num="2">
            <w:col w:w="4140" w:space="720"/>
            <w:col w:w="6380"/>
          </w:cols>
          <w:pgMar w:left="320" w:top="931" w:right="33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color w:val="auto"/>
        </w:rPr>
        <w:t>Delivery of Shares to Party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be advised.</w:t>
      </w:r>
    </w:p>
    <w:p>
      <w:pPr>
        <w:spacing w:after="0" w:line="200" w:lineRule="exact"/>
        <w:rPr>
          <w:sz w:val="20"/>
          <w:szCs w:val="20"/>
          <w:color w:val="auto"/>
        </w:rPr>
      </w:pPr>
    </w:p>
    <w:p>
      <w:pPr>
        <w:sectPr>
          <w:pgSz w:w="11900" w:h="16838" w:orient="portrait"/>
          <w:cols w:equalWidth="0" w:num="2">
            <w:col w:w="4140" w:space="720"/>
            <w:col w:w="6380"/>
          </w:cols>
          <w:pgMar w:left="320" w:top="931" w:right="3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Delivery of Shares to Party 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advised.</w:t>
      </w:r>
    </w:p>
    <w:p>
      <w:pPr>
        <w:spacing w:after="0" w:line="211" w:lineRule="exact"/>
        <w:rPr>
          <w:sz w:val="20"/>
          <w:szCs w:val="20"/>
          <w:color w:val="auto"/>
        </w:rPr>
      </w:pPr>
    </w:p>
    <w:p>
      <w:pPr>
        <w:sectPr>
          <w:pgSz w:w="11900" w:h="16838" w:orient="portrait"/>
          <w:cols w:equalWidth="0" w:num="2">
            <w:col w:w="4140" w:space="720"/>
            <w:col w:w="6380"/>
          </w:cols>
          <w:pgMar w:left="320" w:top="931" w:right="339" w:bottom="1440" w:gutter="0" w:footer="0" w:header="0"/>
          <w:type w:val="continuous"/>
        </w:sectPr>
      </w:pPr>
    </w:p>
    <w:p>
      <w:pPr>
        <w:spacing w:after="0" w:line="25" w:lineRule="exact"/>
        <w:rPr>
          <w:sz w:val="20"/>
          <w:szCs w:val="20"/>
          <w:color w:val="auto"/>
        </w:rPr>
      </w:pPr>
    </w:p>
    <w:p>
      <w:pPr>
        <w:ind w:left="340" w:hanging="332"/>
        <w:spacing w:after="0"/>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Confirmation and the Transaction shall be subject to the following conditions: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Party B and Acadia Realty Limited Partnership (the “Partnership”) contained in the Underwriting Agreement dated the date hereof between Party B, the Partnership, Party A and the Underwriters party thereto (the “Underwriting Agreement”), and any certificate delivered pursuant thereto by Party B or the Partnership shall be true and correct on the Effective Date as if made as of the Effective Date;</w:t>
      </w:r>
    </w:p>
    <w:p>
      <w:pPr>
        <w:spacing w:after="0" w:line="179"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Party B and the Partnership shall have performed all of the obligations required to be performed by it under the Underwriting Agreement on or prior to the Effective Date;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set forth in Section 6 of the Underwriting Agreement shall have been satisfied;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(as defined in the Underwriting Agreement) shall have occurred as provided in the Underwriting Agreement;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Party B hereunder and under the Agreement shall be true and correct on the Effective Date as if made as of the Effective Date;</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performed all of the obligations required to be performed by it hereunder and under the Agreement on or prior to the Effective Date, including without limitation its obligations under Section 3(d)‎ hereof;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2"/>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have delivered to Party A an opinion of counsel in form and substance reasonably satisfactory to Party A, with respect to the matters set forth in Section 3(a) of the Agreement and that the maximum number of Shares initially issuable hereunder have been duly authorized and, upon issuance pursuant to the terms of the Transaction, will be validly issued, fully paid and nonassessable.</w:t>
      </w:r>
    </w:p>
    <w:p>
      <w:pPr>
        <w:spacing w:after="0" w:line="180"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Confirmation, if (x) on or prior to 9:00 a.m., New York City time, on the date the Closing Date (as defined in the Underwriting Agreement) is scheduled to occur, in connection with establishing its commercially reasonable hedge position Party A, in its sole judgment, is unable, after using commercially reasonable efforts, to borrow and deliver for sale the Initial Number of Shares or (y) in Party A’s sole judgment, it would incur a stock loan cost of more than 200 basis points per annum with respect to all or any portion of the Initial Number of Shares (in each case, an “Initial Hedging Disruption”), the effectiveness of this Confirmation and the Transaction shall be limited to the number of Shares Party A is so able to borrow in connection with establishing its commercially reasonable hedge position at a cost of not more than 200 basis points per annum (such number of Shares, the “Reduced Number of Shares”), which, for the avoidance of doubt, may be zero.</w:t>
      </w:r>
    </w:p>
    <w:p>
      <w:pPr>
        <w:spacing w:after="0" w:line="192" w:lineRule="exact"/>
        <w:rPr>
          <w:sz w:val="20"/>
          <w:szCs w:val="20"/>
          <w:color w:val="auto"/>
        </w:rPr>
      </w:pPr>
    </w:p>
    <w:p>
      <w:pPr>
        <w:ind w:left="980" w:hanging="324"/>
        <w:spacing w:after="0"/>
        <w:tabs>
          <w:tab w:leader="none" w:pos="9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Letter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and acknowledges that the Transaction is being entered into in accordance with the October 9, 2003 interpretive letter from the staff of the Securities and Exchange Commission to Goldman, Sachs &amp; Co. (the “Interpretive Letter”). Party B represents that it is eligible to conduct a primary offering of Shares on Form S-3 and that the offering contemplated complies with Rule 415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3" w:name="page134"/>
    <w:bookmarkEnd w:id="133"/>
    <w:p>
      <w:pPr>
        <w:ind w:left="324" w:hanging="324"/>
        <w:spacing w:after="0" w:line="282" w:lineRule="auto"/>
        <w:tabs>
          <w:tab w:leader="none" w:pos="3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 of Party B</w:t>
      </w:r>
      <w:r>
        <w:rPr>
          <w:rFonts w:ascii="Times New Roman" w:cs="Times New Roman" w:eastAsia="Times New Roman" w:hAnsi="Times New Roman"/>
          <w:sz w:val="18"/>
          <w:szCs w:val="18"/>
          <w:color w:val="auto"/>
        </w:rPr>
        <w:t>: Party B hereby represents and warrants to, and agrees with, Party A as of the date hereof that: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2"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represents to Party A on the Trade Date and on any date that Party B notifies Party A that Cash Settlement or Net Share Settlement applies to this Transaction, that (A) Party B is not aware of any material nonpublic information regarding Party B or the Shares, (B) each of its filings under the Securities Act, the Exchange Act or other applicable securities laws that were required to be filed have been filed in the prior 12 months and that, as of the date of this representation, when considered as a whole (with the more recent such filings deemed to amend inconsistent statements contained in any earlier such filings), there is no misstatement of material fact contained therein or omission of a material fact required to be stated therein or necessary to make the statements made therein, in the light of the circumstances under which they were made, not misleading and (C) Party B is not entering into this Confirmation nor making any election hereunder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In addition to any other requirement set forth herein, Party B agrees not to designate, or to appropriately rescind or modify a prior designation of, any Settlement Date if it is notified by Party A that, in the reasonable determination of Party A, based on advice of counsel, such settlement or Party A’s related market activity in respect of such date would result in a violation of any applicable federal or state law or regulation, including the U.S. federal securities laws.</w:t>
      </w:r>
    </w:p>
    <w:p>
      <w:pPr>
        <w:spacing w:after="0" w:line="197"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when issued and delivered in accordance with the terms of the Transaction, will be duly authorized and validly issued, fully paid and nonassessable, and the issuance thereof will not be subject to any preemptive or similar rights.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reserved and will keep available at all times, free from preemptive rights, out of its authorized but unissued Shares, solely for the purpose of issuance upon settlement of the Transaction as herein provided, the maximum number of Shares as shall be issuable at such time upon settlement of the Transaction as set forth below under the heading “Maximum Share Delivery”. All Shares so issuable shall, upon such issuance, be accepted for listing or quotation on the Exchange.</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provide Party A prior written notice (an “Issuer Repurchase Notice”) prior to executing any repurchase of Shares by Party B or any of its subsidiaries (or entering into any contract that would require, or give the option to, Party B or any of its subsidiaries, to purchase or repurchase Shares), whether out of profits or capital or whether the consideration for such repurchase is cash, securities or otherwise (an “Issuer Repurchase”), that alone or in the aggregate would result in the Base Amount Percentage (as defined below) being (i) equal to or greater than 4.5% of the outstanding Shares or (ii) greater by 0.5% or more than the Base Amount Percentage at the time of the immediately preceding Issuer Repurchase Notice (or in the case of the first such Issuer Repurchase Notice, greater than the Base Amount Percentage as of the later of the date hereof or the immediately preceding Settlement Date, if any). The “Base Amount Percentage” as of any day is the fraction (1) the numerator of which is the aggregate of the Base Amount and each “Base Amount” (as defined in the applicable Additional Confirmation and any Additional Equity Derivative Transaction) under any outstanding Additional Transactions and (2) the denominator of which is the number of Shares outstanding on such day.</w:t>
      </w:r>
    </w:p>
    <w:p>
      <w:pPr>
        <w:spacing w:after="0" w:line="191" w:lineRule="exact"/>
        <w:rPr>
          <w:rFonts w:ascii="Times New Roman" w:cs="Times New Roman" w:eastAsia="Times New Roman" w:hAnsi="Times New Roman"/>
          <w:sz w:val="18"/>
          <w:szCs w:val="18"/>
          <w:color w:val="auto"/>
        </w:rPr>
      </w:pPr>
    </w:p>
    <w:p>
      <w:pPr>
        <w:jc w:val="both"/>
        <w:ind w:left="1304" w:right="20" w:hanging="656"/>
        <w:spacing w:after="0" w:line="258"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Party B of this Confirmation and the consummation of the Transaction (including, without limitation, the issuance and delivery of Shares on any Settlement Date) except (i) such as have been obtained under the Securities Act, and (ii) as may be required to be obtained under state securities laws.</w:t>
      </w:r>
    </w:p>
    <w:p>
      <w:pPr>
        <w:spacing w:after="0" w:line="183"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not to make any Issuer Repurchase if, immediately following such Issuer Repurchase, the Base Amount Percentage would be equal to or greater than 4.9%.</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insolvent, nor will Party B be rendered insolvent as a result of the Transaction.</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B nor any of its affiliated purchasers shall take any action (including, without limitation, any direct purchases by Party B or any of its affiliated purchasers or any purchases by a party to a derivative transaction with Party B or any of its affiliated purchasers), either under this Confirmation, under an agreement with another party or otherwise, that in the reasonable judgment of Party B is reasonably likely to cause any purchases of Shares by Party A or any of its affiliates in connection with any Cash Settlement or Net Share Settlement of the Transaction not to meet the conditions of the safe harbor provided by Rule 10b-18 under the Exchange Act if such purchases were made by Party B.</w:t>
      </w:r>
    </w:p>
    <w:p>
      <w:pPr>
        <w:spacing w:after="0" w:line="187"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engage in any “distribution” (as defined in Regulation M under the Exchange Act (“Regulation M”)) that would cause a “restricted period” (as defined in Regulation M) to occur during any Unwind Period.</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4" w:name="page135"/>
    <w:bookmarkEnd w:id="134"/>
    <w:p>
      <w:pPr>
        <w:jc w:val="both"/>
        <w:ind w:left="840" w:hanging="656"/>
        <w:spacing w:after="0" w:line="261" w:lineRule="auto"/>
        <w:tabs>
          <w:tab w:leader="none" w:pos="8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w:t>
      </w:r>
    </w:p>
    <w:p>
      <w:pPr>
        <w:spacing w:after="0" w:line="179"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w:t>
      </w:r>
    </w:p>
    <w:p>
      <w:pPr>
        <w:spacing w:after="0" w:line="225" w:lineRule="exact"/>
        <w:rPr>
          <w:sz w:val="20"/>
          <w:szCs w:val="20"/>
          <w:color w:val="auto"/>
        </w:rPr>
      </w:pPr>
    </w:p>
    <w:p>
      <w:pPr>
        <w:jc w:val="both"/>
        <w:ind w:left="1480" w:hanging="648"/>
        <w:spacing w:after="0" w:line="266" w:lineRule="auto"/>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Transaction, Party A and its Affiliates may buy or sell Shares or other securities or buy or sell options or futures contracts or enter into swaps or other derivative securities in order to establish, adjust or unwind its hedge position with respect to the Transaction;</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its Affiliates may also be active in the market for the Shares and Share-linked transactions other than in connection with hedging activities in relation to the Transaction;</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make its own determination as to whether, when or in what manner any hedging or market activities in Party B’s securities shall be conducted and shall do so in a manner that it deems appropriate to hedge its price and market risk with respect to the Forward Price and the 10b-18 VWAP;</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Party A and its Affiliates with respect to the Shares may affect the market price and volatility of the Shares, as well as the Forward Price and 10b-18 VWAP, each in a manner that may be adverse to Party B; and</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 derivatives transaction in which it has granted Party A the right, under certain circumstances, to receive cash or Shares, as the case may be; Party A may purchase Shares for its own account at an average price that may be greater than, or less than, the effective price paid by Party B under the terms of the Transaction.</w:t>
      </w:r>
    </w:p>
    <w:p>
      <w:pPr>
        <w:spacing w:after="0" w:line="175"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Party B do not constitute “plan assets” under the Employee Retirement Income Security Act of 1974, as amended, the Department of Labor Regulations promulgated thereunder or similar law.</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at least one day prior to the first day of any Unwind Period, notify Party A of the total number of Shares purchased in Rule 10b-18 purchases of blocks pursuant to the once-a-week block exception contained in Rule 10b-18(b)(4) by or for Party B or any of its affiliated purchasers during each of the four calendar weeks preceding the first day of the Unwind Period and during the calendar week in which the first day of the Unwind Period occurs (“Rule 10b-18 purchase”, “blocks” and “affiliated purchaser” each being used as defined in Rule 10b-18).</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Unwind Period, Party B shall (i) notify Party A prior to the opening of trading in the Shares on any day on which Party B makes, or expects to be made, any public announcement (as defined in Rule 165(f) under the Securities Act) of any merger, acquisition, or similar transaction involving a recapitalization relating to Party B (other than any such transaction in which the consideration consists solely of cash and there is no valuation period), (ii) promptly notify Party A following any such announcement that such announcement has been made, and (iii) promptly deliver to Party A following the making of any such announcement information indicating (A) Party B’s average daily Rule 10b-18 purchases (as defined in Rule 10b-18) during the three full calendar months preceding the date of the announcement of such transaction and (B) Party B’s block purchases (as defined in Rule 10b-18) effected pursuant to paragraph (b)(4) of Rule 10b-18 during the three full calendar months preceding the date of the announcement of such transaction. In addition, Party B shall promptly notify Party A of the earlier to occur of the completion of such transaction and the completion of the vote by target shareholders.</w:t>
      </w:r>
    </w:p>
    <w:p>
      <w:pPr>
        <w:spacing w:after="0" w:line="194"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after giving effect to the transactions contemplated hereby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13.1 of the 2002 Definitions, Party B acknowledges that Party A is not making any representations or warranties or taking any position or expressing any view with respect to the treatment of the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or under FASB’s Liabilities &amp; Equity Project.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5" w:name="page136"/>
    <w:bookmarkEnd w:id="135"/>
    <w:p>
      <w:pPr>
        <w:ind w:left="1304" w:hanging="656"/>
        <w:spacing w:after="0" w:line="282" w:lineRule="auto"/>
        <w:tabs>
          <w:tab w:leader="none" w:pos="13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understands no obligations of Party A to it hereunder will be entitled to the benefit of deposit insurance and that such obligations will not be guaranteed by any affiliate of Party A or any governmental agency.</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federal, state or local law, rule, regulation or regulatory order applicable to the Shares would give rise to any reporting, consent, registration or other requirement (including without limitation a requirement to obtain prior approval from any person or entity) as a result of Party A or its affiliates owning or holding (however defined) Shares, other than Sections 13 and 16 under the Exchange Act.</w:t>
      </w:r>
    </w:p>
    <w:p>
      <w:pPr>
        <w:spacing w:after="0" w:line="179"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obtaining knowledge of the occurrence of any event that would constitute an Event of Default or Potential Event of Default, Party B will so notify Party A in writing within one Scheduled Trading Day.</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has such knowledge and experience in financial and business affairs as to be capable of evaluating the merits and risks of entering into the Transaction, (ii) has consulted with its own legal, financial, accounting and tax advisors in connection with the Transaction and (iii) is entering into the Transaction for a bona fide business purpose.</w:t>
      </w:r>
    </w:p>
    <w:p>
      <w:pPr>
        <w:spacing w:after="0" w:line="17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and has not been the subject of any civil proceeding of a judicial or administrative body of competent jurisdiction that could reasonably be expected to impair materially Party B’s ability to perform its obligations hereunder.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positions of Party B’s common stock held by Party A or any of its affiliates solely in its capacity as a nominee or fiduciary do not constitute “beneficial ownership” or “direct or indirect ownership” Party A for the purposes of Article VI of the Declaration of Trust of Party B, as amended (the “Articles”), including without limitation Section 6.6 thereof.</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of Party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Subject to the circumstances described under “Private Placement Procedures”, Party B acknowledges and agrees that any Shares delivered by Party B to Party A on any Settlement Date will be newly issued Shares and when delivered by Party A (or an affiliate of Party A) to securities lenders from whom Party A (or an affiliate of Party A) borrowed Shares in connection with hedging its exposure to the Transaction will be freely saleable without further registration or other restrictions under the Securities Act, in the hands of those securities lenders, irrespective of whether such stock loan is effected by Party A or an affiliate of Party A. Accordingly, Party B agrees that the Shares that it delivers to Party A on each Settlement Date will not bear a restrictive legend and that such Shares will be deposited in, and the delivery thereof shall be effected through the facilities of, the Clearance System.</w:t>
      </w:r>
    </w:p>
    <w:p>
      <w:pPr>
        <w:spacing w:after="0" w:line="189" w:lineRule="exact"/>
        <w:rPr>
          <w:sz w:val="20"/>
          <w:szCs w:val="20"/>
          <w:color w:val="auto"/>
        </w:rPr>
      </w:pPr>
    </w:p>
    <w:p>
      <w:pPr>
        <w:ind w:left="324" w:hanging="324"/>
        <w:spacing w:after="0"/>
        <w:tabs>
          <w:tab w:leader="none" w:pos="3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Party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shall be applicable, Party A shall use any Shares delivered by Party B to Party A on any Settlement Date to return to securities lenders to close out open Share loans created by Party A or an affiliate of Party A in the course of Party A’s or such affiliate’s hedging activities related to Party A’s exposure under this Confirmation.</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the Transaction, Party A shall use good faith efforts to conduct its activities, or cause its affiliates to conduct their activities, in a manner consistent with the requirements of the safe harbor provided by Rule 10b-18 under the Exchange Act, as if such provisions were applicable to such purchases aggregated with any analogous purchases occurring on the same day under any Additional Transaction.</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Deadline for Designating an Early Termination Date and Payment Suspension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either party provides notice to the other party that there has occurred (1) an Event of Default as to which Party B is the Defaulting Party; (2) a Potential Event of Default with respect to Party B or (3) a Termination Event as to which Party B is the sole Affected Party, then, notwithstanding Section 9(f) of the Agreement and unless Party A and Party B otherwise agree in writing, after 30 calendar days have elapsed following such notice, (i) Party A shall have no further right to designate an Early Termination Date by reason of the aforementioned Event of Default or Termination Event and (ii) the aforementioned Event of Default or Potential Event of Default shall be deemed to cease to be continuing for the purposes of Section 2(a)(iii)(1) of the Agreement. Party A hereby agrees to provide any notice referred to in the preceding sentence as promptly as practicable after it determines, acting in good faith, that the aforementioned Event of Default, Potential Event of Default or Termination Event has occurred.</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6" w:name="page137"/>
    <w:bookmarkEnd w:id="136"/>
    <w:p>
      <w:pPr>
        <w:ind w:left="324" w:hanging="324"/>
        <w:spacing w:after="0"/>
        <w:tabs>
          <w:tab w:leader="none" w:pos="3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in the Agreement, in the 2006 Definitions or in the 2002 Definitions, upon any Insolvency Filing in respect of the Issuer, the Transaction shall automatically terminate on the date thereof without further liability of either party to this Confirmation to the other party (except for any liability in respect of any breach of representation or covenant by a party under this Confirmation prior to the date of such Insolvency Filing).</w:t>
      </w:r>
    </w:p>
    <w:p>
      <w:pPr>
        <w:spacing w:after="0" w:line="180" w:lineRule="exact"/>
        <w:rPr>
          <w:sz w:val="20"/>
          <w:szCs w:val="20"/>
          <w:color w:val="auto"/>
        </w:rPr>
      </w:pPr>
    </w:p>
    <w:p>
      <w:pPr>
        <w:ind w:left="324" w:hanging="324"/>
        <w:spacing w:after="0"/>
        <w:tabs>
          <w:tab w:leader="none" w:pos="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If an ex-dividend date for an Extraordinary Dividend occurs on or after the Trade Date and on or prior to the Maturity Date (or, if later, the last date on which Shares are delivered by Party B to Party A in settlement of the Transaction), Party B shall pay an amount in cash equal to the product of such Extraordinary Dividend and the Base Amount to Party A on the earlier of (i) the date on which such Extraordinary Dividend is paid by the Issuer to holders of record of the Shares or (ii) the Maturity Date. “Extraordinary Dividend” means the per Share amount of any cash dividend or distribution declared by the Issuer with respect to the Shares that is specified by the board of directors of the Issuer as an “extraordinary” dividend.</w:t>
      </w:r>
    </w:p>
    <w:p>
      <w:pPr>
        <w:spacing w:after="0" w:line="187" w:lineRule="exact"/>
        <w:rPr>
          <w:sz w:val="20"/>
          <w:szCs w:val="20"/>
          <w:color w:val="auto"/>
        </w:rPr>
      </w:pPr>
    </w:p>
    <w:p>
      <w:pPr>
        <w:ind w:left="324" w:hanging="324"/>
        <w:spacing w:after="0"/>
        <w:tabs>
          <w:tab w:leader="none" w:pos="3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each constitute an “Acceleration Event”: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Events</w:t>
      </w:r>
      <w:r>
        <w:rPr>
          <w:rFonts w:ascii="Times New Roman" w:cs="Times New Roman" w:eastAsia="Times New Roman" w:hAnsi="Times New Roman"/>
          <w:sz w:val="18"/>
          <w:szCs w:val="18"/>
          <w:color w:val="auto"/>
        </w:rPr>
        <w:t>. In the good faith and commercially reasonable judgment of Party A (i) Party A (or its affiliate) is unable, after using commercially reasonable efforts, to hedge its exposure to the Transaction because of the lack of sufficient Shares being made available for Share borrowing by lenders, or (ii) Party A (or its affiliate) would incur a Stock Loan Fee to borrow a number of Shares equal to the Base Amount of more than a rate of 200 basis points per annum (each, a “Stock Borrow Event”);</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On any day occurring after the Trade Date Party B declares a distribution, issue or dividend to existing holders of the Shares of (i) any cash dividend (other than an Extraordinary Dividend) to the extent all cash dividends having an ex-dividend date during the period from and including any Forward Price Reduction Date (with the Trade Date being a Forward Price Reduction Date for purposes of this clause only) to but excluding the next subsequent Forward Price Reduction Date exceeds, on a per Share basis, the Forward Price Reduction Amount set forth opposite the first date of any such period on Schedule I, (ii) share capital or securities of another issuer acquired or owned (directly or indirectly) by Party B as a result of a spin-off or other similar transaction or (iii) any other type of securities (other than Shares), rights or warrants or other assets, for payment (cash or other consideration) at less than the prevailing market price as determined by Party A;</w:t>
      </w:r>
    </w:p>
    <w:p>
      <w:pPr>
        <w:spacing w:after="0" w:line="19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ISDA Early Termination Date</w:t>
      </w:r>
      <w:r>
        <w:rPr>
          <w:rFonts w:ascii="Times New Roman" w:cs="Times New Roman" w:eastAsia="Times New Roman" w:hAnsi="Times New Roman"/>
          <w:sz w:val="18"/>
          <w:szCs w:val="18"/>
          <w:color w:val="auto"/>
        </w:rPr>
        <w:t>. Party A notifies Party B that Party A has designated an Early Termination Date pursuant to Section 6 of the Agreement;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The public announcement of any event that if consummated would result in an Extraordinary Event or the occurrence of any Change in Law or a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12.6(a)(iii) of the 2002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definition of “Change in Law” provided in Section 12.9(a)(ii) of the 2002 Definitions is hereby amended by (i) replacing the phrase “the interpretation” in the third line thereof with the phrase “, or public announcement of, the formal or informal interpretation” and</w:t>
      </w:r>
    </w:p>
    <w:p>
      <w:pPr>
        <w:spacing w:after="0" w:line="2" w:lineRule="exact"/>
        <w:rPr>
          <w:rFonts w:ascii="Times New Roman" w:cs="Times New Roman" w:eastAsia="Times New Roman" w:hAnsi="Times New Roman"/>
          <w:sz w:val="18"/>
          <w:szCs w:val="18"/>
          <w:color w:val="auto"/>
        </w:rPr>
      </w:pPr>
    </w:p>
    <w:p>
      <w:pPr>
        <w:jc w:val="both"/>
        <w:ind w:left="1304" w:hanging="8"/>
        <w:spacing w:after="0" w:line="255" w:lineRule="auto"/>
        <w:tabs>
          <w:tab w:leader="none" w:pos="1582"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parenthetical beginning after the word “regulation” in the second line thereof the words “(including, for the avoidance of doubt and without limitation, (x) any tax law or (y) adoption, effectiveness or promulgation of new regulations authorized or mandated by existing statute)”; or</w:t>
      </w:r>
    </w:p>
    <w:p>
      <w:pPr>
        <w:spacing w:after="0" w:line="185"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w:t>
      </w:r>
      <w:r>
        <w:rPr>
          <w:rFonts w:ascii="Times New Roman" w:cs="Times New Roman" w:eastAsia="Times New Roman" w:hAnsi="Times New Roman"/>
          <w:sz w:val="18"/>
          <w:szCs w:val="18"/>
          <w:color w:val="auto"/>
        </w:rPr>
        <w:t>t. In the reasonable judgment of Party A, on any day, the Share Amount for such day exceeds the Applicable Share Limit for such day (if any applies).</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7" w:name="page138"/>
    <w:bookmarkEnd w:id="137"/>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clause (e) above, the “Share Amount” as of any day is the number of Shares that Party A and any person whose ownership position would be aggregated with that of Party A (Party A or any such person, a “Party A Person”) under any law, rule, regulation, regulatory order or organizational documents or contracts of Party B (including without limitation Article VI of the Articles) that are, in each case, applicable to ownership of Shares (“Applicable Restrictions”), owns, beneficially owns, constructively owns, controls, holds the power to vote or otherwise meets a relevant definition of ownership under any Applicable Restriction, as determined by Party A in its reasonable discretion. The “Applicable Share Limit” means a number of Shares equal to (A) the minimum number of Shares that could give rise to reporting or registration obligations or other requirements (including obtaining prior approval from any person or entity) other than pursuant to the Exchange Act of a Party A Person, or could reasonably be expected to result in an adverse effect on a Party A Person, under any Applicable Restriction, as determined by Party A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94" w:lineRule="exact"/>
        <w:rPr>
          <w:sz w:val="20"/>
          <w:szCs w:val="20"/>
          <w:color w:val="auto"/>
        </w:rPr>
      </w:pPr>
    </w:p>
    <w:p>
      <w:pPr>
        <w:ind w:left="324" w:hanging="324"/>
        <w:spacing w:after="0"/>
        <w:tabs>
          <w:tab w:leader="none" w:pos="3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Settlemen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 xml:space="preserve">Upon the occurrence of any Acceleration Event, Party A shall have the right to designate, upon at least two Scheduled Trading Days’ notice, any Scheduled Trading Day following such occurrence to be a Settlement Date hereunder (a “Termination Settlement Date”) to which Physical Settlement shall apply, and to select the number of Settlement Shares relating to such Termination Settlement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in the case of an Acceleration Event arising out of an Ownership Event, the number of Settlement Shares so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Party A shall not exceed the number of Shares necessary to reduce the Share Amount to the Applicable Share Limit and (ii) in the case of an Acceleration Event arising out of a Stock Borrow Event the number of Settlement Shares so designated by Party A shall not exceed the number of Shares as to which such Stock Borrow Event exists. If, upon designation of a Termination Settlement Date by Party A pursuant to the preceding sentence, Party B fails to deliver the Settlement Shares relating to such Termination Settlement Date when due or otherwise fails to perform obligations within its control in respect of the Transaction, it shall be an Event of Default with respect to Party B and Section 6 of the Agreement shall apply. If an Acceleration Event occurs during an Unwind Period relating to a number of Settlement Shares to which Cash Settlement or Net Share Settlement applies, then on the Termination Settlement Date relating to such Acceleration Event, notwithstanding any election to the contrary by Party B, Cash Settlement or Net Share Settlement shall apply to the portion of the Settlement Shares relating to such Unwind Period as to which Party A has unwound its hedge and Physical Settlement shall apply in respect of (x) the remainder (if any) of such Settlement Shares and (y) the Settlement Shares designated by Party A in respect of such Termination Settlement Date. If an Acceleration Event occurs after Party B has designated a Settlement Date to which Physical Settlement applies but before the relevant Settlement Shares have been delivered to Party A, then Party A shall have the right to cancel such Settlement Date and designate a Termination Settlement Date in respect of such Shares pursuant to the first sentence hereof. If an event or circumstance is an Acceleration Event under both this Confirmation and any Additional Confirmation and the designation of a Termination Settlement Date under one such confirmation would cure the Acceleration Event under the other such confirmation, then Party A shall first designate a Termination Settlement Date under the confirmation with the first occurring Maturity Date before designating a Termination Settlement Date under the other confirmation.</w:t>
      </w:r>
    </w:p>
    <w:p>
      <w:pPr>
        <w:spacing w:after="0" w:line="188" w:lineRule="exact"/>
        <w:rPr>
          <w:sz w:val="20"/>
          <w:szCs w:val="20"/>
          <w:color w:val="auto"/>
        </w:rPr>
      </w:pPr>
    </w:p>
    <w:p>
      <w:pPr>
        <w:ind w:left="324" w:hanging="324"/>
        <w:spacing w:after="0"/>
        <w:tabs>
          <w:tab w:leader="none" w:pos="32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If Party B is unable to comply with the provisions of “Covenant of Party B” above because of a change in law or a change in the policy of the Securities and Exchange Commission or its staff, or Party A otherwise reasonably determines, based on advice of counsel, that any Settlement Shares to be delivered to Party A by Party B may not be freely returned by Party A or its affiliates to securities lenders as described under “Covenant of Party B” above, then delivery of any such Settlement Shares (the “Restricted Shares”) shall be effected pursuant to Annex A hereto, unless waived by Party A.</w:t>
      </w:r>
    </w:p>
    <w:p>
      <w:pPr>
        <w:spacing w:after="0" w:line="183" w:lineRule="exact"/>
        <w:rPr>
          <w:sz w:val="20"/>
          <w:szCs w:val="20"/>
          <w:color w:val="auto"/>
        </w:rPr>
      </w:pPr>
    </w:p>
    <w:p>
      <w:pPr>
        <w:ind w:left="324" w:hanging="324"/>
        <w:spacing w:after="0"/>
        <w:tabs>
          <w:tab w:leader="none" w:pos="32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It is the intent of Party A and Party B that following any election of Cash Settlement or Net Share Settlement by Party B, the purchase of Shares by Party A during any Unwind Period comply with the requirements of Rule 10b5-1(c)(1)(i)(B) of the Exchange Act and that this Confirmation shall be interpreted to comply with the requirements of Rule 10b5-1(c).</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Party B acknowledges that (i) during any Unwind Period Party B shall not attempt to exercise any influence over how, when or whether to effect purchases of Shares by Party A (or its agent or affiliate) in connection with this Confirmation and (ii) Party B is entering into the Agreement and this Confirmation in good faith and not as part of a plan or scheme to evade compliance with federal securities laws including, without limitation, Rule 10b-5 promulgated under the Exchange Act. Party B further agrees to act in good faith with respect to the Agreement and this Confirmation.</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8" w:name="page139"/>
    <w:bookmarkEnd w:id="138"/>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Party B hereby agrees with Party A that during any Unwind Period Party B shall not communicate, directly or indirectly, any Material Non-Public Information (as defined herein) to any Derivatives Personnel (as defined below). For purposes of the Transaction, “Material Non-Public Information” means information relating to Party B or the Shares that (a) has not been widely disseminated by wire service, in one or more newspapers of general circulation, by communication from Party B to its shareholders or in a press release, or contained in a public filing made by Party B with the Securities and Exchange Commission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orders, significant merger or acquisition proposals or agreements, significant new products or discoveries, extraordinary borrowing, major litigation, liquidity problems, extraordinary management developments, purchase or sale of substantial assets, or other similar information For purposes of the Transaction, “Derivatives Personnel” means any employee on the trading side of the Equity Derivatives of Party A and does not include any other person or persons designated from time to time by the Compliance Group of Party A.</w:t>
      </w:r>
    </w:p>
    <w:p>
      <w:pPr>
        <w:spacing w:after="0" w:line="190" w:lineRule="exact"/>
        <w:rPr>
          <w:sz w:val="20"/>
          <w:szCs w:val="20"/>
          <w:color w:val="auto"/>
        </w:rPr>
      </w:pPr>
    </w:p>
    <w:p>
      <w:pPr>
        <w:ind w:left="980" w:hanging="324"/>
        <w:spacing w:after="0"/>
        <w:tabs>
          <w:tab w:leader="none" w:pos="9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Confirmation, in no event will Party B be required to deliver on any Settlement Date, whether pursuant to Physical Settlement, Net Share Settlement, Termination Settlement or any Private Placement Settlement, more than a number of Shares equal to 1.5 times the Initial Base Amount, subject to reduction by the number of any Shares delivered by Party B on any prior Settlement Date and subject to adjustment from time to time in accordance with the provisions of this Confirmation and the Equity Definitions.</w:t>
      </w:r>
    </w:p>
    <w:p>
      <w:pPr>
        <w:spacing w:after="0" w:line="183" w:lineRule="exact"/>
        <w:rPr>
          <w:sz w:val="20"/>
          <w:szCs w:val="20"/>
          <w:color w:val="auto"/>
        </w:rPr>
      </w:pPr>
    </w:p>
    <w:p>
      <w:pPr>
        <w:ind w:left="980" w:hanging="324"/>
        <w:spacing w:after="0"/>
        <w:tabs>
          <w:tab w:leader="none" w:pos="9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Party A may assign or transfer all (but not less than all) of its rights or delegate all (but not less than all) of its duties hereunder to any affiliate of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the applicable law effective on the date of such transfer or assignment, Party B will not be required, as a result of such transfer or assignment, to pay to the transferee an amount in respect of an Indemnifiable Tax greater than the amount, if any, that Party B would have been required to pay Party A in the absence of such transfer or assignment; and Party B will not receive a payment from which an amount has been withheld or deducted, on account of a Tax in respect of which the other party is not required to pay an additional amount, unless Party B would not have been entitled to receive any additional amount in respect of such payment in the absence of such transfer or assignment;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(A)  the affiliate’s obligations hereunder are fully and unconditionally guaranteed by Party A or its parent or (B) the affiliate’s long-term issuer rating is equal to or better than the credit rating of Party A at the time of such assignment or transfer. Notwithstanding the above or any other provision in this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A’s obligations in respect of the Transaction and any such designee may assume such obligations. Party A shall be discharged of its obligations to Party B to the extent of any such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jc w:val="right"/>
              <w:ind w:right="3820"/>
              <w:spacing w:after="0"/>
              <w:rPr>
                <w:sz w:val="20"/>
                <w:szCs w:val="20"/>
                <w:color w:val="auto"/>
              </w:rPr>
            </w:pPr>
            <w:r>
              <w:rPr>
                <w:rFonts w:ascii="Times New Roman" w:cs="Times New Roman" w:eastAsia="Times New Roman" w:hAnsi="Times New Roman"/>
                <w:sz w:val="18"/>
                <w:szCs w:val="18"/>
                <w:color w:val="auto"/>
              </w:rPr>
              <w:t>(o) Acknowledgements:</w:t>
            </w:r>
          </w:p>
        </w:tc>
        <w:tc>
          <w:tcPr>
            <w:tcW w:w="4960" w:type="dxa"/>
            <w:vAlign w:val="bottom"/>
          </w:tcPr>
          <w:p>
            <w:pPr>
              <w:spacing w:after="0"/>
              <w:rPr>
                <w:sz w:val="18"/>
                <w:szCs w:val="18"/>
                <w:color w:val="auto"/>
              </w:rPr>
            </w:pPr>
          </w:p>
        </w:tc>
      </w:tr>
      <w:tr>
        <w:trPr>
          <w:trHeight w:val="453"/>
        </w:trPr>
        <w:tc>
          <w:tcPr>
            <w:tcW w:w="980" w:type="dxa"/>
            <w:vAlign w:val="bottom"/>
          </w:tcPr>
          <w:p>
            <w:pPr>
              <w:spacing w:after="0"/>
              <w:rPr>
                <w:sz w:val="24"/>
                <w:szCs w:val="24"/>
                <w:color w:val="auto"/>
              </w:rPr>
            </w:pPr>
          </w:p>
        </w:tc>
        <w:tc>
          <w:tcPr>
            <w:tcW w:w="14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Non-Reliance:</w:t>
            </w:r>
          </w:p>
        </w:tc>
        <w:tc>
          <w:tcPr>
            <w:tcW w:w="3880" w:type="dxa"/>
            <w:vAlign w:val="bottom"/>
          </w:tcPr>
          <w:p>
            <w:pPr>
              <w:spacing w:after="0"/>
              <w:rPr>
                <w:sz w:val="24"/>
                <w:szCs w:val="24"/>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w:t>
            </w:r>
          </w:p>
        </w:tc>
      </w:tr>
      <w:tr>
        <w:trPr>
          <w:trHeight w:val="459"/>
        </w:trPr>
        <w:tc>
          <w:tcPr>
            <w:tcW w:w="980" w:type="dxa"/>
            <w:vAlign w:val="bottom"/>
          </w:tcPr>
          <w:p>
            <w:pPr>
              <w:spacing w:after="0"/>
              <w:rPr>
                <w:sz w:val="24"/>
                <w:szCs w:val="24"/>
                <w:color w:val="auto"/>
              </w:rPr>
            </w:pP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w:t>
            </w:r>
          </w:p>
        </w:tc>
      </w:tr>
      <w:tr>
        <w:trPr>
          <w:trHeight w:val="459"/>
        </w:trPr>
        <w:tc>
          <w:tcPr>
            <w:tcW w:w="980" w:type="dxa"/>
            <w:vAlign w:val="bottom"/>
          </w:tcPr>
          <w:p>
            <w:pPr>
              <w:spacing w:after="0"/>
              <w:rPr>
                <w:sz w:val="24"/>
                <w:szCs w:val="24"/>
                <w:color w:val="auto"/>
              </w:rPr>
            </w:pP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Agreements and Acknowledgments Regarding Hedging Activities:</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Applicable</w:t>
            </w:r>
          </w:p>
        </w:tc>
      </w:tr>
      <w:tr>
        <w:trPr>
          <w:trHeight w:val="648"/>
        </w:trPr>
        <w:tc>
          <w:tcPr>
            <w:tcW w:w="628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14</w:t>
            </w: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9" w:name="page140"/>
    <w:bookmarkEnd w:id="139"/>
    <w:p>
      <w:pPr>
        <w:ind w:left="660" w:hanging="652"/>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further supplemented by the following provisions:</w:t>
      </w:r>
    </w:p>
    <w:p>
      <w:pPr>
        <w:spacing w:after="0" w:line="225" w:lineRule="exact"/>
        <w:rPr>
          <w:sz w:val="20"/>
          <w:szCs w:val="20"/>
          <w:color w:val="auto"/>
        </w:rPr>
      </w:pPr>
    </w:p>
    <w:p>
      <w:pPr>
        <w:ind w:left="980" w:hanging="324"/>
        <w:spacing w:after="0"/>
        <w:tabs>
          <w:tab w:leader="none" w:pos="9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72" w:lineRule="auto"/>
        <w:rPr>
          <w:sz w:val="20"/>
          <w:szCs w:val="20"/>
          <w:color w:val="auto"/>
        </w:rPr>
      </w:pPr>
      <w:r>
        <w:rPr>
          <w:rFonts w:ascii="Times New Roman" w:cs="Times New Roman" w:eastAsia="Times New Roman" w:hAnsi="Times New Roman"/>
          <w:sz w:val="17"/>
          <w:szCs w:val="17"/>
          <w:color w:val="auto"/>
        </w:rPr>
        <w:t>Notwithstanding Section 6(f) or any other provision of the Agreement or any other agreement between the parties to the contrary, the obligations of Party B hereunder are not secured by any collateral. Obligations under the Transaction shall not be set off against any other obligations of the parties, whether arising under the Agreement, this Confirmation, under any other agreement between the parties hereto, by operation of law or otherwise, and no other obligations of the parties shall be set off against obligations under the Transaction, whether arising under the Agreement, this Confirmation, under any other agreement between the parties hereto, by operation of law or otherwise, and each party hereby waives any such right of setoff. In calculating any amounts under Section 6(e) of the Agreement, notwithstanding anything to the contrary in the Agreement, (a) separate amounts shall be calculated as set forth in such Section 6(e) with respect to (i) the Transaction and (ii) all other Transactions, and (b) such separate amounts shall be payable pursuant to Section 6(d)(ii) of the Agreement.</w:t>
      </w:r>
    </w:p>
    <w:p>
      <w:pPr>
        <w:spacing w:after="0" w:line="172" w:lineRule="exact"/>
        <w:rPr>
          <w:sz w:val="20"/>
          <w:szCs w:val="20"/>
          <w:color w:val="auto"/>
        </w:rPr>
      </w:pPr>
    </w:p>
    <w:p>
      <w:pPr>
        <w:ind w:left="980" w:hanging="324"/>
        <w:spacing w:after="0"/>
        <w:tabs>
          <w:tab w:leader="none" w:pos="9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Claims in Bankruptcy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 xml:space="preserve">Party A acknowledges and agrees that this confirmation is not intended to convey to Party A rights with respect to the transactions contemplated hereby that are senior to the claims of common stockholders in any U.S. bankruptcy proceedings of Party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nothing herein shall limit or shall be deemed to limit Party A’s right to pursue remedies in the event of a breach by Party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its obligations and agreements with respect to this Confirmation and the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Party A’s rights in respect of any transaction other than the Transaction.</w:t>
      </w:r>
    </w:p>
    <w:p>
      <w:pPr>
        <w:spacing w:after="0" w:line="183" w:lineRule="exact"/>
        <w:rPr>
          <w:sz w:val="20"/>
          <w:szCs w:val="20"/>
          <w:color w:val="auto"/>
        </w:rPr>
      </w:pPr>
    </w:p>
    <w:p>
      <w:pPr>
        <w:ind w:left="980" w:hanging="324"/>
        <w:spacing w:after="0"/>
        <w:tabs>
          <w:tab w:leader="none" w:pos="9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Beneficial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provisions hereof, Party A shall not have the right to acquire Shares hereunder and Party A shall not be entitled to take delivery of any Shares deliverable hereunder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Applicable Share Limit, (ii) the Section 16 Percentage would exceed 4.9%, (iii) Party A and each person subject to aggregation of Shares with Party A under Section 13 or Section 16 of the Exchange Act and rules promulgated thereunder (the “Party A Group”) would directly or indirectly beneficially own (as such term is defined for purposes of Section 13 or Section 16 of the Exchange Act and rules promulgated thereunder) in excess of 4.9% of the then outstanding Shares (the “Threshold Number of Shares”) or (iv) such acquisition would result in a violation of any restriction on ownership or transfer set forth in Article VI of the Articles (the “Counterparty Stock Ownership Restrictions”). Any purported delivery hereunder shall be void and have no effect to the extent (but only to the extent) that, after such delivery, (i) the Share Amount would exceed the Applicable Share Limit, (ii) the Section 16 Percentage would exceed 4.9%, (iii) Party A Group would directly or indirectly so beneficially own in excess of the Threshold Number of Shares or (iv) such delivery would result in a violation of the Counterparty Stock Ownership Restrictions. If any delivery owed to Party A hereunder is not made, in whole or in part, as a result of this provision, Party B’s obligation to make such delivery shall not be extinguished and Party B shall make such delivery as promptly as practicable after, but in no event later than one Exchange Business Day after, Party A gives notice to Party B that, after such delivery,</w:t>
      </w:r>
    </w:p>
    <w:p>
      <w:pPr>
        <w:spacing w:after="0" w:line="11" w:lineRule="exact"/>
        <w:rPr>
          <w:sz w:val="20"/>
          <w:szCs w:val="20"/>
          <w:color w:val="auto"/>
        </w:rPr>
      </w:pPr>
    </w:p>
    <w:p>
      <w:pPr>
        <w:jc w:val="both"/>
        <w:ind w:left="1300" w:firstLine="4"/>
        <w:spacing w:after="0" w:line="251" w:lineRule="auto"/>
        <w:tabs>
          <w:tab w:leader="none" w:pos="152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Amount would not exceed the Applicable Share Limit, (ii) the Section 16 Percentage would not exceed 4.9%, (iii) Party A Group would not directly or indirectly so beneficially own in excess of the Threshold Number of Shares and (iv) such delivery would not result in a violation of the Counterparty Stock Ownership Restriction. The “Section 16 Percentage” as of any day is the fraction, expressed as a percentage, (A) the numerator of which is the number of Shares that Party A and any of its affiliates or any other person subject to aggregation with Party A for purposes of the “beneficial ownership” test under Section 13 of the Exchange Act, or any “group” (within the meaning of Section 13 of the Exchange Act) of which Party A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Party A hereunder is not made, in whole or in part, as a result of the immediately preceding paragraph, Party A shall be permitted to make any payment due in respect of such Shares to Party B in two or more tranches that correspond in amount to the number of Shares delivered by Party B to Party A pursuant to the immediately preceding paragraph.</w:t>
      </w:r>
    </w:p>
    <w:p>
      <w:pPr>
        <w:spacing w:after="0" w:line="180" w:lineRule="exact"/>
        <w:rPr>
          <w:sz w:val="20"/>
          <w:szCs w:val="20"/>
          <w:color w:val="auto"/>
        </w:rPr>
      </w:pPr>
    </w:p>
    <w:p>
      <w:pPr>
        <w:ind w:left="324" w:hanging="324"/>
        <w:spacing w:after="0"/>
        <w:tabs>
          <w:tab w:leader="none" w:pos="32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Cash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Confirmation shall be interpreted as requiring Party B to deliver cash in respect of the settlement of this Transaction, except in circumstances where the required cash settlement thereof is permitted for classification of the contract as equity by ASC 815-40 (formerly EITF 00-19) as in effect on the Trade Date (including, without limitation, where Party B so elects to deliver cash or fails timely to elect to deliver Shares in respect of such settlement).</w:t>
      </w:r>
    </w:p>
    <w:p>
      <w:pPr>
        <w:spacing w:after="0" w:line="180" w:lineRule="exact"/>
        <w:rPr>
          <w:sz w:val="20"/>
          <w:szCs w:val="20"/>
          <w:color w:val="auto"/>
        </w:rPr>
      </w:pPr>
    </w:p>
    <w:p>
      <w:pPr>
        <w:ind w:left="324" w:hanging="324"/>
        <w:spacing w:after="0"/>
        <w:tabs>
          <w:tab w:leader="none" w:pos="32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Wall Street Transparency and Accountability Ac</w:t>
      </w:r>
      <w:r>
        <w:rPr>
          <w:rFonts w:ascii="Times New Roman" w:cs="Times New Roman" w:eastAsia="Times New Roman" w:hAnsi="Times New Roman"/>
          <w:sz w:val="18"/>
          <w:szCs w:val="18"/>
          <w:color w:val="auto"/>
        </w:rPr>
        <w:t>t:</w:t>
      </w:r>
    </w:p>
    <w:p>
      <w:pPr>
        <w:spacing w:after="0" w:line="225" w:lineRule="exact"/>
        <w:rPr>
          <w:sz w:val="20"/>
          <w:szCs w:val="20"/>
          <w:color w:val="auto"/>
        </w:rPr>
      </w:pPr>
    </w:p>
    <w:p>
      <w:pPr>
        <w:jc w:val="both"/>
        <w:ind w:left="644"/>
        <w:spacing w:after="0" w:line="256"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(the “WSTAA”), the parties hereby agree that neither the enactment of the WSTAA or any regulation under the WSTAA, nor any requirement under the WSTAA or an amendment made by the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2002 Definitions incorporated herein, or the Agreement (including, but not limited to, rights arising from any Acceleration Event or Illegality (as defined in the Agreement)).</w:t>
      </w:r>
    </w:p>
    <w:p>
      <w:pPr>
        <w:spacing w:after="0" w:line="187" w:lineRule="exact"/>
        <w:rPr>
          <w:sz w:val="20"/>
          <w:szCs w:val="20"/>
          <w:color w:val="auto"/>
        </w:rPr>
      </w:pPr>
    </w:p>
    <w:p>
      <w:pPr>
        <w:ind w:left="324" w:hanging="324"/>
        <w:spacing w:after="0"/>
        <w:tabs>
          <w:tab w:leader="none" w:pos="3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right="4240" w:hanging="316"/>
        <w:spacing w:after="0" w:line="500" w:lineRule="auto"/>
        <w:tabs>
          <w:tab w:leader="none" w:pos="96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for Notices. For the purpose of Section 12(a) of the Agreement: Address for notices or communications to Party A:</w:t>
      </w:r>
    </w:p>
    <w:p>
      <w:pPr>
        <w:spacing w:after="0" w:line="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Attention: Corporate Equity Derivatives</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CorporateDerivativeNotifications@wellsfargo.com</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Address for notices or communications to Party B:</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411 Theodore Fremd</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Avenue, Suite 300 Rye,</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New York 10580</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Facsimile: 914-288-2138</w:t>
      </w:r>
    </w:p>
    <w:p>
      <w:pPr>
        <w:spacing w:after="0" w:line="203" w:lineRule="exact"/>
        <w:rPr>
          <w:sz w:val="20"/>
          <w:szCs w:val="20"/>
          <w:color w:val="auto"/>
        </w:rPr>
      </w:pPr>
    </w:p>
    <w:p>
      <w:pPr>
        <w:jc w:val="both"/>
        <w:ind w:left="324" w:hanging="324"/>
        <w:spacing w:after="0" w:line="259" w:lineRule="auto"/>
        <w:tabs>
          <w:tab w:leader="none" w:pos="3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Right to Trial by Jury. Each party waives, to the fullest extent permitted by applicable law, any right it may have to a trial by jury in respect of any suit, action or proceeding relating to this Confirmation. </w:t>
      </w:r>
      <w:r>
        <w:rPr>
          <w:rFonts w:ascii="Times New Roman" w:cs="Times New Roman" w:eastAsia="Times New Roman" w:hAnsi="Times New Roman"/>
          <w:sz w:val="18"/>
          <w:szCs w:val="18"/>
          <w:color w:val="auto"/>
        </w:rPr>
        <w:t>Each party (i) certifies that no representative,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of the other party has represented, expressly or otherwise, that such other party would not, in the event of such a suit action or proceeding, seek to enforce the foregoing waiver and (ii) acknowledges that it and the other party have been induced to enter into this Confirmation by, among other things, the mutual waivers and certifications herein.</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Office of Party A for the Transaction is: Charlotte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Office of Party B for the Transaction is: Inapplicable, Party B is not a Multibranch Party</w:t>
      </w:r>
    </w:p>
    <w:p>
      <w:pPr>
        <w:spacing w:after="0" w:line="225" w:lineRule="exact"/>
        <w:rPr>
          <w:sz w:val="20"/>
          <w:szCs w:val="20"/>
          <w:color w:val="auto"/>
        </w:rPr>
      </w:pPr>
    </w:p>
    <w:p>
      <w:pPr>
        <w:ind w:left="324" w:hanging="324"/>
        <w:spacing w:after="0"/>
        <w:tabs>
          <w:tab w:leader="none" w:pos="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parties hereto intend for:</w:t>
      </w:r>
    </w:p>
    <w:p>
      <w:pPr>
        <w:spacing w:after="0" w:line="225" w:lineRule="exact"/>
        <w:rPr>
          <w:sz w:val="20"/>
          <w:szCs w:val="20"/>
          <w:color w:val="auto"/>
        </w:rPr>
      </w:pPr>
    </w:p>
    <w:p>
      <w:pPr>
        <w:ind w:left="964" w:hanging="316"/>
        <w:spacing w:after="0" w:line="282" w:lineRule="auto"/>
        <w:tabs>
          <w:tab w:leader="none" w:pos="96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to be a “securities contract” as defined in Section 741(7) of Title 11 of the United States Code (the “Bankruptcy Code”), qualifying for the protections under Section 555 of the Bankruptcy Code;</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1" w:name="page142"/>
    <w:bookmarkEnd w:id="141"/>
    <w:p>
      <w:pPr>
        <w:ind w:left="964" w:hanging="316"/>
        <w:spacing w:after="0" w:line="282" w:lineRule="auto"/>
        <w:tabs>
          <w:tab w:leader="none" w:pos="96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right to liquidate the Transaction and to exercise any other remedies upon the occurrence of any Event of Default under the Agreement with respect to the other party to constitute a “contractual right” as defined in the Bankruptcy Code;</w:t>
      </w:r>
    </w:p>
    <w:p>
      <w:pPr>
        <w:spacing w:after="0" w:line="161"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to be a “financial institution” within the meaning of Section 101(22) of the Bankruptcy Code; and</w:t>
      </w:r>
    </w:p>
    <w:p>
      <w:pPr>
        <w:spacing w:after="0" w:line="225" w:lineRule="exact"/>
        <w:rPr>
          <w:rFonts w:ascii="Times New Roman" w:cs="Times New Roman" w:eastAsia="Times New Roman" w:hAnsi="Times New Roman"/>
          <w:sz w:val="18"/>
          <w:szCs w:val="18"/>
          <w:color w:val="auto"/>
        </w:rPr>
      </w:pPr>
    </w:p>
    <w:p>
      <w:pPr>
        <w:ind w:left="964" w:right="20" w:hanging="316"/>
        <w:spacing w:after="0" w:line="282" w:lineRule="auto"/>
        <w:tabs>
          <w:tab w:leader="none" w:pos="96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the Transaction, all payments for the Shares and the transfer of such Shares to constitute “settlement payments” as defined in the Bankruptcy Code.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4" w:lineRule="auto"/>
        <w:rPr>
          <w:sz w:val="20"/>
          <w:szCs w:val="20"/>
          <w:color w:val="auto"/>
        </w:rPr>
      </w:pPr>
      <w:r>
        <w:rPr>
          <w:rFonts w:ascii="Times New Roman" w:cs="Times New Roman" w:eastAsia="Times New Roman" w:hAnsi="Times New Roman"/>
          <w:sz w:val="18"/>
          <w:szCs w:val="18"/>
          <w:color w:val="auto"/>
        </w:rPr>
        <w:t>If any term, provision, covenant or condition of this Confirmation, or the application thereof to any party or circumstance, shall be held to be invalid or unenforceable in whole or in part for any reason, the remaining terms, provisions, covenants, and conditions hereof shall continue in full force and effect as if this Confirmation had been executed with the invalid or unenforceable provision eliminated, so long as this Confirmation as so modified continues to express, without material change, the original intentions of the parties as to the subject matter of this Confirmation and the deletion of such portion of this Confirmation will not substantially impair the respective benefits or expectations of parties to the Agreement; provided, however, that this severability provision shall not be applicable if any provision of Section 2, 5, 6 or 13 of the Agreement (or any definition or provision in Section 14 to the extent that it relates to, or is used in or in connection with any such Section) shall be so held to be invalid or unenforceable.</w:t>
      </w:r>
    </w:p>
    <w:p>
      <w:pPr>
        <w:spacing w:after="0" w:line="192" w:lineRule="exact"/>
        <w:rPr>
          <w:sz w:val="20"/>
          <w:szCs w:val="20"/>
          <w:color w:val="auto"/>
        </w:rPr>
      </w:pPr>
    </w:p>
    <w:p>
      <w:pPr>
        <w:ind w:left="324" w:hanging="324"/>
        <w:spacing w:after="0"/>
        <w:tabs>
          <w:tab w:leader="none" w:pos="32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This Confirmation and any claim, controversy or dispute arising under or related to this Confirmation shall be governed by the laws of the State of New York without reference to the conflict of laws provisions thereof.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83" w:lineRule="exact"/>
        <w:rPr>
          <w:sz w:val="20"/>
          <w:szCs w:val="20"/>
          <w:color w:val="auto"/>
        </w:rPr>
      </w:pPr>
    </w:p>
    <w:p>
      <w:pPr>
        <w:ind w:left="324" w:hanging="324"/>
        <w:spacing w:after="0"/>
        <w:tabs>
          <w:tab w:leader="none" w:pos="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Effective from the date of commencement of discussions concerning the Transaction, each of Party A and Party B and each of their employees, representatives, or other agents may disclose to any and all persons, without limitation of any kind, the tax treatment and tax structure of the Transaction and all materials of any kind (including opinions or other tax analyses) relating to such tax treatment and tax structure.</w:t>
      </w:r>
    </w:p>
    <w:p>
      <w:pPr>
        <w:spacing w:after="0" w:line="180" w:lineRule="exact"/>
        <w:rPr>
          <w:sz w:val="20"/>
          <w:szCs w:val="20"/>
          <w:color w:val="auto"/>
        </w:rPr>
      </w:pPr>
    </w:p>
    <w:p>
      <w:pPr>
        <w:ind w:left="324" w:hanging="324"/>
        <w:spacing w:after="0"/>
        <w:tabs>
          <w:tab w:leader="none" w:pos="3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Party B represents and warrants that it has received, read and understands Party A’s “Risk Disclosure Statement Regarding OTC Derivatives Products” and acknowledges the terms thereof as if it had signed the Risk Disclosure Statement Verification contained therein as of the date hereof.</w:t>
      </w:r>
    </w:p>
    <w:p>
      <w:pPr>
        <w:spacing w:after="0" w:line="176" w:lineRule="exact"/>
        <w:rPr>
          <w:sz w:val="20"/>
          <w:szCs w:val="20"/>
          <w:color w:val="auto"/>
        </w:rPr>
      </w:pPr>
    </w:p>
    <w:p>
      <w:pPr>
        <w:ind w:left="324" w:hanging="324"/>
        <w:spacing w:after="0"/>
        <w:tabs>
          <w:tab w:leader="none" w:pos="3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Each of Party A and Party B agrees and represents that it is an “eligible contract participant” as defined in Section 1a(18) of the U.S. Commodity Exchange Act, as amended (the “CEA”), the Agreement and the Transaction are subject to individual negotiation by the parties and have not been executed or traded on a “trading facility” as defined in Section 1a(51) of the CEA.</w:t>
      </w:r>
    </w:p>
    <w:p>
      <w:pPr>
        <w:spacing w:after="0" w:line="176" w:lineRule="exact"/>
        <w:rPr>
          <w:sz w:val="20"/>
          <w:szCs w:val="20"/>
          <w:color w:val="auto"/>
        </w:rPr>
      </w:pPr>
    </w:p>
    <w:p>
      <w:pPr>
        <w:ind w:left="324" w:hanging="324"/>
        <w:spacing w:after="0"/>
        <w:tabs>
          <w:tab w:leader="none" w:pos="32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1"/>
          <w:numId w:val="2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3(e) of the Agreement, Party A and Party B each make the following representation:</w:t>
      </w:r>
    </w:p>
    <w:p>
      <w:pPr>
        <w:spacing w:after="0" w:line="225" w:lineRule="exact"/>
        <w:rPr>
          <w:rFonts w:ascii="Times New Roman" w:cs="Times New Roman" w:eastAsia="Times New Roman" w:hAnsi="Times New Roman"/>
          <w:sz w:val="18"/>
          <w:szCs w:val="18"/>
          <w:u w:val="single" w:color="auto"/>
          <w:color w:val="auto"/>
        </w:rPr>
      </w:pPr>
    </w:p>
    <w:p>
      <w:pPr>
        <w:jc w:val="both"/>
        <w:ind w:left="964"/>
        <w:spacing w:after="0" w:line="254"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to be made by it to the other party under the Agreement. In making this representation, it may rely on: (i) the accuracy of any representations made by the other party pursuant to Section 3(f) of the Agreement; (ii) the satisfaction of the agreement contained in Section 4(a)(i) or 4(a)(iii) of the Agreement and the accuracy and effectiveness of any document provided by the other party pursuant to Section 4(a)(i) or 4(a)(iii) of the Agreement; and (iii) the satisfaction of the agreement of the other party contained in Section 4(d) of the Agreement,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2" w:name="page143"/>
    <w:bookmarkEnd w:id="142"/>
    <w:p>
      <w:pPr>
        <w:ind w:left="500" w:right="6040" w:hanging="316"/>
        <w:spacing w:after="0" w:line="500" w:lineRule="auto"/>
        <w:tabs>
          <w:tab w:leader="none" w:pos="500" w:val="left"/>
        </w:tabs>
        <w:numPr>
          <w:ilvl w:val="0"/>
          <w:numId w:val="2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the purpose of Section 3(f) of the Agreement: Party A makes the following representations:</w:t>
      </w:r>
    </w:p>
    <w:p>
      <w:pPr>
        <w:spacing w:after="0" w:line="1" w:lineRule="exact"/>
        <w:rPr>
          <w:rFonts w:ascii="Times New Roman" w:cs="Times New Roman" w:eastAsia="Times New Roman" w:hAnsi="Times New Roman"/>
          <w:sz w:val="18"/>
          <w:szCs w:val="18"/>
          <w:u w:val="single" w:color="auto"/>
          <w:color w:val="auto"/>
        </w:rPr>
      </w:pPr>
    </w:p>
    <w:p>
      <w:pPr>
        <w:ind w:left="840" w:hanging="332"/>
        <w:spacing w:after="0" w:line="282" w:lineRule="auto"/>
        <w:tabs>
          <w:tab w:leader="none" w:pos="8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national banking association organized and existing under the laws of the United States of America, and is an exempt recipient under section 1.6049-4(c)(1)(ii)(M) of the United States Treasury Regulations.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Party B makes the following representations:</w:t>
      </w:r>
    </w:p>
    <w:p>
      <w:pPr>
        <w:spacing w:after="0" w:line="225" w:lineRule="exact"/>
        <w:rPr>
          <w:sz w:val="20"/>
          <w:szCs w:val="20"/>
          <w:color w:val="auto"/>
        </w:rPr>
      </w:pPr>
    </w:p>
    <w:p>
      <w:pPr>
        <w:ind w:left="840" w:hanging="332"/>
        <w:spacing w:after="0" w:line="282" w:lineRule="auto"/>
        <w:tabs>
          <w:tab w:leader="none" w:pos="8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the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real estate investment trust for U.S. federal income tax purposes and is organized under the laws of the State of Maryland, and is an exempt recipient under section 1.6049-4(c)(1)(ii)(J) of the United States Treasury Regulations.</w:t>
      </w:r>
    </w:p>
    <w:p>
      <w:pPr>
        <w:spacing w:after="0" w:line="161" w:lineRule="exact"/>
        <w:rPr>
          <w:rFonts w:ascii="Times New Roman" w:cs="Times New Roman" w:eastAsia="Times New Roman" w:hAnsi="Times New Roman"/>
          <w:sz w:val="18"/>
          <w:szCs w:val="18"/>
          <w:color w:val="auto"/>
        </w:rPr>
      </w:pPr>
    </w:p>
    <w:p>
      <w:pPr>
        <w:jc w:val="both"/>
        <w:ind w:left="500" w:hanging="316"/>
        <w:spacing w:after="0" w:line="254" w:lineRule="auto"/>
        <w:tabs>
          <w:tab w:leader="none" w:pos="500" w:val="left"/>
        </w:tabs>
        <w:numPr>
          <w:ilvl w:val="0"/>
          <w:numId w:val="2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w:t>
      </w:r>
      <w:r>
        <w:rPr>
          <w:rFonts w:ascii="Times New Roman" w:cs="Times New Roman" w:eastAsia="Times New Roman" w:hAnsi="Times New Roman"/>
          <w:sz w:val="18"/>
          <w:szCs w:val="18"/>
          <w:color w:val="auto"/>
        </w:rPr>
        <w:t>t. “Tax” and “Indemnifiable Tax”, each as defined in Section 14 of the Agreement, shall not include any U.S. federal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91" w:lineRule="exact"/>
        <w:rPr>
          <w:rFonts w:ascii="Times New Roman" w:cs="Times New Roman" w:eastAsia="Times New Roman" w:hAnsi="Times New Roman"/>
          <w:sz w:val="18"/>
          <w:szCs w:val="18"/>
          <w:u w:val="single" w:color="auto"/>
          <w:color w:val="auto"/>
        </w:rPr>
      </w:pPr>
    </w:p>
    <w:p>
      <w:pPr>
        <w:jc w:val="both"/>
        <w:ind w:left="500" w:hanging="316"/>
        <w:spacing w:after="0" w:line="254" w:lineRule="auto"/>
        <w:tabs>
          <w:tab w:leader="none" w:pos="500" w:val="left"/>
        </w:tabs>
        <w:numPr>
          <w:ilvl w:val="0"/>
          <w:numId w:val="2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HIRE Ac</w:t>
      </w:r>
      <w:r>
        <w:rPr>
          <w:rFonts w:ascii="Times New Roman" w:cs="Times New Roman" w:eastAsia="Times New Roman" w:hAnsi="Times New Roman"/>
          <w:sz w:val="18"/>
          <w:szCs w:val="18"/>
          <w:color w:val="auto"/>
        </w:rPr>
        <w:t>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“871(m) Protocol”),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spacing w:after="0" w:line="191" w:lineRule="exact"/>
        <w:rPr>
          <w:rFonts w:ascii="Times New Roman" w:cs="Times New Roman" w:eastAsia="Times New Roman" w:hAnsi="Times New Roman"/>
          <w:sz w:val="18"/>
          <w:szCs w:val="18"/>
          <w:u w:val="single" w:color="auto"/>
          <w:color w:val="auto"/>
        </w:rPr>
      </w:pPr>
    </w:p>
    <w:p>
      <w:pPr>
        <w:jc w:val="both"/>
        <w:ind w:left="500" w:hanging="316"/>
        <w:spacing w:after="0" w:line="256" w:lineRule="auto"/>
        <w:tabs>
          <w:tab w:leader="none" w:pos="500" w:val="left"/>
        </w:tabs>
        <w:numPr>
          <w:ilvl w:val="0"/>
          <w:numId w:val="2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and 4(a)(ii) of the Agreement, Party A shall provide to Party B a valid and duly executed U.S. Internal Revenue Service Form W-9 and Party B shall provide to Party A a valid and duly executed U.S. Internal Revenue Service Form W-9, or any successor thereto, (i) on or before the date of execution of this Confirmation; (ii) promptly upon reasonable demand by the other party; and (iii) promptly upon learning that any such tax form previously provided by Party A or Party B, respectively, has become invalid, obsolete, or incorrect. Additionally, each of Party A and Party B shall, promptly upon request by the other party, provide such other tax forms and documents requested by the other party.</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3" w:name="page144"/>
    <w:bookmarkEnd w:id="143"/>
    <w:p>
      <w:pPr>
        <w:ind w:left="324" w:hanging="324"/>
        <w:spacing w:after="0"/>
        <w:tabs>
          <w:tab w:leader="none" w:pos="32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QFC Stay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The parties agree that (i) to the extent that prior to the date hereof all parties have adhered to the 2018 ISDA U.S. Resolution Stay Protocol (the “Protocol”), the terms of the Protocol are incorporated into and form a part of the Agreement, and for such purposes the Agreement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“Bilateral Agreement”), the terms of the Bilateral Agreement are incorporated into and form a part of the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“Bilateral Terms”)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Party A shall be deemed a “Covered Entity” and Party B shall be deemed a “Counterparty Entity.” In the event that, after the date of the Agreement, all parties hereto become adhering parties to the Protocol, the terms of the Protocol will replace the terms of this paragraph. In the event of any inconsistencies between the Agreement and the terms of the Protocol, the Bilateral Agreement or the Bilateral Terms (each, the “QFC Stay Terms”),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w:t>
      </w:r>
    </w:p>
    <w:p>
      <w:pPr>
        <w:spacing w:after="0" w:line="191"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spacing w:after="0" w:line="183" w:lineRule="exact"/>
        <w:rPr>
          <w:sz w:val="20"/>
          <w:szCs w:val="20"/>
          <w:color w:val="auto"/>
        </w:rPr>
      </w:pPr>
    </w:p>
    <w:p>
      <w:pPr>
        <w:ind w:left="324" w:hanging="324"/>
        <w:spacing w:after="0"/>
        <w:tabs>
          <w:tab w:leader="none" w:pos="32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Forwards / Dealers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spacing w:after="0" w:line="253" w:lineRule="auto"/>
        <w:rPr>
          <w:sz w:val="20"/>
          <w:szCs w:val="20"/>
          <w:color w:val="auto"/>
        </w:rPr>
      </w:pPr>
      <w:r>
        <w:rPr>
          <w:rFonts w:ascii="Times New Roman" w:cs="Times New Roman" w:eastAsia="Times New Roman" w:hAnsi="Times New Roman"/>
          <w:sz w:val="18"/>
          <w:szCs w:val="18"/>
          <w:color w:val="auto"/>
        </w:rPr>
        <w:t>Party A acknowledges that Party B has entered or may enter in the future into one or more similar forward transactions for the Shares (each, an “Other Forward” and collectively, the “Other Forwards”) with one or more dealers, and/or affiliates thereof (each, an “Other Dealer” and collectively, the “Other Dealers”). Party A and Party B agree that if Party B designates a “Settlement Date” with respect to one or more Other Forwards for which “Cash Settlement” or “Net Share Settlement” is applicable, and the resulting “Unwind Period” for such Other Forwards coincides for any period of time with an Unwind Period for this Transaction (the “Overlap Unwind Period”), Party B shall notify Party A at least one Scheduled Trading Day prior to the commencement of such Overlap Unwind Period of the first Scheduled Trading Day and length of such Overlap Unwind Period, and Party A shall be permitted to purchase Shares to unwind its hedge in respect of this Transaction only on alternating Scheduled Trading Days during such Overlap Unwind Period, commencing on the first, second, third or later Scheduled Trading Day of such Overlap Unwind Period, as notified to Party A by Party B at least one Scheduled Trading Day prior to such Overlap Unwind Period (which alternating Scheduled Trading Days, for the avoidance of doubt, may be every other Scheduled Trading Day if there is only one Other Dealer, every third Scheduled Trading Day if there are two Other Dealers, etc.).</w:t>
      </w:r>
    </w:p>
    <w:p>
      <w:pPr>
        <w:spacing w:after="0" w:line="190"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signing and returning this Confirmation.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Christine Roemer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Christine Roemer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[Signature Page to Forward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Confirmed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ACADIA REALTY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Gottfried</w:t>
            </w:r>
          </w:p>
        </w:tc>
      </w:tr>
      <w:tr>
        <w:trPr>
          <w:trHeight w:val="205"/>
        </w:trPr>
        <w:tc>
          <w:tcPr>
            <w:tcW w:w="580" w:type="dxa"/>
            <w:vAlign w:val="bottom"/>
          </w:tcPr>
          <w:p>
            <w:pPr>
              <w:spacing w:after="0"/>
              <w:rPr>
                <w:sz w:val="17"/>
                <w:szCs w:val="17"/>
                <w:color w:val="auto"/>
              </w:rPr>
            </w:pPr>
          </w:p>
        </w:tc>
        <w:tc>
          <w:tcPr>
            <w:tcW w:w="5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John Gottfried</w:t>
            </w:r>
          </w:p>
        </w:tc>
        <w:tc>
          <w:tcPr>
            <w:tcW w:w="562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tc>
      </w:tr>
      <w:tr>
        <w:trPr>
          <w:trHeight w:val="446"/>
        </w:trPr>
        <w:tc>
          <w:tcPr>
            <w:tcW w:w="580" w:type="dxa"/>
            <w:vAlign w:val="bottom"/>
          </w:tcPr>
          <w:p>
            <w:pPr>
              <w:spacing w:after="0"/>
              <w:rPr>
                <w:sz w:val="24"/>
                <w:szCs w:val="24"/>
                <w:color w:val="auto"/>
              </w:rPr>
            </w:pPr>
          </w:p>
        </w:tc>
        <w:tc>
          <w:tcPr>
            <w:tcW w:w="10660" w:type="dxa"/>
            <w:vAlign w:val="bottom"/>
            <w:gridSpan w:val="2"/>
          </w:tcPr>
          <w:p>
            <w:pPr>
              <w:ind w:left="3520"/>
              <w:spacing w:after="0"/>
              <w:rPr>
                <w:sz w:val="20"/>
                <w:szCs w:val="20"/>
                <w:color w:val="auto"/>
              </w:rPr>
            </w:pPr>
            <w:r>
              <w:rPr>
                <w:rFonts w:ascii="Times New Roman" w:cs="Times New Roman" w:eastAsia="Times New Roman" w:hAnsi="Times New Roman"/>
                <w:sz w:val="18"/>
                <w:szCs w:val="18"/>
                <w:color w:val="auto"/>
              </w:rPr>
              <w:t>[Signature Page to Forward Confirmation]</w:t>
            </w: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0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FORWARD PRICE REDUCTION DATES AND AMOUNTS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5"/>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Forward Price Reduction Date</w:t>
            </w: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Forward Price Reduction Amount</w:t>
            </w:r>
          </w:p>
        </w:tc>
        <w:tc>
          <w:tcPr>
            <w:tcW w:w="2800" w:type="dxa"/>
            <w:vAlign w:val="bottom"/>
          </w:tcPr>
          <w:p>
            <w:pPr>
              <w:spacing w:after="0"/>
              <w:rPr>
                <w:sz w:val="24"/>
                <w:szCs w:val="24"/>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Date</w:t>
            </w:r>
          </w:p>
        </w:tc>
        <w:tc>
          <w:tcPr>
            <w:tcW w:w="2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6/30/2026</w:t>
            </w:r>
          </w:p>
        </w:tc>
        <w:tc>
          <w:tcPr>
            <w:tcW w:w="252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USD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8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9/30/2026</w:t>
            </w:r>
          </w:p>
        </w:tc>
        <w:tc>
          <w:tcPr>
            <w:tcW w:w="25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USD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8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12/31/2026</w:t>
            </w:r>
          </w:p>
        </w:tc>
        <w:tc>
          <w:tcPr>
            <w:tcW w:w="2520" w:type="dxa"/>
            <w:vAlign w:val="bottom"/>
          </w:tcPr>
          <w:p>
            <w:pPr>
              <w:spacing w:after="0"/>
              <w:rPr>
                <w:sz w:val="18"/>
                <w:szCs w:val="18"/>
                <w:color w:val="auto"/>
              </w:rPr>
            </w:pPr>
          </w:p>
        </w:tc>
        <w:tc>
          <w:tcPr>
            <w:tcW w:w="2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USD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80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3/31/2027</w:t>
            </w:r>
          </w:p>
        </w:tc>
        <w:tc>
          <w:tcPr>
            <w:tcW w:w="25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USD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c>
          <w:tcPr>
            <w:tcW w:w="2800" w:type="dxa"/>
            <w:vAlign w:val="bottom"/>
          </w:tcPr>
          <w:p>
            <w:pPr>
              <w:spacing w:after="0"/>
              <w:rPr>
                <w:sz w:val="18"/>
                <w:szCs w:val="18"/>
                <w:color w:val="auto"/>
              </w:rPr>
            </w:pPr>
          </w:p>
        </w:tc>
      </w:tr>
      <w:tr>
        <w:trPr>
          <w:trHeight w:val="675"/>
        </w:trPr>
        <w:tc>
          <w:tcPr>
            <w:tcW w:w="28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5" w:lineRule="exact"/>
        <w:rPr>
          <w:sz w:val="20"/>
          <w:szCs w:val="20"/>
          <w:color w:val="auto"/>
        </w:rPr>
      </w:pPr>
    </w:p>
    <w:p>
      <w:pPr>
        <w:jc w:val="both"/>
        <w:ind w:left="640" w:hanging="632"/>
        <w:spacing w:after="0" w:line="251" w:lineRule="auto"/>
        <w:tabs>
          <w:tab w:leader="none" w:pos="6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Party B delivers the Restricted Shares pursuant to this clause (i) (a “Private Placement Settlement”), then delivery of Restricted Shares by Party B shall be effected in customary private placement procedures with respect to such Restricted Shares reasonably acceptable to Party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or before the date that a Private Placement Settlement would occur, Party B has taken, or caused to be taken, any action that would make unavailable either the exemption pursuant to Section 4(a)(2) of the Securities Act for the sale by Party B to Party A (or any affiliate designated by Party A) of the Restricted Shares or the exemption pursuant to Section 4(a)(1) or Section 4(a)(3) of the Securities Act for resales of the Restricted Shares by Party A (or any such affiliate of Party A) or Party B fails to deliver the Restricted Shares when due or otherwise fails to perform obligations within its control in respect of a Private Placement Settlement, it shall be an Event of Default with respect to Party B and Section 6 of the Agreement shall apply. The Private Placement Settlement of such Restricted Shares shall include customary representations, covenants, blue sky and other governmental filings and/or registrations, indemnities to Party A, due diligence rights (for Party A or any designated buyer of the Restricted Shares by Party A), opinions and certificates, and such other documentation as is customary for private placement agreements, all reasonably acceptable to Party A. In the case of a Private Placement Settlement, Party A shall, in its good faith discretion, adjust the number of Restricted Shares to be delivered to Party A hereunder and/or the Forward Price in a commercially reasonable manner to reflect the fact that such Restricted Shares may not be freely returned to securities lenders by Party A and may only be saleable by Party A at a discount to reflect the lack of liquidity in Restricted Shares. Notwithstanding the Agreement or this Confirmation, the date of delivery of such Restricted Shares shall be the Clearance System Business Day following notice by Party A to Party B of the number of Restricted Shares to be delivered pursuant to this clause</w:t>
      </w:r>
    </w:p>
    <w:p>
      <w:pPr>
        <w:spacing w:after="0" w:line="11" w:lineRule="exact"/>
        <w:rPr>
          <w:rFonts w:ascii="Times New Roman" w:cs="Times New Roman" w:eastAsia="Times New Roman" w:hAnsi="Times New Roman"/>
          <w:sz w:val="18"/>
          <w:szCs w:val="18"/>
          <w:color w:val="auto"/>
        </w:rPr>
      </w:pPr>
    </w:p>
    <w:p>
      <w:pPr>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the avoidance of doubt, delivery of Restricted Shares shall be due as set forth in the previous sentence and not be due on the Settlement Date or Termination Settlement Date that would otherwise be applicable.</w:t>
      </w:r>
    </w:p>
    <w:p>
      <w:pPr>
        <w:spacing w:after="0" w:line="181"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delivers any Restricted Shares in respect of the Transaction, Party B agrees that (i) such Shares may be transferred by and among Party A and its affiliates and (ii) after the minimum holding period under Rule 144(d) under the Securities Act has elapsed after the applicable Settlement Date, Party B shall promptly remove, or cause the transfer agent for the Shares to remove, any legends referring to any transfer restrictions from such Shares upon delivery by Party A (or such affiliate of Party A) to Party B or such transfer agent of seller’s and broker’s representation letters customarily delivered by Party A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Party A (or such affiliate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20240" cy="488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202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7520" w:hanging="864"/>
        <w:spacing w:after="0" w:line="312" w:lineRule="auto"/>
        <w:rPr>
          <w:sz w:val="20"/>
          <w:szCs w:val="20"/>
          <w:color w:val="auto"/>
        </w:rPr>
      </w:pPr>
      <w:r>
        <w:rPr>
          <w:rFonts w:ascii="Times New Roman" w:cs="Times New Roman" w:eastAsia="Times New Roman" w:hAnsi="Times New Roman"/>
          <w:sz w:val="17"/>
          <w:szCs w:val="17"/>
          <w:color w:val="auto"/>
        </w:rPr>
        <w:t>750 E. PRATT STREET SUITE 900 BALTIMORE, MD 21202 T 410.244.7400 F 410.244.7742 www.Venable.com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411 Theodore Fremd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New York 10580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        </w:t>
      </w:r>
      <w:r>
        <w:rPr>
          <w:rFonts w:ascii="Times New Roman" w:cs="Times New Roman" w:eastAsia="Times New Roman" w:hAnsi="Times New Roman"/>
          <w:sz w:val="18"/>
          <w:szCs w:val="18"/>
          <w:u w:val="single" w:color="auto"/>
          <w:color w:val="auto"/>
        </w:rPr>
        <w:t>  Registration Statement on Form S-3 (File No. 333-275356)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We have served as Maryland counsel to Acadia Realty Trust, a Maryland real estate investment trust (the “Trust”), in connection with certain matters of Maryland law relating to the offering and sale of up to 10,350,000 common shares (the “Shares”) of beneficial interest, par value $0.001 per share (the “Common Shares”), of the Trust (including up to 1,350,000 Shares which the Underwriters (as defined below) have the option to purchase), pursuant to the Underwriting Agreement, dated June 9, 2026 (the “Underwriting Agreement”), by and among the Trust, Acadia Realty Limited Partnership, a Delaware limited partnership for which the Trust is the sole general partner, the Forward Sellers (as defined in the Underwriting Agreement), the Forward Purchasers (as defined in the Underwriting Agreement) and BofA Securities, Inc., Jefferies LLC, Truist Securities, Inc. and Wells Fargo Securities, LLC (collectively, the “Underwriters”). Pursuant to the Underwriting Agreement, the Trust will issue and sell any Shares (such Shares, if and to the extent so issued and sold by the Trust, the “Trust Shares”) that the Forward Sellers do not sell and deliver to the Underwriters. The Trust will also issue, sell and/or deliver up to 12,937,500 Common Shares (the “Confirmation Shares”), upon settlement of one or more Forward Sale Agreements (as defined below).</w:t>
      </w:r>
    </w:p>
    <w:p>
      <w:pPr>
        <w:spacing w:after="0" w:line="188"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Trust, and as a basis for the opinion hereinafter set forth, we have examined originals, or copies certified or otherwise identified to our satisfaction, of the following documents (hereinafter collectively referred to as the “Documents”):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             The above-referenced Registration Statement and the related form of prospectus included therein in the form in which it was transmitted to the United States Securities and Exchange Commission (the “Commission”) under the Securities Act of 1933, as amended (the “1933 Act”);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             The Trust’s Prospectus, dated November 6, 2023 (the “Base Prospectus”), as supplemented by a Prospectus Supplement, dated June 9, 2026 (the “Prospectus Supplement” and, together with the Base Prospectus, the “Prospectus”), with respect to the offering and sale of the Shares (the “Offering”), each in the form in which it was transmitted to the Commission, including, in the case of the Prospectus Supplement, pursuant to Rule 424(b) of the General Rules and Regulations promulgated under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1245870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920240" cy="4883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8831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3.             The Declaration of Trust of the Trust, as amended and supplemented (the “Declaration of Trust”), certified by the State Department of Assessments and Taxation of Maryland (the “SDAT”);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Amended and Restated Bylaws of the Trust, certified as of the date hereof by an officer of the Trust;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A certificate of the SDAT as to the good standing of the Trust, dated as of a recent date;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Resolutions adopted by the Board of Trustees of the Trust, or a duly authorized committee thereof (collectively, the “Resolutions”), relating to, among other matters, the registration, offering and sale of the Shares and the issuance, sale and/or delivery of any Trust Shares and the Confirmation Shares, certified as of the date hereof by an officer of the Trust;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The Underwriting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8.             Four letter agreements, each dated June 9, 2026 (the “Existing Forward Sale Agreements”), between the Trust and one of the Forward Purchasers in relation to the offering and sale of the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 certificate executed by an officer of the Trust, dated as of the date hereof;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10.           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             Each individual executing any of the Documents, whether on behalf of such individual or another person, is legally competent to do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Each individual executing any of the Documents on behalf of a party (other than the Trust) is duly authorized to do so.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Each of the parties (other than the Trust)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1245870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920240" cy="488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8831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             The Shares and the Confirmation Shares will not be issued or transferred in violation of the restrictions on transfer and ownership contained in Article VI of the Declaration of Trust.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6.             Upon the issuance of any Confirmation Shares, the total number of Common Shares issued and outstanding will not exceed the total number of Common Shares that the Trust is then authorized to issue under the Declaration of Trust.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             Each letter agreement entered into between the Trust and any Forward Purchaser in connection with the exercise by the Underwriters of an option to purchase additional Common Shares (each, a “Future Forward Sale Agreement” and, together with the Existing Forward Sale Agreements, the “Forward Sale Agreements”) will not differ in any manner material to this opinion from the Existing Forward Sale Agreements.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             The Trust is a real estate investment trust duly formed and existing under and by virtue of the laws of the State of Maryland and is in good standing with the SDAT.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             The issuance of the Trust Shares has been duly authorized and, when and if issued and delivered by the Trust against payment therefor in accordance with the Underwriting Agreement, the Resolutions, the Registration Statement and the Prospectus, the Trust Shares will be validly issued, fully paid and nonassessable.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The issuance of the Confirmation Shares has been duly authorized and, when and if issued and delivered by the Trust against payment therefor in accordance with the applicable Forward Sale Agreement, the Resolutions, the Registration Statement and the Prospectus, the Confirmation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1245870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1920240" cy="4883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920240" cy="48831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Realty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federal law or any other state law. We express no opinion as to the applicability or effect of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Trust’s Current Report on Form 8-K relating to the Shares (the “Current Report”). We hereby consent to the filing of this opinion as an exhibit to the Current Report and to the use of the name of our firm therein. In giving this consent, we do not admit that we are within the category of persons whose consent is required by Section 7 of the 1933 Act.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1)"/>
      <w:numFmt w:val="lowerLetter"/>
      <w:start w:val="1"/>
    </w:lvl>
  </w:abstractNum>
  <w:abstractNum w:abstractNumId="2">
    <w:nsid w:val="97E1B4E"/>
    <w:multiLevelType w:val="hybridMultilevel"/>
    <w:lvl w:ilvl="0">
      <w:lvlJc w:val="left"/>
      <w:lvlText w:val="(%1)"/>
      <w:numFmt w:val="lowerLetter"/>
      <w:start w:val="2"/>
    </w:lvl>
  </w:abstractNum>
  <w:abstractNum w:abstractNumId="3">
    <w:nsid w:val="51088277"/>
    <w:multiLevelType w:val="hybridMultilevel"/>
    <w:lvl w:ilvl="0">
      <w:lvlJc w:val="left"/>
      <w:lvlText w:val="(%1)"/>
      <w:numFmt w:val="lowerLetter"/>
      <w:start w:val="1"/>
    </w:lvl>
  </w:abstractNum>
  <w:abstractNum w:abstractNumId="4">
    <w:nsid w:val="1CA0C5FA"/>
    <w:multiLevelType w:val="hybridMultilevel"/>
    <w:lvl w:ilvl="0">
      <w:lvlJc w:val="left"/>
      <w:lvlText w:val="(%1)"/>
      <w:numFmt w:val="lowerLetter"/>
      <w:start w:val="4"/>
    </w:lvl>
  </w:abstractNum>
  <w:abstractNum w:abstractNumId="5">
    <w:nsid w:val="53584BCB"/>
    <w:multiLevelType w:val="hybridMultilevel"/>
    <w:lvl w:ilvl="0">
      <w:lvlJc w:val="left"/>
      <w:lvlText w:val="(%1)"/>
      <w:numFmt w:val="lowerLetter"/>
      <w:start w:val="1"/>
    </w:lvl>
  </w:abstractNum>
  <w:abstractNum w:abstractNumId="6">
    <w:nsid w:val="415E286C"/>
    <w:multiLevelType w:val="hybridMultilevel"/>
    <w:lvl w:ilvl="0">
      <w:lvlJc w:val="left"/>
      <w:lvlText w:val="(%1)"/>
      <w:numFmt w:val="lowerLetter"/>
      <w:start w:val="2"/>
    </w:lvl>
  </w:abstractNum>
  <w:abstractNum w:abstractNumId="7">
    <w:nsid w:val="7C58FD05"/>
    <w:multiLevelType w:val="hybridMultilevel"/>
    <w:lvl w:ilvl="0">
      <w:lvlJc w:val="left"/>
      <w:lvlText w:val="(%1)"/>
      <w:numFmt w:val="lowerLetter"/>
      <w:start w:val="4"/>
    </w:lvl>
  </w:abstractNum>
  <w:abstractNum w:abstractNumId="8">
    <w:nsid w:val="23D86AAC"/>
    <w:multiLevelType w:val="hybridMultilevel"/>
    <w:lvl w:ilvl="0">
      <w:lvlJc w:val="left"/>
      <w:lvlText w:val="(%1)"/>
      <w:numFmt w:val="lowerLetter"/>
      <w:start w:val="6"/>
    </w:lvl>
  </w:abstractNum>
  <w:abstractNum w:abstractNumId="9">
    <w:nsid w:val="45E6D486"/>
    <w:multiLevelType w:val="hybridMultilevel"/>
    <w:lvl w:ilvl="0">
      <w:lvlJc w:val="left"/>
      <w:lvlText w:val="(%1)"/>
      <w:numFmt w:val="lowerLetter"/>
      <w:start w:val="8"/>
    </w:lvl>
  </w:abstractNum>
  <w:abstractNum w:abstractNumId="10">
    <w:nsid w:val="5C10FE21"/>
    <w:multiLevelType w:val="hybridMultilevel"/>
    <w:lvl w:ilvl="0">
      <w:lvlJc w:val="left"/>
      <w:lvlText w:val="(%1)"/>
      <w:numFmt w:val="lowerLetter"/>
      <w:start w:val="10"/>
    </w:lvl>
  </w:abstractNum>
  <w:abstractNum w:abstractNumId="11">
    <w:nsid w:val="E7FFA2B"/>
    <w:multiLevelType w:val="hybridMultilevel"/>
    <w:lvl w:ilvl="0">
      <w:lvlJc w:val="left"/>
      <w:lvlText w:val="(%1)"/>
      <w:numFmt w:val="lowerLetter"/>
      <w:start w:val="13"/>
    </w:lvl>
  </w:abstractNum>
  <w:abstractNum w:abstractNumId="12">
    <w:nsid w:val="3C5991AA"/>
    <w:multiLevelType w:val="hybridMultilevel"/>
    <w:lvl w:ilvl="0">
      <w:lvlJc w:val="left"/>
      <w:lvlText w:val="(%1)"/>
      <w:numFmt w:val="lowerLetter"/>
      <w:start w:val="16"/>
    </w:lvl>
  </w:abstractNum>
  <w:abstractNum w:abstractNumId="13">
    <w:nsid w:val="4BD8591A"/>
    <w:multiLevelType w:val="hybridMultilevel"/>
    <w:lvl w:ilvl="0">
      <w:lvlJc w:val="left"/>
      <w:lvlText w:val="(%1)"/>
      <w:numFmt w:val="lowerLetter"/>
      <w:start w:val="20"/>
    </w:lvl>
  </w:abstractNum>
  <w:abstractNum w:abstractNumId="14">
    <w:nsid w:val="78DF6A55"/>
    <w:multiLevelType w:val="hybridMultilevel"/>
    <w:lvl w:ilvl="0">
      <w:lvlJc w:val="left"/>
      <w:lvlText w:val="(%1)"/>
      <w:numFmt w:val="lowerLetter"/>
      <w:start w:val="24"/>
    </w:lvl>
  </w:abstractNum>
  <w:abstractNum w:abstractNumId="15">
    <w:nsid w:val="39B7AAA2"/>
    <w:multiLevelType w:val="hybridMultilevel"/>
    <w:lvl w:ilvl="0">
      <w:lvlJc w:val="left"/>
      <w:lvlText w:val="(%1)"/>
      <w:numFmt w:val="lowerLetter"/>
      <w:start w:val="27"/>
    </w:lvl>
  </w:abstractNum>
  <w:abstractNum w:abstractNumId="16">
    <w:nsid w:val="2B0D8DBE"/>
    <w:multiLevelType w:val="hybridMultilevel"/>
    <w:lvl w:ilvl="0">
      <w:lvlJc w:val="left"/>
      <w:lvlText w:val="(%1)"/>
      <w:numFmt w:val="lowerLetter"/>
      <w:start w:val="28"/>
    </w:lvl>
    <w:lvl w:ilvl="1">
      <w:lvlJc w:val="left"/>
      <w:lvlText w:val="(%2)"/>
      <w:numFmt w:val="lowerLetter"/>
      <w:start w:val="9"/>
    </w:lvl>
  </w:abstractNum>
  <w:abstractNum w:abstractNumId="17">
    <w:nsid w:val="6C80EC70"/>
    <w:multiLevelType w:val="hybridMultilevel"/>
    <w:lvl w:ilvl="0">
      <w:lvlJc w:val="left"/>
      <w:lvlText w:val="(%1)"/>
      <w:numFmt w:val="lowerLetter"/>
      <w:start w:val="30"/>
    </w:lvl>
  </w:abstractNum>
  <w:abstractNum w:abstractNumId="18">
    <w:nsid w:val="379E21B5"/>
    <w:multiLevelType w:val="hybridMultilevel"/>
    <w:lvl w:ilvl="0">
      <w:lvlJc w:val="left"/>
      <w:lvlText w:val="(%1)"/>
      <w:numFmt w:val="lowerLetter"/>
      <w:start w:val="32"/>
    </w:lvl>
  </w:abstractNum>
  <w:abstractNum w:abstractNumId="19">
    <w:nsid w:val="69E373"/>
    <w:multiLevelType w:val="hybridMultilevel"/>
    <w:lvl w:ilvl="0">
      <w:lvlJc w:val="left"/>
      <w:lvlText w:val="(%1)"/>
      <w:numFmt w:val="lowerLetter"/>
      <w:start w:val="37"/>
    </w:lvl>
  </w:abstractNum>
  <w:abstractNum w:abstractNumId="20">
    <w:nsid w:val="2C27173B"/>
    <w:multiLevelType w:val="hybridMultilevel"/>
    <w:lvl w:ilvl="0">
      <w:lvlJc w:val="left"/>
      <w:lvlText w:val="(%1)"/>
      <w:numFmt w:val="lowerLetter"/>
      <w:start w:val="40"/>
    </w:lvl>
  </w:abstractNum>
  <w:abstractNum w:abstractNumId="21">
    <w:nsid w:val="4C9B0904"/>
    <w:multiLevelType w:val="hybridMultilevel"/>
    <w:lvl w:ilvl="0">
      <w:lvlJc w:val="left"/>
      <w:lvlText w:val="(%1)"/>
      <w:numFmt w:val="lowerLetter"/>
      <w:start w:val="44"/>
    </w:lvl>
  </w:abstractNum>
  <w:abstractNum w:abstractNumId="22">
    <w:nsid w:val="6AA7B75C"/>
    <w:multiLevelType w:val="hybridMultilevel"/>
    <w:lvl w:ilvl="0">
      <w:lvlJc w:val="left"/>
      <w:lvlText w:val="(%1)"/>
      <w:numFmt w:val="lowerLetter"/>
      <w:start w:val="1"/>
    </w:lvl>
  </w:abstractNum>
  <w:abstractNum w:abstractNumId="23">
    <w:nsid w:val="1DF029D3"/>
    <w:multiLevelType w:val="hybridMultilevel"/>
    <w:lvl w:ilvl="0">
      <w:lvlJc w:val="left"/>
      <w:lvlText w:val="(%1)"/>
      <w:numFmt w:val="lowerLetter"/>
      <w:start w:val="3"/>
    </w:lvl>
  </w:abstractNum>
  <w:abstractNum w:abstractNumId="24">
    <w:nsid w:val="5675FF36"/>
    <w:multiLevelType w:val="hybridMultilevel"/>
    <w:lvl w:ilvl="0">
      <w:lvlJc w:val="left"/>
      <w:lvlText w:val="(%1)"/>
      <w:numFmt w:val="lowerLetter"/>
      <w:start w:val="5"/>
    </w:lvl>
  </w:abstractNum>
  <w:abstractNum w:abstractNumId="25">
    <w:nsid w:val="3DD15094"/>
    <w:multiLevelType w:val="hybridMultilevel"/>
    <w:lvl w:ilvl="0">
      <w:lvlJc w:val="left"/>
      <w:lvlText w:val="(%1)"/>
      <w:numFmt w:val="lowerLetter"/>
      <w:start w:val="8"/>
    </w:lvl>
  </w:abstractNum>
  <w:abstractNum w:abstractNumId="26">
    <w:nsid w:val="3DB012B3"/>
    <w:multiLevelType w:val="hybridMultilevel"/>
    <w:lvl w:ilvl="0">
      <w:lvlJc w:val="left"/>
      <w:lvlText w:val="(%1)"/>
      <w:numFmt w:val="lowerLetter"/>
      <w:start w:val="61"/>
    </w:lvl>
    <w:lvl w:ilvl="1">
      <w:lvlJc w:val="left"/>
      <w:lvlText w:val="(%2)"/>
      <w:numFmt w:val="lowerLetter"/>
      <w:start w:val="9"/>
    </w:lvl>
  </w:abstractNum>
  <w:abstractNum w:abstractNumId="27">
    <w:nsid w:val="2708C9AF"/>
    <w:multiLevelType w:val="hybridMultilevel"/>
    <w:lvl w:ilvl="0">
      <w:lvlJc w:val="left"/>
      <w:lvlText w:val="(%1)"/>
      <w:numFmt w:val="lowerLetter"/>
      <w:start w:val="11"/>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1"/>
    </w:lvl>
  </w:abstractNum>
  <w:abstractNum w:abstractNumId="30">
    <w:nsid w:val="4F97E3E4"/>
    <w:multiLevelType w:val="hybridMultilevel"/>
    <w:lvl w:ilvl="0">
      <w:lvlJc w:val="left"/>
      <w:lvlText w:val="(%1)"/>
      <w:numFmt w:val="lowerLetter"/>
      <w:start w:val="5"/>
    </w:lvl>
  </w:abstractNum>
  <w:abstractNum w:abstractNumId="31">
    <w:nsid w:val="53B0A9E"/>
    <w:multiLevelType w:val="hybridMultilevel"/>
    <w:lvl w:ilvl="0">
      <w:lvlJc w:val="left"/>
      <w:lvlText w:val="(%1)"/>
      <w:numFmt w:val="lowerLetter"/>
      <w:start w:val="11"/>
    </w:lvl>
  </w:abstractNum>
  <w:abstractNum w:abstractNumId="32">
    <w:nsid w:val="34FD6B4F"/>
    <w:multiLevelType w:val="hybridMultilevel"/>
    <w:lvl w:ilvl="0">
      <w:lvlJc w:val="left"/>
      <w:lvlText w:val="(%1)"/>
      <w:numFmt w:val="lowerLetter"/>
      <w:start w:val="1"/>
    </w:lvl>
  </w:abstractNum>
  <w:abstractNum w:abstractNumId="33">
    <w:nsid w:val="5915FF32"/>
    <w:multiLevelType w:val="hybridMultilevel"/>
    <w:lvl w:ilvl="0">
      <w:lvlJc w:val="left"/>
      <w:lvlText w:val="(%1)"/>
      <w:numFmt w:val="lowerLetter"/>
      <w:start w:val="3"/>
    </w:lvl>
  </w:abstractNum>
  <w:abstractNum w:abstractNumId="34">
    <w:nsid w:val="56438D15"/>
    <w:multiLevelType w:val="hybridMultilevel"/>
    <w:lvl w:ilvl="0">
      <w:lvlJc w:val="left"/>
      <w:lvlText w:val="(%1)"/>
      <w:numFmt w:val="lowerLetter"/>
      <w:start w:val="4"/>
    </w:lvl>
  </w:abstractNum>
  <w:abstractNum w:abstractNumId="35">
    <w:nsid w:val="519E3149"/>
    <w:multiLevelType w:val="hybridMultilevel"/>
    <w:lvl w:ilvl="0">
      <w:lvlJc w:val="left"/>
      <w:lvlText w:val="(%1)"/>
      <w:numFmt w:val="lowerLetter"/>
      <w:start w:val="6"/>
    </w:lvl>
  </w:abstractNum>
  <w:abstractNum w:abstractNumId="36">
    <w:nsid w:val="2C6E4AFD"/>
    <w:multiLevelType w:val="hybridMultilevel"/>
    <w:lvl w:ilvl="0">
      <w:lvlJc w:val="left"/>
      <w:lvlText w:val="(%1)"/>
      <w:numFmt w:val="lowerLetter"/>
      <w:start w:val="1"/>
    </w:lvl>
  </w:abstractNum>
  <w:abstractNum w:abstractNumId="37">
    <w:nsid w:val="17A1B582"/>
    <w:multiLevelType w:val="hybridMultilevel"/>
    <w:lvl w:ilvl="0">
      <w:lvlJc w:val="left"/>
      <w:lvlText w:val="(%1)"/>
      <w:numFmt w:val="lowerLetter"/>
      <w:start w:val="2"/>
    </w:lvl>
  </w:abstractNum>
  <w:abstractNum w:abstractNumId="38">
    <w:nsid w:val="4DF72E4E"/>
    <w:multiLevelType w:val="hybridMultilevel"/>
    <w:lvl w:ilvl="0">
      <w:lvlJc w:val="left"/>
      <w:lvlText w:val="(%1)"/>
      <w:numFmt w:val="lowerLetter"/>
      <w:start w:val="1"/>
    </w:lvl>
    <w:lvl w:ilvl="1">
      <w:lvlJc w:val="left"/>
      <w:lvlText w:val="(%2)"/>
      <w:numFmt w:val="lowerRoman"/>
      <w:start w:val="9"/>
    </w:lvl>
  </w:abstractNum>
  <w:abstractNum w:abstractNumId="39">
    <w:nsid w:val="5046B5A9"/>
    <w:multiLevelType w:val="hybridMultilevel"/>
    <w:lvl w:ilvl="0">
      <w:lvlJc w:val="left"/>
      <w:lvlText w:val="(%1)"/>
      <w:numFmt w:val="lowerLetter"/>
      <w:start w:val="2"/>
    </w:lvl>
    <w:lvl w:ilvl="1">
      <w:lvlJc w:val="left"/>
      <w:lvlText w:val="(%2)"/>
      <w:numFmt w:val="lowerLetter"/>
      <w:start w:val="61"/>
    </w:lvl>
  </w:abstractNum>
  <w:abstractNum w:abstractNumId="40">
    <w:nsid w:val="5D888A08"/>
    <w:multiLevelType w:val="hybridMultilevel"/>
    <w:lvl w:ilvl="0">
      <w:lvlJc w:val="left"/>
      <w:lvlText w:val="(%1)"/>
      <w:numFmt w:val="lowerLetter"/>
      <w:start w:val="1"/>
    </w:lvl>
  </w:abstractNum>
  <w:abstractNum w:abstractNumId="41">
    <w:nsid w:val="2A082C70"/>
    <w:multiLevelType w:val="hybridMultilevel"/>
    <w:lvl w:ilvl="0">
      <w:lvlJc w:val="left"/>
      <w:lvlText w:val="(%1)"/>
      <w:numFmt w:val="lowerLetter"/>
      <w:start w:val="3"/>
    </w:lvl>
  </w:abstractNum>
  <w:abstractNum w:abstractNumId="42">
    <w:nsid w:val="5EC6AFD4"/>
    <w:multiLevelType w:val="hybridMultilevel"/>
    <w:lvl w:ilvl="0">
      <w:lvlJc w:val="left"/>
      <w:lvlText w:val="(%1)"/>
      <w:numFmt w:val="lowerLetter"/>
      <w:start w:val="6"/>
    </w:lvl>
  </w:abstractNum>
  <w:abstractNum w:abstractNumId="43">
    <w:nsid w:val="19E21BB2"/>
    <w:multiLevelType w:val="hybridMultilevel"/>
    <w:lvl w:ilvl="0">
      <w:lvlJc w:val="left"/>
      <w:lvlText w:val="·"/>
      <w:numFmt w:val="bullet"/>
      <w:start w:val="1"/>
    </w:lvl>
  </w:abstractNum>
  <w:abstractNum w:abstractNumId="44">
    <w:nsid w:val="75E0858A"/>
    <w:multiLevelType w:val="hybridMultilevel"/>
    <w:lvl w:ilvl="0">
      <w:lvlJc w:val="left"/>
      <w:lvlText w:val="%1."/>
      <w:numFmt w:val="decimal"/>
      <w:start w:val="1"/>
    </w:lvl>
  </w:abstractNum>
  <w:abstractNum w:abstractNumId="45">
    <w:nsid w:val="57A61A29"/>
    <w:multiLevelType w:val="hybridMultilevel"/>
    <w:lvl w:ilvl="0">
      <w:lvlJc w:val="left"/>
      <w:lvlText w:val="%1."/>
      <w:numFmt w:val="decimal"/>
      <w:start w:val="2"/>
    </w:lvl>
  </w:abstractNum>
  <w:abstractNum w:abstractNumId="46">
    <w:nsid w:val="5399C65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7">
    <w:nsid w:val="20EE1348"/>
    <w:multiLevelType w:val="hybridMultilevel"/>
    <w:lvl w:ilvl="0">
      <w:lvlJc w:val="left"/>
      <w:lvlText w:val="(%1)"/>
      <w:numFmt w:val="lowerLetter"/>
      <w:start w:val="2"/>
    </w:lvl>
  </w:abstractNum>
  <w:abstractNum w:abstractNumId="48">
    <w:nsid w:val="4427069A"/>
    <w:multiLevelType w:val="hybridMultilevel"/>
    <w:lvl w:ilvl="0">
      <w:lvlJc w:val="left"/>
      <w:lvlText w:val="(%1)"/>
      <w:numFmt w:val="lowerLetter"/>
      <w:start w:val="3"/>
    </w:lvl>
    <w:lvl w:ilvl="1">
      <w:lvlJc w:val="left"/>
      <w:lvlText w:val="(%2)"/>
      <w:numFmt w:val="lowerRoman"/>
      <w:start w:val="1"/>
    </w:lvl>
  </w:abstractNum>
  <w:abstractNum w:abstractNumId="49">
    <w:nsid w:val="B37E80A"/>
    <w:multiLevelType w:val="hybridMultilevel"/>
    <w:lvl w:ilvl="0">
      <w:lvlJc w:val="left"/>
      <w:lvlText w:val="(%1)"/>
      <w:numFmt w:val="lowerRoman"/>
      <w:start w:val="8"/>
    </w:lvl>
  </w:abstractNum>
  <w:abstractNum w:abstractNumId="50">
    <w:nsid w:val="2157F6BC"/>
    <w:multiLevelType w:val="hybridMultilevel"/>
    <w:lvl w:ilvl="0">
      <w:lvlJc w:val="left"/>
      <w:lvlText w:val="(%1)"/>
      <w:numFmt w:val="lowerRoman"/>
      <w:start w:val="10"/>
    </w:lvl>
    <w:lvl w:ilvl="1">
      <w:lvlJc w:val="left"/>
      <w:lvlText w:val="(%2)"/>
      <w:numFmt w:val="upperLetter"/>
      <w:start w:val="1"/>
    </w:lvl>
  </w:abstractNum>
  <w:abstractNum w:abstractNumId="51">
    <w:nsid w:val="704E1DD5"/>
    <w:multiLevelType w:val="hybridMultilevel"/>
    <w:lvl w:ilvl="0">
      <w:lvlJc w:val="left"/>
      <w:lvlText w:val="(%1)"/>
      <w:numFmt w:val="lowerRoman"/>
      <w:start w:val="14"/>
    </w:lvl>
  </w:abstractNum>
  <w:abstractNum w:abstractNumId="52">
    <w:nsid w:val="57D2F10E"/>
    <w:multiLevelType w:val="hybridMultilevel"/>
    <w:lvl w:ilvl="0">
      <w:lvlJc w:val="left"/>
      <w:lvlText w:val="(%1)"/>
      <w:numFmt w:val="lowerRoman"/>
      <w:start w:val="17"/>
    </w:lvl>
  </w:abstractNum>
  <w:abstractNum w:abstractNumId="53">
    <w:nsid w:val="BFFAE18"/>
    <w:multiLevelType w:val="hybridMultilevel"/>
    <w:lvl w:ilvl="0">
      <w:lvlJc w:val="left"/>
      <w:lvlText w:val="(%1)"/>
      <w:numFmt w:val="lowerLetter"/>
      <w:start w:val="4"/>
    </w:lvl>
  </w:abstractNum>
  <w:abstractNum w:abstractNumId="54">
    <w:nsid w:val="E3E47A8"/>
    <w:multiLevelType w:val="hybridMultilevel"/>
    <w:lvl w:ilvl="0">
      <w:lvlJc w:val="left"/>
      <w:lvlText w:val="(%1)"/>
      <w:numFmt w:val="lowerLetter"/>
      <w:start w:val="5"/>
    </w:lvl>
    <w:lvl w:ilvl="1">
      <w:lvlJc w:val="left"/>
      <w:lvlText w:val="(%2)"/>
      <w:numFmt w:val="lowerRoman"/>
      <w:start w:val="1"/>
    </w:lvl>
  </w:abstractNum>
  <w:abstractNum w:abstractNumId="55">
    <w:nsid w:val="2E48F044"/>
    <w:multiLevelType w:val="hybridMultilevel"/>
    <w:lvl w:ilvl="0">
      <w:lvlJc w:val="left"/>
      <w:lvlText w:val="(%1)"/>
      <w:numFmt w:val="lowerLetter"/>
      <w:start w:val="7"/>
    </w:lvl>
  </w:abstractNum>
  <w:abstractNum w:abstractNumId="56">
    <w:nsid w:val="49D0FEAC"/>
    <w:multiLevelType w:val="hybridMultilevel"/>
    <w:lvl w:ilvl="0">
      <w:lvlJc w:val="left"/>
      <w:lvlText w:val="(%1)"/>
      <w:numFmt w:val="lowerLetter"/>
      <w:start w:val="8"/>
    </w:lvl>
  </w:abstractNum>
  <w:abstractNum w:abstractNumId="57">
    <w:nsid w:val="4BEE5A5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58">
    <w:nsid w:val="5551B9F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59">
    <w:nsid w:val="24F6AB8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0"/>
    </w:lvl>
  </w:abstractNum>
  <w:abstractNum w:abstractNumId="60">
    <w:nsid w:val="634C574C"/>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1"/>
    </w:lvl>
  </w:abstractNum>
  <w:abstractNum w:abstractNumId="61">
    <w:nsid w:val="24E99DD7"/>
    <w:multiLevelType w:val="hybridMultilevel"/>
    <w:lvl w:ilvl="0">
      <w:lvlJc w:val="left"/>
      <w:lvlText w:val="(%1)"/>
      <w:numFmt w:val="lowerLetter"/>
      <w:start w:val="10"/>
    </w:lvl>
  </w:abstractNum>
  <w:abstractNum w:abstractNumId="62">
    <w:nsid w:val="2A31B62D"/>
    <w:multiLevelType w:val="hybridMultilevel"/>
    <w:lvl w:ilvl="0">
      <w:lvlJc w:val="left"/>
      <w:lvlText w:val="(%1)"/>
      <w:numFmt w:val="lowerLetter"/>
      <w:start w:val="11"/>
    </w:lvl>
  </w:abstractNum>
  <w:abstractNum w:abstractNumId="63">
    <w:nsid w:val="1849C29B"/>
    <w:multiLevelType w:val="hybridMultilevel"/>
    <w:lvl w:ilvl="0">
      <w:lvlJc w:val="left"/>
      <w:lvlText w:val="(%1)"/>
      <w:numFmt w:val="lowerLetter"/>
      <w:start w:val="12"/>
    </w:lvl>
  </w:abstractNum>
  <w:abstractNum w:abstractNumId="64">
    <w:nsid w:val="7DFF9D09"/>
    <w:multiLevelType w:val="hybridMultilevel"/>
    <w:lvl w:ilvl="0">
      <w:lvlJc w:val="left"/>
      <w:lvlText w:val="(%1)"/>
      <w:numFmt w:val="lowerLetter"/>
      <w:start w:val="13"/>
    </w:lvl>
  </w:abstractNum>
  <w:abstractNum w:abstractNumId="65">
    <w:nsid w:val="754342"/>
    <w:multiLevelType w:val="hybridMultilevel"/>
    <w:lvl w:ilvl="0">
      <w:lvlJc w:val="left"/>
      <w:lvlText w:val="(%1)"/>
      <w:numFmt w:val="lowerLetter"/>
      <w:start w:val="14"/>
    </w:lvl>
  </w:abstractNum>
  <w:abstractNum w:abstractNumId="66">
    <w:nsid w:val="69E7F3E5"/>
    <w:multiLevelType w:val="hybridMultilevel"/>
    <w:lvl w:ilvl="0">
      <w:lvlJc w:val="left"/>
      <w:lvlText w:val="(%1)"/>
      <w:numFmt w:val="lowerLetter"/>
      <w:start w:val="1"/>
    </w:lvl>
  </w:abstractNum>
  <w:abstractNum w:abstractNumId="67">
    <w:nsid w:val="2A6DE806"/>
    <w:multiLevelType w:val="hybridMultilevel"/>
    <w:lvl w:ilvl="0">
      <w:lvlJc w:val="left"/>
      <w:lvlText w:val="(%1)"/>
      <w:numFmt w:val="lowerLetter"/>
      <w:start w:val="2"/>
    </w:lvl>
  </w:abstractNum>
  <w:abstractNum w:abstractNumId="68">
    <w:nsid w:val="1816F8C4"/>
    <w:multiLevelType w:val="hybridMultilevel"/>
    <w:lvl w:ilvl="0">
      <w:lvlJc w:val="left"/>
      <w:lvlText w:val="(%1)"/>
      <w:numFmt w:val="lowerLetter"/>
      <w:start w:val="3"/>
    </w:lvl>
  </w:abstractNum>
  <w:abstractNum w:abstractNumId="69">
    <w:nsid w:val="37DF2233"/>
    <w:multiLevelType w:val="hybridMultilevel"/>
    <w:lvl w:ilvl="0">
      <w:lvlJc w:val="left"/>
      <w:lvlText w:val="(%1)"/>
      <w:numFmt w:val="lowerRoman"/>
      <w:start w:val="1"/>
    </w:lvl>
  </w:abstractNum>
  <w:abstractNum w:abstractNumId="70">
    <w:nsid w:val="7AB49DAF"/>
    <w:multiLevelType w:val="hybridMultilevel"/>
    <w:lvl w:ilvl="0">
      <w:lvlJc w:val="left"/>
      <w:lvlText w:val="(%1)"/>
      <w:numFmt w:val="lowerLetter"/>
      <w:start w:val="4"/>
    </w:lvl>
  </w:abstractNum>
  <w:abstractNum w:abstractNumId="71">
    <w:nsid w:val="759F82CD"/>
    <w:multiLevelType w:val="hybridMultilevel"/>
    <w:lvl w:ilvl="0">
      <w:lvlJc w:val="left"/>
      <w:lvlText w:val="(%1)"/>
      <w:numFmt w:val="lowerLetter"/>
      <w:start w:val="5"/>
    </w:lvl>
  </w:abstractNum>
  <w:abstractNum w:abstractNumId="72">
    <w:nsid w:val="61E74EA3"/>
    <w:multiLevelType w:val="hybridMultilevel"/>
    <w:lvl w:ilvl="0">
      <w:lvlJc w:val="left"/>
      <w:lvlText w:val="(%1)"/>
      <w:numFmt w:val="lowerLetter"/>
      <w:start w:val="6"/>
    </w:lvl>
    <w:lvl w:ilvl="1">
      <w:lvlJc w:val="left"/>
      <w:lvlText w:val="(%2)"/>
      <w:numFmt w:val="lowerLetter"/>
      <w:start w:val="1"/>
    </w:lvl>
  </w:abstractNum>
  <w:abstractNum w:abstractNumId="73">
    <w:nsid w:val="597B4D84"/>
    <w:multiLevelType w:val="hybridMultilevel"/>
    <w:lvl w:ilvl="0">
      <w:lvlJc w:val="left"/>
      <w:lvlText w:val="(%1)"/>
      <w:numFmt w:val="lowerLetter"/>
      <w:start w:val="7"/>
    </w:lvl>
  </w:abstractNum>
  <w:abstractNum w:abstractNumId="74">
    <w:nsid w:val="F819E7F"/>
    <w:multiLevelType w:val="hybridMultilevel"/>
    <w:lvl w:ilvl="0">
      <w:lvlJc w:val="left"/>
      <w:lvlText w:val="(%1)"/>
      <w:numFmt w:val="lowerRoman"/>
      <w:start w:val="1"/>
    </w:lvl>
  </w:abstractNum>
  <w:abstractNum w:abstractNumId="75">
    <w:nsid w:val="57C7D42D"/>
    <w:multiLevelType w:val="hybridMultilevel"/>
    <w:lvl w:ilvl="0">
      <w:lvlJc w:val="left"/>
      <w:lvlText w:val="(%1)"/>
      <w:numFmt w:val="lowerRoman"/>
      <w:start w:val="1"/>
    </w:lvl>
  </w:abstractNum>
  <w:abstractNum w:abstractNumId="76">
    <w:nsid w:val="312167AD"/>
    <w:multiLevelType w:val="hybridMultilevel"/>
    <w:lvl w:ilvl="0">
      <w:lvlJc w:val="left"/>
      <w:lvlText w:val="(%1)"/>
      <w:numFmt w:val="lowerLetter"/>
      <w:start w:val="10"/>
    </w:lvl>
  </w:abstractNum>
  <w:abstractNum w:abstractNumId="77">
    <w:nsid w:val="631B64D4"/>
    <w:multiLevelType w:val="hybridMultilevel"/>
    <w:lvl w:ilvl="0">
      <w:lvlJc w:val="left"/>
      <w:lvlText w:val="(%1)"/>
      <w:numFmt w:val="lowerLetter"/>
      <w:start w:val="11"/>
    </w:lvl>
  </w:abstractNum>
  <w:abstractNum w:abstractNumId="78">
    <w:nsid w:val="78B5E776"/>
    <w:multiLevelType w:val="hybridMultilevel"/>
    <w:lvl w:ilvl="0">
      <w:lvlJc w:val="left"/>
      <w:lvlText w:val="(%1)"/>
      <w:numFmt w:val="lowerLetter"/>
      <w:start w:val="12"/>
    </w:lvl>
  </w:abstractNum>
  <w:abstractNum w:abstractNumId="79">
    <w:nsid w:val="75486E47"/>
    <w:multiLevelType w:val="hybridMultilevel"/>
    <w:lvl w:ilvl="0">
      <w:lvlJc w:val="left"/>
      <w:lvlText w:val="(%1)"/>
      <w:numFmt w:val="lowerLetter"/>
      <w:start w:val="13"/>
    </w:lvl>
  </w:abstractNum>
  <w:abstractNum w:abstractNumId="80">
    <w:nsid w:val="6E534CDE"/>
    <w:multiLevelType w:val="hybridMultilevel"/>
    <w:lvl w:ilvl="0">
      <w:lvlJc w:val="left"/>
      <w:lvlText w:val="(%1)"/>
      <w:numFmt w:val="lowerLetter"/>
      <w:start w:val="14"/>
    </w:lvl>
  </w:abstractNum>
  <w:abstractNum w:abstractNumId="81">
    <w:nsid w:val="1A0DDE32"/>
    <w:multiLevelType w:val="hybridMultilevel"/>
    <w:lvl w:ilvl="0">
      <w:lvlJc w:val="left"/>
      <w:lvlText w:val="(%1)"/>
      <w:numFmt w:val="lowerLetter"/>
      <w:start w:val="15"/>
    </w:lvl>
    <w:lvl w:ilvl="1">
      <w:lvlJc w:val="left"/>
      <w:lvlText w:val="(%2)"/>
      <w:numFmt w:val="lowerLetter"/>
      <w:start w:val="9"/>
    </w:lvl>
  </w:abstractNum>
  <w:abstractNum w:abstractNumId="82">
    <w:nsid w:val="65968C1C"/>
    <w:multiLevelType w:val="hybridMultilevel"/>
    <w:lvl w:ilvl="0">
      <w:lvlJc w:val="left"/>
      <w:lvlText w:val="(%1)"/>
      <w:numFmt w:val="lowerRoman"/>
      <w:start w:val="1"/>
    </w:lvl>
  </w:abstractNum>
  <w:abstractNum w:abstractNumId="83">
    <w:nsid w:val="46263DEC"/>
    <w:multiLevelType w:val="hybridMultilevel"/>
    <w:lvl w:ilvl="0">
      <w:lvlJc w:val="left"/>
      <w:lvlText w:val="(%1)"/>
      <w:numFmt w:val="lowerRoman"/>
      <w:start w:val="2"/>
    </w:lvl>
    <w:lvl w:ilvl="1">
      <w:lvlJc w:val="left"/>
      <w:lvlText w:val="(%2)"/>
      <w:numFmt w:val="upperLetter"/>
      <w:start w:val="1"/>
    </w:lvl>
  </w:abstractNum>
  <w:abstractNum w:abstractNumId="84">
    <w:nsid w:val="260D8C4A"/>
    <w:multiLevelType w:val="hybridMultilevel"/>
    <w:lvl w:ilvl="0">
      <w:lvlJc w:val="left"/>
      <w:lvlText w:val="%1"/>
      <w:numFmt w:val="lowerRoman"/>
      <w:start w:val="1"/>
    </w:lvl>
    <w:lvl w:ilvl="1">
      <w:lvlJc w:val="left"/>
      <w:lvlText w:val="(%2)"/>
      <w:numFmt w:val="upperLetter"/>
      <w:start w:val="1"/>
    </w:lvl>
  </w:abstractNum>
  <w:abstractNum w:abstractNumId="85">
    <w:nsid w:val="73D4D3C4"/>
    <w:multiLevelType w:val="hybridMultilevel"/>
    <w:lvl w:ilvl="0">
      <w:lvlJc w:val="left"/>
      <w:lvlText w:val="(%1)"/>
      <w:numFmt w:val="lowerRoman"/>
      <w:start w:val="3"/>
    </w:lvl>
    <w:lvl w:ilvl="1">
      <w:lvlJc w:val="left"/>
      <w:lvlText w:val="%2"/>
      <w:numFmt w:val="upperLetter"/>
      <w:start w:val="1"/>
    </w:lvl>
  </w:abstractNum>
  <w:abstractNum w:abstractNumId="86">
    <w:nsid w:val="746F2E30"/>
    <w:multiLevelType w:val="hybridMultilevel"/>
    <w:lvl w:ilvl="0">
      <w:lvlJc w:val="left"/>
      <w:lvlText w:val="(%1)"/>
      <w:numFmt w:val="lowerLetter"/>
      <w:start w:val="16"/>
    </w:lvl>
  </w:abstractNum>
  <w:abstractNum w:abstractNumId="87">
    <w:nsid w:val="6FDE8AF6"/>
    <w:multiLevelType w:val="hybridMultilevel"/>
    <w:lvl w:ilvl="0">
      <w:lvlJc w:val="left"/>
      <w:lvlText w:val="(%1)"/>
      <w:numFmt w:val="lowerLetter"/>
      <w:start w:val="17"/>
    </w:lvl>
  </w:abstractNum>
  <w:abstractNum w:abstractNumId="88">
    <w:nsid w:val="3FC32E20"/>
    <w:multiLevelType w:val="hybridMultilevel"/>
    <w:lvl w:ilvl="0">
      <w:lvlJc w:val="left"/>
      <w:lvlText w:val="(%1)"/>
      <w:numFmt w:val="lowerRoman"/>
      <w:start w:val="1"/>
    </w:lvl>
  </w:abstractNum>
  <w:abstractNum w:abstractNumId="89">
    <w:nsid w:val="49C0E823"/>
    <w:multiLevelType w:val="hybridMultilevel"/>
    <w:lvl w:ilvl="0">
      <w:lvlJc w:val="left"/>
      <w:lvlText w:val="%1."/>
      <w:numFmt w:val="decimal"/>
      <w:start w:val="1"/>
    </w:lvl>
  </w:abstractNum>
  <w:abstractNum w:abstractNumId="90">
    <w:nsid w:val="14D53685"/>
    <w:multiLevelType w:val="hybridMultilevel"/>
    <w:lvl w:ilvl="0">
      <w:lvlJc w:val="left"/>
      <w:lvlText w:val="%1."/>
      <w:numFmt w:val="decimal"/>
      <w:start w:val="2"/>
    </w:lvl>
  </w:abstractNum>
  <w:abstractNum w:abstractNumId="91">
    <w:nsid w:val="230F856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2">
    <w:nsid w:val="6EAA85FB"/>
    <w:multiLevelType w:val="hybridMultilevel"/>
    <w:lvl w:ilvl="0">
      <w:lvlJc w:val="left"/>
      <w:lvlText w:val="(%1)"/>
      <w:numFmt w:val="lowerLetter"/>
      <w:start w:val="2"/>
    </w:lvl>
    <w:lvl w:ilvl="1">
      <w:lvlJc w:val="left"/>
      <w:lvlText w:val="(%2)"/>
      <w:numFmt w:val="lowerRoman"/>
      <w:start w:val="1"/>
    </w:lvl>
  </w:abstractNum>
  <w:abstractNum w:abstractNumId="93">
    <w:nsid w:val="3F06ECB2"/>
    <w:multiLevelType w:val="hybridMultilevel"/>
    <w:lvl w:ilvl="0">
      <w:lvlJc w:val="left"/>
      <w:lvlText w:val="(%1)"/>
      <w:numFmt w:val="lowerRoman"/>
      <w:start w:val="2"/>
    </w:lvl>
  </w:abstractNum>
  <w:abstractNum w:abstractNumId="94">
    <w:nsid w:val="3B594807"/>
    <w:multiLevelType w:val="hybridMultilevel"/>
    <w:lvl w:ilvl="0">
      <w:lvlJc w:val="left"/>
      <w:lvlText w:val="(%1)"/>
      <w:numFmt w:val="lowerRoman"/>
      <w:start w:val="10"/>
    </w:lvl>
  </w:abstractNum>
  <w:abstractNum w:abstractNumId="95">
    <w:nsid w:val="6CAA2304"/>
    <w:multiLevelType w:val="hybridMultilevel"/>
    <w:lvl w:ilvl="0">
      <w:lvlJc w:val="left"/>
      <w:lvlText w:val="(%1)"/>
      <w:numFmt w:val="lowerRoman"/>
      <w:start w:val="17"/>
    </w:lvl>
  </w:abstractNum>
  <w:abstractNum w:abstractNumId="96">
    <w:nsid w:val="3F7C2FF4"/>
    <w:multiLevelType w:val="hybridMultilevel"/>
    <w:lvl w:ilvl="0">
      <w:lvlJc w:val="left"/>
      <w:lvlText w:val="(%1)"/>
      <w:numFmt w:val="lowerLetter"/>
      <w:start w:val="4"/>
    </w:lvl>
  </w:abstractNum>
  <w:abstractNum w:abstractNumId="97">
    <w:nsid w:val="25413BEC"/>
    <w:multiLevelType w:val="hybridMultilevel"/>
    <w:lvl w:ilvl="0">
      <w:lvlJc w:val="left"/>
      <w:lvlText w:val="(%1)"/>
      <w:numFmt w:val="lowerLetter"/>
      <w:start w:val="5"/>
    </w:lvl>
    <w:lvl w:ilvl="1">
      <w:lvlJc w:val="left"/>
      <w:lvlText w:val="(%2)"/>
      <w:numFmt w:val="lowerRoman"/>
      <w:start w:val="1"/>
    </w:lvl>
  </w:abstractNum>
  <w:abstractNum w:abstractNumId="98">
    <w:nsid w:val="17180B0B"/>
    <w:multiLevelType w:val="hybridMultilevel"/>
    <w:lvl w:ilvl="0">
      <w:lvlJc w:val="left"/>
      <w:lvlText w:val="(%1)"/>
      <w:numFmt w:val="lowerLetter"/>
      <w:start w:val="7"/>
    </w:lvl>
  </w:abstractNum>
  <w:abstractNum w:abstractNumId="99">
    <w:nsid w:val="579328B9"/>
    <w:multiLevelType w:val="hybridMultilevel"/>
    <w:lvl w:ilvl="0">
      <w:lvlJc w:val="left"/>
      <w:lvlText w:val="(%1)"/>
      <w:numFmt w:val="lowerLetter"/>
      <w:start w:val="8"/>
    </w:lvl>
  </w:abstractNum>
  <w:abstractNum w:abstractNumId="100">
    <w:nsid w:val="5D205E2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01">
    <w:nsid w:val="11CCA8BA"/>
    <w:multiLevelType w:val="hybridMultilevel"/>
    <w:lvl w:ilvl="0">
      <w:lvlJc w:val="left"/>
      <w:lvlText w:val="(%1)"/>
      <w:numFmt w:val="lowerLetter"/>
      <w:start w:val="10"/>
    </w:lvl>
  </w:abstractNum>
  <w:abstractNum w:abstractNumId="102">
    <w:nsid w:val="4D32AB86"/>
    <w:multiLevelType w:val="hybridMultilevel"/>
    <w:lvl w:ilvl="0">
      <w:lvlJc w:val="left"/>
      <w:lvlText w:val="(%1)"/>
      <w:numFmt w:val="lowerLetter"/>
      <w:start w:val="11"/>
    </w:lvl>
  </w:abstractNum>
  <w:abstractNum w:abstractNumId="103">
    <w:nsid w:val="3F07ACC3"/>
    <w:multiLevelType w:val="hybridMultilevel"/>
    <w:lvl w:ilvl="0">
      <w:lvlJc w:val="left"/>
      <w:lvlText w:val="(%1)"/>
      <w:numFmt w:val="lowerLetter"/>
      <w:start w:val="12"/>
    </w:lvl>
  </w:abstractNum>
  <w:abstractNum w:abstractNumId="104">
    <w:nsid w:val="6B47F63E"/>
    <w:multiLevelType w:val="hybridMultilevel"/>
    <w:lvl w:ilvl="0">
      <w:lvlJc w:val="left"/>
      <w:lvlText w:val="(%1)"/>
      <w:numFmt w:val="lowerLetter"/>
      <w:start w:val="13"/>
    </w:lvl>
  </w:abstractNum>
  <w:abstractNum w:abstractNumId="105">
    <w:nsid w:val="5CB44A05"/>
    <w:multiLevelType w:val="hybridMultilevel"/>
    <w:lvl w:ilvl="0">
      <w:lvlJc w:val="left"/>
      <w:lvlText w:val="(%1)"/>
      <w:numFmt w:val="lowerLetter"/>
      <w:start w:val="14"/>
    </w:lvl>
  </w:abstractNum>
  <w:abstractNum w:abstractNumId="106">
    <w:nsid w:val="16CF80F1"/>
    <w:multiLevelType w:val="hybridMultilevel"/>
    <w:lvl w:ilvl="0">
      <w:lvlJc w:val="left"/>
      <w:lvlText w:val="%1"/>
      <w:numFmt w:val="lowerLetter"/>
      <w:start w:val="1"/>
    </w:lvl>
    <w:lvl w:ilvl="1">
      <w:lvlJc w:val="left"/>
      <w:lvlText w:val="(%2)"/>
      <w:numFmt w:val="upperLetter"/>
      <w:start w:val="1"/>
    </w:lvl>
  </w:abstractNum>
  <w:abstractNum w:abstractNumId="107">
    <w:nsid w:val="1C695DEC"/>
    <w:multiLevelType w:val="hybridMultilevel"/>
    <w:lvl w:ilvl="0">
      <w:lvlJc w:val="left"/>
      <w:lvlText w:val="(%1)"/>
      <w:numFmt w:val="lowerLetter"/>
      <w:start w:val="15"/>
    </w:lvl>
    <w:lvl w:ilvl="1">
      <w:lvlJc w:val="left"/>
      <w:lvlText w:val="%2"/>
      <w:numFmt w:val="upperLetter"/>
      <w:start w:val="1"/>
    </w:lvl>
  </w:abstractNum>
  <w:abstractNum w:abstractNumId="108">
    <w:nsid w:val="3FCFAED9"/>
    <w:multiLevelType w:val="hybridMultilevel"/>
    <w:lvl w:ilvl="0">
      <w:lvlJc w:val="left"/>
      <w:lvlText w:val="%1."/>
      <w:numFmt w:val="decimal"/>
      <w:start w:val="4"/>
    </w:lvl>
    <w:lvl w:ilvl="1">
      <w:lvlJc w:val="left"/>
      <w:lvlText w:val="(%2)"/>
      <w:numFmt w:val="lowerLetter"/>
      <w:start w:val="1"/>
    </w:lvl>
  </w:abstractNum>
  <w:abstractNum w:abstractNumId="109">
    <w:nsid w:val="F856867"/>
    <w:multiLevelType w:val="hybridMultilevel"/>
    <w:lvl w:ilvl="0">
      <w:lvlJc w:val="left"/>
      <w:lvlText w:val="(%1)"/>
      <w:numFmt w:val="lowerLetter"/>
      <w:start w:val="2"/>
    </w:lvl>
  </w:abstractNum>
  <w:abstractNum w:abstractNumId="110">
    <w:nsid w:val="11B1CC33"/>
    <w:multiLevelType w:val="hybridMultilevel"/>
    <w:lvl w:ilvl="0">
      <w:lvlJc w:val="left"/>
      <w:lvlText w:val="(%1)"/>
      <w:numFmt w:val="lowerLetter"/>
      <w:start w:val="3"/>
    </w:lvl>
  </w:abstractNum>
  <w:abstractNum w:abstractNumId="111">
    <w:nsid w:val="2E22FBB7"/>
    <w:multiLevelType w:val="hybridMultilevel"/>
    <w:lvl w:ilvl="0">
      <w:lvlJc w:val="left"/>
      <w:lvlText w:val="(%1)"/>
      <w:numFmt w:val="lowerRoman"/>
      <w:start w:val="1"/>
    </w:lvl>
  </w:abstractNum>
  <w:abstractNum w:abstractNumId="112">
    <w:nsid w:val="29934699"/>
    <w:multiLevelType w:val="hybridMultilevel"/>
    <w:lvl w:ilvl="0">
      <w:lvlJc w:val="left"/>
      <w:lvlText w:val="(%1)"/>
      <w:numFmt w:val="lowerLetter"/>
      <w:start w:val="4"/>
    </w:lvl>
  </w:abstractNum>
  <w:abstractNum w:abstractNumId="113">
    <w:nsid w:val="77485850"/>
    <w:multiLevelType w:val="hybridMultilevel"/>
    <w:lvl w:ilvl="0">
      <w:lvlJc w:val="left"/>
      <w:lvlText w:val="(%1)"/>
      <w:numFmt w:val="lowerLetter"/>
      <w:start w:val="5"/>
    </w:lvl>
  </w:abstractNum>
  <w:abstractNum w:abstractNumId="114">
    <w:nsid w:val="744939A3"/>
    <w:multiLevelType w:val="hybridMultilevel"/>
    <w:lvl w:ilvl="0">
      <w:lvlJc w:val="left"/>
      <w:lvlText w:val="(%1)"/>
      <w:numFmt w:val="lowerLetter"/>
      <w:start w:val="6"/>
    </w:lvl>
    <w:lvl w:ilvl="1">
      <w:lvlJc w:val="left"/>
      <w:lvlText w:val="(%2)"/>
      <w:numFmt w:val="lowerLetter"/>
      <w:start w:val="1"/>
    </w:lvl>
  </w:abstractNum>
  <w:abstractNum w:abstractNumId="115">
    <w:nsid w:val="4FA0D2E3"/>
    <w:multiLevelType w:val="hybridMultilevel"/>
    <w:lvl w:ilvl="0">
      <w:lvlJc w:val="left"/>
      <w:lvlText w:val="(%1)"/>
      <w:numFmt w:val="lowerLetter"/>
      <w:start w:val="7"/>
    </w:lvl>
  </w:abstractNum>
  <w:abstractNum w:abstractNumId="116">
    <w:nsid w:val="6B1D2C14"/>
    <w:multiLevelType w:val="hybridMultilevel"/>
    <w:lvl w:ilvl="0">
      <w:lvlJc w:val="left"/>
      <w:lvlText w:val="(%1)"/>
      <w:numFmt w:val="lowerRoman"/>
      <w:start w:val="1"/>
    </w:lvl>
  </w:abstractNum>
  <w:abstractNum w:abstractNumId="117">
    <w:nsid w:val="68B867D3"/>
    <w:multiLevelType w:val="hybridMultilevel"/>
    <w:lvl w:ilvl="0">
      <w:lvlJc w:val="left"/>
      <w:lvlText w:val="(%1)"/>
      <w:numFmt w:val="lowerRoman"/>
      <w:start w:val="1"/>
    </w:lvl>
  </w:abstractNum>
  <w:abstractNum w:abstractNumId="118">
    <w:nsid w:val="3F7F5DD9"/>
    <w:multiLevelType w:val="hybridMultilevel"/>
    <w:lvl w:ilvl="0">
      <w:lvlJc w:val="left"/>
      <w:lvlText w:val="%1"/>
      <w:numFmt w:val="lowerLetter"/>
      <w:start w:val="1"/>
    </w:lvl>
    <w:lvl w:ilvl="1">
      <w:lvlJc w:val="left"/>
      <w:lvlText w:val="(%2)"/>
      <w:numFmt w:val="lowerRoman"/>
      <w:start w:val="2"/>
    </w:lvl>
  </w:abstractNum>
  <w:abstractNum w:abstractNumId="119">
    <w:nsid w:val="2AE05A34"/>
    <w:multiLevelType w:val="hybridMultilevel"/>
    <w:lvl w:ilvl="0">
      <w:lvlJc w:val="left"/>
      <w:lvlText w:val="(%1)"/>
      <w:numFmt w:val="lowerLetter"/>
      <w:start w:val="10"/>
    </w:lvl>
    <w:lvl w:ilvl="1">
      <w:lvlJc w:val="left"/>
      <w:lvlText w:val="%2"/>
      <w:numFmt w:val="lowerRoman"/>
      <w:start w:val="1"/>
    </w:lvl>
  </w:abstractNum>
  <w:abstractNum w:abstractNumId="120">
    <w:nsid w:val="32794FF7"/>
    <w:multiLevelType w:val="hybridMultilevel"/>
    <w:lvl w:ilvl="0">
      <w:lvlJc w:val="left"/>
      <w:lvlText w:val="(%1)"/>
      <w:numFmt w:val="lowerLetter"/>
      <w:start w:val="11"/>
    </w:lvl>
  </w:abstractNum>
  <w:abstractNum w:abstractNumId="121">
    <w:nsid w:val="5454945E"/>
    <w:multiLevelType w:val="hybridMultilevel"/>
    <w:lvl w:ilvl="0">
      <w:lvlJc w:val="left"/>
      <w:lvlText w:val="(%1)"/>
      <w:numFmt w:val="lowerLetter"/>
      <w:start w:val="12"/>
    </w:lvl>
  </w:abstractNum>
  <w:abstractNum w:abstractNumId="122">
    <w:nsid w:val="4DEFDFA0"/>
    <w:multiLevelType w:val="hybridMultilevel"/>
    <w:lvl w:ilvl="0">
      <w:lvlJc w:val="left"/>
      <w:lvlText w:val="(%1)"/>
      <w:numFmt w:val="lowerLetter"/>
      <w:start w:val="13"/>
    </w:lvl>
  </w:abstractNum>
  <w:abstractNum w:abstractNumId="123">
    <w:nsid w:val="2123D5F2"/>
    <w:multiLevelType w:val="hybridMultilevel"/>
    <w:lvl w:ilvl="0">
      <w:lvlJc w:val="left"/>
      <w:lvlText w:val="(%1)"/>
      <w:numFmt w:val="lowerLetter"/>
      <w:start w:val="14"/>
    </w:lvl>
  </w:abstractNum>
  <w:abstractNum w:abstractNumId="124">
    <w:nsid w:val="135B8110"/>
    <w:multiLevelType w:val="hybridMultilevel"/>
    <w:lvl w:ilvl="0">
      <w:lvlJc w:val="left"/>
      <w:lvlText w:val="(%1)"/>
      <w:numFmt w:val="lowerLetter"/>
      <w:start w:val="15"/>
    </w:lvl>
    <w:lvl w:ilvl="1">
      <w:lvlJc w:val="left"/>
      <w:lvlText w:val="(%2)"/>
      <w:numFmt w:val="lowerRoman"/>
      <w:start w:val="1"/>
    </w:lvl>
  </w:abstractNum>
  <w:abstractNum w:abstractNumId="125">
    <w:nsid w:val="94927A8"/>
    <w:multiLevelType w:val="hybridMultilevel"/>
    <w:lvl w:ilvl="0">
      <w:lvlJc w:val="left"/>
      <w:lvlText w:val="(%1)"/>
      <w:numFmt w:val="lowerRoman"/>
      <w:start w:val="2"/>
    </w:lvl>
  </w:abstractNum>
  <w:abstractNum w:abstractNumId="126">
    <w:nsid w:val="DCDF8F6"/>
    <w:multiLevelType w:val="hybridMultilevel"/>
    <w:lvl w:ilvl="0">
      <w:lvlJc w:val="left"/>
      <w:lvlText w:val="(%1)"/>
      <w:numFmt w:val="upperLetter"/>
      <w:start w:val="1"/>
    </w:lvl>
  </w:abstractNum>
  <w:abstractNum w:abstractNumId="127">
    <w:nsid w:val="52D7B105"/>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28">
    <w:nsid w:val="2E8A6394"/>
    <w:multiLevelType w:val="hybridMultilevel"/>
    <w:lvl w:ilvl="0">
      <w:lvlJc w:val="left"/>
      <w:lvlText w:val="(%1)"/>
      <w:numFmt w:val="lowerRoman"/>
      <w:start w:val="3"/>
    </w:lvl>
    <w:lvl w:ilvl="1">
      <w:lvlJc w:val="left"/>
      <w:lvlText w:val="(%2)"/>
      <w:numFmt w:val="lowerRoman"/>
      <w:start w:val="2"/>
    </w:lvl>
    <w:lvl w:ilvl="2">
      <w:lvlJc w:val="left"/>
      <w:lvlText w:val="%3"/>
      <w:numFmt w:val="upperLetter"/>
      <w:start w:val="1"/>
    </w:lvl>
  </w:abstractNum>
  <w:abstractNum w:abstractNumId="129">
    <w:nsid w:val="24E60401"/>
    <w:multiLevelType w:val="hybridMultilevel"/>
    <w:lvl w:ilvl="0">
      <w:lvlJc w:val="left"/>
      <w:lvlText w:val="(%1)"/>
      <w:numFmt w:val="lowerLetter"/>
      <w:start w:val="16"/>
    </w:lvl>
  </w:abstractNum>
  <w:abstractNum w:abstractNumId="130">
    <w:nsid w:val="2A6AD9BE"/>
    <w:multiLevelType w:val="hybridMultilevel"/>
    <w:lvl w:ilvl="0">
      <w:lvlJc w:val="left"/>
      <w:lvlText w:val="(%1)"/>
      <w:numFmt w:val="lowerLetter"/>
      <w:start w:val="17"/>
    </w:lvl>
  </w:abstractNum>
  <w:abstractNum w:abstractNumId="131">
    <w:nsid w:val="BAAC1B4"/>
    <w:multiLevelType w:val="hybridMultilevel"/>
    <w:lvl w:ilvl="0">
      <w:lvlJc w:val="left"/>
      <w:lvlText w:val="(%1)"/>
      <w:numFmt w:val="lowerRoman"/>
      <w:start w:val="1"/>
    </w:lvl>
  </w:abstractNum>
  <w:abstractNum w:abstractNumId="132">
    <w:nsid w:val="36B2ACBC"/>
    <w:multiLevelType w:val="hybridMultilevel"/>
    <w:lvl w:ilvl="0">
      <w:lvlJc w:val="left"/>
      <w:lvlText w:val="%1."/>
      <w:numFmt w:val="decimal"/>
      <w:start w:val="1"/>
    </w:lvl>
    <w:lvl w:ilvl="1">
      <w:lvlJc w:val="left"/>
      <w:lvlText w:val="(%2)"/>
      <w:numFmt w:val="lowerRoman"/>
      <w:start w:val="2"/>
    </w:lvl>
  </w:abstractNum>
  <w:abstractNum w:abstractNumId="133">
    <w:nsid w:val="779D854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4">
    <w:nsid w:val="4AB26E78"/>
    <w:multiLevelType w:val="hybridMultilevel"/>
    <w:lvl w:ilvl="0">
      <w:lvlJc w:val="left"/>
      <w:lvlText w:val="(%1)"/>
      <w:numFmt w:val="lowerLetter"/>
      <w:start w:val="2"/>
    </w:lvl>
    <w:lvl w:ilvl="1">
      <w:lvlJc w:val="left"/>
      <w:lvlText w:val="(%2)"/>
      <w:numFmt w:val="lowerRoman"/>
      <w:start w:val="1"/>
    </w:lvl>
  </w:abstractNum>
  <w:abstractNum w:abstractNumId="135">
    <w:nsid w:val="21FAA2FA"/>
    <w:multiLevelType w:val="hybridMultilevel"/>
    <w:lvl w:ilvl="0">
      <w:lvlJc w:val="left"/>
      <w:lvlText w:val="(%1)"/>
      <w:numFmt w:val="lowerRoman"/>
      <w:start w:val="2"/>
    </w:lvl>
  </w:abstractNum>
  <w:abstractNum w:abstractNumId="136">
    <w:nsid w:val="5451CF49"/>
    <w:multiLevelType w:val="hybridMultilevel"/>
    <w:lvl w:ilvl="0">
      <w:lvlJc w:val="left"/>
      <w:lvlText w:val="(%1)"/>
      <w:numFmt w:val="lowerRoman"/>
      <w:start w:val="9"/>
    </w:lvl>
  </w:abstractNum>
  <w:abstractNum w:abstractNumId="137">
    <w:nsid w:val="6181EF69"/>
    <w:multiLevelType w:val="hybridMultilevel"/>
    <w:lvl w:ilvl="0">
      <w:lvlJc w:val="left"/>
      <w:lvlText w:val="(%1)"/>
      <w:numFmt w:val="lowerRoman"/>
      <w:start w:val="10"/>
    </w:lvl>
    <w:lvl w:ilvl="1">
      <w:lvlJc w:val="left"/>
      <w:lvlText w:val="(%2)"/>
      <w:numFmt w:val="upperLetter"/>
      <w:start w:val="1"/>
    </w:lvl>
  </w:abstractNum>
  <w:abstractNum w:abstractNumId="138">
    <w:nsid w:val="3E6400E6"/>
    <w:multiLevelType w:val="hybridMultilevel"/>
    <w:lvl w:ilvl="0">
      <w:lvlJc w:val="left"/>
      <w:lvlText w:val="(%1)"/>
      <w:numFmt w:val="lowerRoman"/>
      <w:start w:val="17"/>
    </w:lvl>
  </w:abstractNum>
  <w:abstractNum w:abstractNumId="139">
    <w:nsid w:val="14217E23"/>
    <w:multiLevelType w:val="hybridMultilevel"/>
    <w:lvl w:ilvl="0">
      <w:lvlJc w:val="left"/>
      <w:lvlText w:val="(%1)"/>
      <w:numFmt w:val="lowerLetter"/>
      <w:start w:val="4"/>
    </w:lvl>
  </w:abstractNum>
  <w:abstractNum w:abstractNumId="140">
    <w:nsid w:val="710757D0"/>
    <w:multiLevelType w:val="hybridMultilevel"/>
    <w:lvl w:ilvl="0">
      <w:lvlJc w:val="left"/>
      <w:lvlText w:val="(%1)"/>
      <w:numFmt w:val="lowerLetter"/>
      <w:start w:val="5"/>
    </w:lvl>
    <w:lvl w:ilvl="1">
      <w:lvlJc w:val="left"/>
      <w:lvlText w:val="(%2)"/>
      <w:numFmt w:val="lowerRoman"/>
      <w:start w:val="1"/>
    </w:lvl>
  </w:abstractNum>
  <w:abstractNum w:abstractNumId="141">
    <w:nsid w:val="5015CD1A"/>
    <w:multiLevelType w:val="hybridMultilevel"/>
    <w:lvl w:ilvl="0">
      <w:lvlJc w:val="left"/>
      <w:lvlText w:val="(%1)"/>
      <w:numFmt w:val="lowerLetter"/>
      <w:start w:val="7"/>
    </w:lvl>
  </w:abstractNum>
  <w:abstractNum w:abstractNumId="142">
    <w:nsid w:val="424479DA"/>
    <w:multiLevelType w:val="hybridMultilevel"/>
    <w:lvl w:ilvl="0">
      <w:lvlJc w:val="left"/>
      <w:lvlText w:val="(%1)"/>
      <w:numFmt w:val="lowerLetter"/>
      <w:start w:val="8"/>
    </w:lvl>
  </w:abstractNum>
  <w:abstractNum w:abstractNumId="143">
    <w:nsid w:val="1A9A9E6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44">
    <w:nsid w:val="475E256A"/>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145">
    <w:nsid w:val="368DB37E"/>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0"/>
    </w:lvl>
  </w:abstractNum>
  <w:abstractNum w:abstractNumId="146">
    <w:nsid w:val="6A3B714C"/>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1"/>
    </w:lvl>
  </w:abstractNum>
  <w:abstractNum w:abstractNumId="147">
    <w:nsid w:val="327B517E"/>
    <w:multiLevelType w:val="hybridMultilevel"/>
    <w:lvl w:ilvl="0">
      <w:lvlJc w:val="left"/>
      <w:lvlText w:val="(%1)"/>
      <w:numFmt w:val="lowerLetter"/>
      <w:start w:val="10"/>
    </w:lvl>
  </w:abstractNum>
  <w:abstractNum w:abstractNumId="148">
    <w:nsid w:val="1F461B51"/>
    <w:multiLevelType w:val="hybridMultilevel"/>
    <w:lvl w:ilvl="0">
      <w:lvlJc w:val="left"/>
      <w:lvlText w:val="(%1)"/>
      <w:numFmt w:val="lowerLetter"/>
      <w:start w:val="11"/>
    </w:lvl>
  </w:abstractNum>
  <w:abstractNum w:abstractNumId="149">
    <w:nsid w:val="29BACF25"/>
    <w:multiLevelType w:val="hybridMultilevel"/>
    <w:lvl w:ilvl="0">
      <w:lvlJc w:val="left"/>
      <w:lvlText w:val="(%1)"/>
      <w:numFmt w:val="lowerLetter"/>
      <w:start w:val="12"/>
    </w:lvl>
  </w:abstractNum>
  <w:abstractNum w:abstractNumId="150">
    <w:nsid w:val="5D5BABB3"/>
    <w:multiLevelType w:val="hybridMultilevel"/>
    <w:lvl w:ilvl="0">
      <w:lvlJc w:val="left"/>
      <w:lvlText w:val="(%1)"/>
      <w:numFmt w:val="lowerLetter"/>
      <w:start w:val="13"/>
    </w:lvl>
  </w:abstractNum>
  <w:abstractNum w:abstractNumId="151">
    <w:nsid w:val="51BF6B48"/>
    <w:multiLevelType w:val="hybridMultilevel"/>
    <w:lvl w:ilvl="0">
      <w:lvlJc w:val="left"/>
      <w:lvlText w:val="(%1)"/>
      <w:numFmt w:val="lowerLetter"/>
      <w:start w:val="14"/>
    </w:lvl>
  </w:abstractNum>
  <w:abstractNum w:abstractNumId="152">
    <w:nsid w:val="7E0F6384"/>
    <w:multiLevelType w:val="hybridMultilevel"/>
    <w:lvl w:ilvl="0">
      <w:lvlJc w:val="left"/>
      <w:lvlText w:val="(%1)"/>
      <w:numFmt w:val="lowerLetter"/>
      <w:start w:val="1"/>
    </w:lvl>
  </w:abstractNum>
  <w:abstractNum w:abstractNumId="153">
    <w:nsid w:val="2B4B8B53"/>
    <w:multiLevelType w:val="hybridMultilevel"/>
    <w:lvl w:ilvl="0">
      <w:lvlJc w:val="left"/>
      <w:lvlText w:val="(%1)"/>
      <w:numFmt w:val="lowerLetter"/>
      <w:start w:val="2"/>
    </w:lvl>
  </w:abstractNum>
  <w:abstractNum w:abstractNumId="154">
    <w:nsid w:val="72E3413A"/>
    <w:multiLevelType w:val="hybridMultilevel"/>
    <w:lvl w:ilvl="0">
      <w:lvlJc w:val="left"/>
      <w:lvlText w:val="(%1)"/>
      <w:numFmt w:val="lowerLetter"/>
      <w:start w:val="3"/>
    </w:lvl>
  </w:abstractNum>
  <w:abstractNum w:abstractNumId="155">
    <w:nsid w:val="116AE494"/>
    <w:multiLevelType w:val="hybridMultilevel"/>
    <w:lvl w:ilvl="0">
      <w:lvlJc w:val="left"/>
      <w:lvlText w:val="(%1)"/>
      <w:numFmt w:val="lowerRoman"/>
      <w:start w:val="1"/>
    </w:lvl>
  </w:abstractNum>
  <w:abstractNum w:abstractNumId="156">
    <w:nsid w:val="3494B2FB"/>
    <w:multiLevelType w:val="hybridMultilevel"/>
    <w:lvl w:ilvl="0">
      <w:lvlJc w:val="left"/>
      <w:lvlText w:val="(%1)"/>
      <w:numFmt w:val="lowerLetter"/>
      <w:start w:val="4"/>
    </w:lvl>
  </w:abstractNum>
  <w:abstractNum w:abstractNumId="157">
    <w:nsid w:val="B13A31"/>
    <w:multiLevelType w:val="hybridMultilevel"/>
    <w:lvl w:ilvl="0">
      <w:lvlJc w:val="left"/>
      <w:lvlText w:val="(%1)"/>
      <w:numFmt w:val="lowerLetter"/>
      <w:start w:val="5"/>
    </w:lvl>
  </w:abstractNum>
  <w:abstractNum w:abstractNumId="158">
    <w:nsid w:val="64429599"/>
    <w:multiLevelType w:val="hybridMultilevel"/>
    <w:lvl w:ilvl="0">
      <w:lvlJc w:val="left"/>
      <w:lvlText w:val="(%1)"/>
      <w:numFmt w:val="lowerLetter"/>
      <w:start w:val="6"/>
    </w:lvl>
    <w:lvl w:ilvl="1">
      <w:lvlJc w:val="left"/>
      <w:lvlText w:val="(%2)"/>
      <w:numFmt w:val="lowerLetter"/>
      <w:start w:val="1"/>
    </w:lvl>
  </w:abstractNum>
  <w:abstractNum w:abstractNumId="159">
    <w:nsid w:val="631F1690"/>
    <w:multiLevelType w:val="hybridMultilevel"/>
    <w:lvl w:ilvl="0">
      <w:lvlJc w:val="left"/>
      <w:lvlText w:val="(%1)"/>
      <w:numFmt w:val="lowerLetter"/>
      <w:start w:val="7"/>
    </w:lvl>
  </w:abstractNum>
  <w:abstractNum w:abstractNumId="160">
    <w:nsid w:val="25973E32"/>
    <w:multiLevelType w:val="hybridMultilevel"/>
    <w:lvl w:ilvl="0">
      <w:lvlJc w:val="left"/>
      <w:lvlText w:val="(%1)"/>
      <w:numFmt w:val="lowerRoman"/>
      <w:start w:val="1"/>
    </w:lvl>
  </w:abstractNum>
  <w:abstractNum w:abstractNumId="161">
    <w:nsid w:val="EAD6F57"/>
    <w:multiLevelType w:val="hybridMultilevel"/>
    <w:lvl w:ilvl="0">
      <w:lvlJc w:val="left"/>
      <w:lvlText w:val="(%1)"/>
      <w:numFmt w:val="lowerRoman"/>
      <w:start w:val="1"/>
    </w:lvl>
  </w:abstractNum>
  <w:abstractNum w:abstractNumId="162">
    <w:nsid w:val="6EC9D844"/>
    <w:multiLevelType w:val="hybridMultilevel"/>
    <w:lvl w:ilvl="0">
      <w:lvlJc w:val="left"/>
      <w:lvlText w:val="(%1)"/>
      <w:numFmt w:val="lowerLetter"/>
      <w:start w:val="10"/>
    </w:lvl>
  </w:abstractNum>
  <w:abstractNum w:abstractNumId="163">
    <w:nsid w:val="5C49EAEE"/>
    <w:multiLevelType w:val="hybridMultilevel"/>
    <w:lvl w:ilvl="0">
      <w:lvlJc w:val="left"/>
      <w:lvlText w:val="(%1)"/>
      <w:numFmt w:val="lowerLetter"/>
      <w:start w:val="11"/>
    </w:lvl>
  </w:abstractNum>
  <w:abstractNum w:abstractNumId="164">
    <w:nsid w:val="64AF49B"/>
    <w:multiLevelType w:val="hybridMultilevel"/>
    <w:lvl w:ilvl="0">
      <w:lvlJc w:val="left"/>
      <w:lvlText w:val="(%1)"/>
      <w:numFmt w:val="lowerLetter"/>
      <w:start w:val="12"/>
    </w:lvl>
  </w:abstractNum>
  <w:abstractNum w:abstractNumId="165">
    <w:nsid w:val="397C46BC"/>
    <w:multiLevelType w:val="hybridMultilevel"/>
    <w:lvl w:ilvl="0">
      <w:lvlJc w:val="left"/>
      <w:lvlText w:val="(%1)"/>
      <w:numFmt w:val="lowerLetter"/>
      <w:start w:val="13"/>
    </w:lvl>
  </w:abstractNum>
  <w:abstractNum w:abstractNumId="166">
    <w:nsid w:val="7E448DE9"/>
    <w:multiLevelType w:val="hybridMultilevel"/>
    <w:lvl w:ilvl="0">
      <w:lvlJc w:val="left"/>
      <w:lvlText w:val="(%1)"/>
      <w:numFmt w:val="lowerLetter"/>
      <w:start w:val="14"/>
    </w:lvl>
  </w:abstractNum>
  <w:abstractNum w:abstractNumId="167">
    <w:nsid w:val="5A9CC3E5"/>
    <w:multiLevelType w:val="hybridMultilevel"/>
    <w:lvl w:ilvl="0">
      <w:lvlJc w:val="left"/>
      <w:lvlText w:val="(%1)"/>
      <w:numFmt w:val="lowerLetter"/>
      <w:start w:val="15"/>
    </w:lvl>
    <w:lvl w:ilvl="1">
      <w:lvlJc w:val="left"/>
      <w:lvlText w:val="(%2)"/>
      <w:numFmt w:val="lowerRoman"/>
      <w:start w:val="1"/>
    </w:lvl>
  </w:abstractNum>
  <w:abstractNum w:abstractNumId="168">
    <w:nsid w:val="1AFE3625"/>
    <w:multiLevelType w:val="hybridMultilevel"/>
    <w:lvl w:ilvl="0">
      <w:lvlJc w:val="left"/>
      <w:lvlText w:val="(%1)"/>
      <w:numFmt w:val="upperLetter"/>
      <w:start w:val="1"/>
    </w:lvl>
  </w:abstractNum>
  <w:abstractNum w:abstractNumId="169">
    <w:nsid w:val="3CA88ECF"/>
    <w:multiLevelType w:val="hybridMultilevel"/>
    <w:lvl w:ilvl="0">
      <w:lvlJc w:val="left"/>
      <w:lvlText w:val="%1"/>
      <w:numFmt w:val="lowerRoman"/>
      <w:start w:val="1"/>
    </w:lvl>
    <w:lvl w:ilvl="1">
      <w:lvlJc w:val="left"/>
      <w:lvlText w:val="(%2)"/>
      <w:numFmt w:val="upperLetter"/>
      <w:start w:val="1"/>
    </w:lvl>
  </w:abstractNum>
  <w:abstractNum w:abstractNumId="170">
    <w:nsid w:val="6EBE4208"/>
    <w:multiLevelType w:val="hybridMultilevel"/>
    <w:lvl w:ilvl="0">
      <w:lvlJc w:val="left"/>
      <w:lvlText w:val="(%1)"/>
      <w:numFmt w:val="lowerRoman"/>
      <w:start w:val="3"/>
    </w:lvl>
    <w:lvl w:ilvl="1">
      <w:lvlJc w:val="left"/>
      <w:lvlText w:val="%2"/>
      <w:numFmt w:val="upperLetter"/>
      <w:start w:val="1"/>
    </w:lvl>
  </w:abstractNum>
  <w:abstractNum w:abstractNumId="171">
    <w:nsid w:val="C058DF5"/>
    <w:multiLevelType w:val="hybridMultilevel"/>
    <w:lvl w:ilvl="0">
      <w:lvlJc w:val="left"/>
      <w:lvlText w:val="(%1)"/>
      <w:numFmt w:val="lowerLetter"/>
      <w:start w:val="16"/>
    </w:lvl>
  </w:abstractNum>
  <w:abstractNum w:abstractNumId="172">
    <w:nsid w:val="CBE5BE9"/>
    <w:multiLevelType w:val="hybridMultilevel"/>
    <w:lvl w:ilvl="0">
      <w:lvlJc w:val="left"/>
      <w:lvlText w:val="(%1)"/>
      <w:numFmt w:val="lowerLetter"/>
      <w:start w:val="17"/>
    </w:lvl>
  </w:abstractNum>
  <w:abstractNum w:abstractNumId="173">
    <w:nsid w:val="3102BBE2"/>
    <w:multiLevelType w:val="hybridMultilevel"/>
    <w:lvl w:ilvl="0">
      <w:lvlJc w:val="left"/>
      <w:lvlText w:val="(%1)"/>
      <w:numFmt w:val="lowerRoman"/>
      <w:start w:val="1"/>
    </w:lvl>
  </w:abstractNum>
  <w:abstractNum w:abstractNumId="174">
    <w:nsid w:val="26A02C5E"/>
    <w:multiLevelType w:val="hybridMultilevel"/>
    <w:lvl w:ilvl="0">
      <w:lvlJc w:val="left"/>
      <w:lvlText w:val="%1."/>
      <w:numFmt w:val="decimal"/>
      <w:start w:val="1"/>
    </w:lvl>
  </w:abstractNum>
  <w:abstractNum w:abstractNumId="175">
    <w:nsid w:val="541C815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6">
    <w:nsid w:val="67906F60"/>
    <w:multiLevelType w:val="hybridMultilevel"/>
    <w:lvl w:ilvl="0">
      <w:lvlJc w:val="left"/>
      <w:lvlText w:val="(%1)"/>
      <w:numFmt w:val="lowerLetter"/>
      <w:start w:val="2"/>
    </w:lvl>
  </w:abstractNum>
  <w:abstractNum w:abstractNumId="177">
    <w:nsid w:val="10DB9DAA"/>
    <w:multiLevelType w:val="hybridMultilevel"/>
    <w:lvl w:ilvl="0">
      <w:lvlJc w:val="left"/>
      <w:lvlText w:val="(%1)"/>
      <w:numFmt w:val="lowerLetter"/>
      <w:start w:val="3"/>
    </w:lvl>
    <w:lvl w:ilvl="1">
      <w:lvlJc w:val="left"/>
      <w:lvlText w:val="(%2)"/>
      <w:numFmt w:val="lowerRoman"/>
      <w:start w:val="1"/>
    </w:lvl>
  </w:abstractNum>
  <w:abstractNum w:abstractNumId="178">
    <w:nsid w:val="697D2D2"/>
    <w:multiLevelType w:val="hybridMultilevel"/>
    <w:lvl w:ilvl="0">
      <w:lvlJc w:val="left"/>
      <w:lvlText w:val="(%1)"/>
      <w:numFmt w:val="lowerRoman"/>
      <w:start w:val="10"/>
    </w:lvl>
  </w:abstractNum>
  <w:abstractNum w:abstractNumId="179">
    <w:nsid w:val="6D68AB2"/>
    <w:multiLevelType w:val="hybridMultilevel"/>
    <w:lvl w:ilvl="0">
      <w:lvlJc w:val="left"/>
      <w:lvlText w:val="%1"/>
      <w:numFmt w:val="lowerRoman"/>
      <w:start w:val="1"/>
    </w:lvl>
    <w:lvl w:ilvl="1">
      <w:lvlJc w:val="left"/>
      <w:lvlText w:val="(%2)"/>
      <w:numFmt w:val="upperLetter"/>
      <w:start w:val="1"/>
    </w:lvl>
  </w:abstractNum>
  <w:abstractNum w:abstractNumId="180">
    <w:nsid w:val="3A966CD0"/>
    <w:multiLevelType w:val="hybridMultilevel"/>
    <w:lvl w:ilvl="0">
      <w:lvlJc w:val="left"/>
      <w:lvlText w:val="(%1)"/>
      <w:numFmt w:val="lowerRoman"/>
      <w:start w:val="12"/>
    </w:lvl>
    <w:lvl w:ilvl="1">
      <w:lvlJc w:val="left"/>
      <w:lvlText w:val="%2"/>
      <w:numFmt w:val="upperLetter"/>
      <w:start w:val="1"/>
    </w:lvl>
  </w:abstractNum>
  <w:abstractNum w:abstractNumId="181">
    <w:nsid w:val="63F37E85"/>
    <w:multiLevelType w:val="hybridMultilevel"/>
    <w:lvl w:ilvl="0">
      <w:lvlJc w:val="left"/>
      <w:lvlText w:val="%1"/>
      <w:numFmt w:val="lowerLetter"/>
      <w:start w:val="1"/>
    </w:lvl>
    <w:lvl w:ilvl="1">
      <w:lvlJc w:val="left"/>
      <w:lvlText w:val="(%2)"/>
      <w:numFmt w:val="lowerRoman"/>
      <w:start w:val="17"/>
    </w:lvl>
  </w:abstractNum>
  <w:abstractNum w:abstractNumId="182">
    <w:nsid w:val="5895F5FA"/>
    <w:multiLevelType w:val="hybridMultilevel"/>
    <w:lvl w:ilvl="0">
      <w:lvlJc w:val="left"/>
      <w:lvlText w:val="(%1)"/>
      <w:numFmt w:val="lowerLetter"/>
      <w:start w:val="4"/>
    </w:lvl>
    <w:lvl w:ilvl="1">
      <w:lvlJc w:val="left"/>
      <w:lvlText w:val="%2"/>
      <w:numFmt w:val="lowerRoman"/>
      <w:start w:val="1"/>
    </w:lvl>
  </w:abstractNum>
  <w:abstractNum w:abstractNumId="183">
    <w:nsid w:val="38A5D054"/>
    <w:multiLevelType w:val="hybridMultilevel"/>
    <w:lvl w:ilvl="0">
      <w:lvlJc w:val="left"/>
      <w:lvlText w:val="(%1)"/>
      <w:numFmt w:val="lowerLetter"/>
      <w:start w:val="5"/>
    </w:lvl>
    <w:lvl w:ilvl="1">
      <w:lvlJc w:val="left"/>
      <w:lvlText w:val="(%2)"/>
      <w:numFmt w:val="lowerRoman"/>
      <w:start w:val="1"/>
    </w:lvl>
  </w:abstractNum>
  <w:abstractNum w:abstractNumId="184">
    <w:nsid w:val="F3F09D8"/>
    <w:multiLevelType w:val="hybridMultilevel"/>
    <w:lvl w:ilvl="0">
      <w:lvlJc w:val="left"/>
      <w:lvlText w:val="(%1)"/>
      <w:numFmt w:val="lowerLetter"/>
      <w:start w:val="7"/>
    </w:lvl>
  </w:abstractNum>
  <w:abstractNum w:abstractNumId="185">
    <w:nsid w:val="4B793735"/>
    <w:multiLevelType w:val="hybridMultilevel"/>
    <w:lvl w:ilvl="0">
      <w:lvlJc w:val="left"/>
      <w:lvlText w:val="(%1)"/>
      <w:numFmt w:val="lowerLetter"/>
      <w:start w:val="8"/>
    </w:lvl>
  </w:abstractNum>
  <w:abstractNum w:abstractNumId="186">
    <w:nsid w:val="4A10B4E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87">
    <w:nsid w:val="43D3BCD4"/>
    <w:multiLevelType w:val="hybridMultilevel"/>
    <w:lvl w:ilvl="0">
      <w:lvlJc w:val="left"/>
      <w:lvlText w:val="(%1)"/>
      <w:numFmt w:val="lowerLetter"/>
      <w:start w:val="10"/>
    </w:lvl>
  </w:abstractNum>
  <w:abstractNum w:abstractNumId="188">
    <w:nsid w:val="4C2A7166"/>
    <w:multiLevelType w:val="hybridMultilevel"/>
    <w:lvl w:ilvl="0">
      <w:lvlJc w:val="left"/>
      <w:lvlText w:val="(%1)"/>
      <w:numFmt w:val="lowerLetter"/>
      <w:start w:val="11"/>
    </w:lvl>
  </w:abstractNum>
  <w:abstractNum w:abstractNumId="189">
    <w:nsid w:val="2E534A82"/>
    <w:multiLevelType w:val="hybridMultilevel"/>
    <w:lvl w:ilvl="0">
      <w:lvlJc w:val="left"/>
      <w:lvlText w:val="(%1)"/>
      <w:numFmt w:val="lowerLetter"/>
      <w:start w:val="12"/>
    </w:lvl>
  </w:abstractNum>
  <w:abstractNum w:abstractNumId="190">
    <w:nsid w:val="26F2D364"/>
    <w:multiLevelType w:val="hybridMultilevel"/>
    <w:lvl w:ilvl="0">
      <w:lvlJc w:val="left"/>
      <w:lvlText w:val="(%1)"/>
      <w:numFmt w:val="lowerLetter"/>
      <w:start w:val="13"/>
    </w:lvl>
  </w:abstractNum>
  <w:abstractNum w:abstractNumId="191">
    <w:nsid w:val="71C1AF98"/>
    <w:multiLevelType w:val="hybridMultilevel"/>
    <w:lvl w:ilvl="0">
      <w:lvlJc w:val="left"/>
      <w:lvlText w:val="(%1)"/>
      <w:numFmt w:val="lowerLetter"/>
      <w:start w:val="14"/>
    </w:lvl>
  </w:abstractNum>
  <w:abstractNum w:abstractNumId="192">
    <w:nsid w:val="3D00B9D9"/>
    <w:multiLevelType w:val="hybridMultilevel"/>
    <w:lvl w:ilvl="0">
      <w:lvlJc w:val="left"/>
      <w:lvlText w:val="%1."/>
      <w:numFmt w:val="decimal"/>
      <w:start w:val="4"/>
    </w:lvl>
  </w:abstractNum>
  <w:abstractNum w:abstractNumId="193">
    <w:nsid w:val="15BCABA8"/>
    <w:multiLevelType w:val="hybridMultilevel"/>
    <w:lvl w:ilvl="0">
      <w:lvlJc w:val="left"/>
      <w:lvlText w:val="(%1)"/>
      <w:numFmt w:val="lowerLetter"/>
      <w:start w:val="1"/>
    </w:lvl>
  </w:abstractNum>
  <w:abstractNum w:abstractNumId="194">
    <w:nsid w:val="4E0B9A87"/>
    <w:multiLevelType w:val="hybridMultilevel"/>
    <w:lvl w:ilvl="0">
      <w:lvlJc w:val="left"/>
      <w:lvlText w:val="(%1)"/>
      <w:numFmt w:val="lowerLetter"/>
      <w:start w:val="2"/>
    </w:lvl>
  </w:abstractNum>
  <w:abstractNum w:abstractNumId="195">
    <w:nsid w:val="434BAE75"/>
    <w:multiLevelType w:val="hybridMultilevel"/>
    <w:lvl w:ilvl="0">
      <w:lvlJc w:val="left"/>
      <w:lvlText w:val="(%1)"/>
      <w:numFmt w:val="lowerLetter"/>
      <w:start w:val="3"/>
    </w:lvl>
  </w:abstractNum>
  <w:abstractNum w:abstractNumId="196">
    <w:nsid w:val="4F38F265"/>
    <w:multiLevelType w:val="hybridMultilevel"/>
    <w:lvl w:ilvl="0">
      <w:lvlJc w:val="left"/>
      <w:lvlText w:val="(%1)"/>
      <w:numFmt w:val="lowerRoman"/>
      <w:start w:val="1"/>
    </w:lvl>
  </w:abstractNum>
  <w:abstractNum w:abstractNumId="197">
    <w:nsid w:val="4C502870"/>
    <w:multiLevelType w:val="hybridMultilevel"/>
    <w:lvl w:ilvl="0">
      <w:lvlJc w:val="left"/>
      <w:lvlText w:val="(%1)"/>
      <w:numFmt w:val="lowerLetter"/>
      <w:start w:val="4"/>
    </w:lvl>
  </w:abstractNum>
  <w:abstractNum w:abstractNumId="198">
    <w:nsid w:val="1DE8725A"/>
    <w:multiLevelType w:val="hybridMultilevel"/>
    <w:lvl w:ilvl="0">
      <w:lvlJc w:val="left"/>
      <w:lvlText w:val="(%1)"/>
      <w:numFmt w:val="lowerLetter"/>
      <w:start w:val="5"/>
    </w:lvl>
  </w:abstractNum>
  <w:abstractNum w:abstractNumId="199">
    <w:nsid w:val="6A37288A"/>
    <w:multiLevelType w:val="hybridMultilevel"/>
    <w:lvl w:ilvl="0">
      <w:lvlJc w:val="left"/>
      <w:lvlText w:val="(%1)"/>
      <w:numFmt w:val="lowerLetter"/>
      <w:start w:val="6"/>
    </w:lvl>
    <w:lvl w:ilvl="1">
      <w:lvlJc w:val="left"/>
      <w:lvlText w:val="(%2)"/>
      <w:numFmt w:val="lowerLetter"/>
      <w:start w:val="1"/>
    </w:lvl>
  </w:abstractNum>
  <w:abstractNum w:abstractNumId="200">
    <w:nsid w:val="8F8B73F"/>
    <w:multiLevelType w:val="hybridMultilevel"/>
    <w:lvl w:ilvl="0">
      <w:lvlJc w:val="left"/>
      <w:lvlText w:val="(%1)"/>
      <w:numFmt w:val="lowerLetter"/>
      <w:start w:val="7"/>
    </w:lvl>
  </w:abstractNum>
  <w:abstractNum w:abstractNumId="201">
    <w:nsid w:val="CA6B462"/>
    <w:multiLevelType w:val="hybridMultilevel"/>
    <w:lvl w:ilvl="0">
      <w:lvlJc w:val="left"/>
      <w:lvlText w:val="(%1)"/>
      <w:numFmt w:val="lowerRoman"/>
      <w:start w:val="1"/>
    </w:lvl>
  </w:abstractNum>
  <w:abstractNum w:abstractNumId="202">
    <w:nsid w:val="763CB680"/>
    <w:multiLevelType w:val="hybridMultilevel"/>
    <w:lvl w:ilvl="0">
      <w:lvlJc w:val="left"/>
      <w:lvlText w:val="(%1)"/>
      <w:numFmt w:val="lowerRoman"/>
      <w:start w:val="1"/>
    </w:lvl>
  </w:abstractNum>
  <w:abstractNum w:abstractNumId="203">
    <w:nsid w:val="15B71329"/>
    <w:multiLevelType w:val="hybridMultilevel"/>
    <w:lvl w:ilvl="0">
      <w:lvlJc w:val="left"/>
      <w:lvlText w:val="%1"/>
      <w:numFmt w:val="lowerLetter"/>
      <w:start w:val="1"/>
    </w:lvl>
    <w:lvl w:ilvl="1">
      <w:lvlJc w:val="left"/>
      <w:lvlText w:val="(%2)"/>
      <w:numFmt w:val="lowerRoman"/>
      <w:start w:val="2"/>
    </w:lvl>
  </w:abstractNum>
  <w:abstractNum w:abstractNumId="204">
    <w:nsid w:val="3DA97044"/>
    <w:multiLevelType w:val="hybridMultilevel"/>
    <w:lvl w:ilvl="0">
      <w:lvlJc w:val="left"/>
      <w:lvlText w:val="(%1)"/>
      <w:numFmt w:val="lowerLetter"/>
      <w:start w:val="10"/>
    </w:lvl>
    <w:lvl w:ilvl="1">
      <w:lvlJc w:val="left"/>
      <w:lvlText w:val="%2"/>
      <w:numFmt w:val="lowerRoman"/>
      <w:start w:val="1"/>
    </w:lvl>
  </w:abstractNum>
  <w:abstractNum w:abstractNumId="205">
    <w:nsid w:val="1CDCE2DE"/>
    <w:multiLevelType w:val="hybridMultilevel"/>
    <w:lvl w:ilvl="0">
      <w:lvlJc w:val="left"/>
      <w:lvlText w:val="(%1)"/>
      <w:numFmt w:val="lowerLetter"/>
      <w:start w:val="11"/>
    </w:lvl>
  </w:abstractNum>
  <w:abstractNum w:abstractNumId="206">
    <w:nsid w:val="69D3947C"/>
    <w:multiLevelType w:val="hybridMultilevel"/>
    <w:lvl w:ilvl="0">
      <w:lvlJc w:val="left"/>
      <w:lvlText w:val="(%1)"/>
      <w:numFmt w:val="lowerLetter"/>
      <w:start w:val="12"/>
    </w:lvl>
  </w:abstractNum>
  <w:abstractNum w:abstractNumId="207">
    <w:nsid w:val="2539DFA5"/>
    <w:multiLevelType w:val="hybridMultilevel"/>
    <w:lvl w:ilvl="0">
      <w:lvlJc w:val="left"/>
      <w:lvlText w:val="(%1)"/>
      <w:numFmt w:val="lowerLetter"/>
      <w:start w:val="13"/>
    </w:lvl>
  </w:abstractNum>
  <w:abstractNum w:abstractNumId="208">
    <w:nsid w:val="2DB88089"/>
    <w:multiLevelType w:val="hybridMultilevel"/>
    <w:lvl w:ilvl="0">
      <w:lvlJc w:val="left"/>
      <w:lvlText w:val="(%1)"/>
      <w:numFmt w:val="lowerLetter"/>
      <w:start w:val="14"/>
    </w:lvl>
  </w:abstractNum>
  <w:abstractNum w:abstractNumId="209">
    <w:nsid w:val="706B674E"/>
    <w:multiLevelType w:val="hybridMultilevel"/>
    <w:lvl w:ilvl="0">
      <w:lvlJc w:val="left"/>
      <w:lvlText w:val="(%1)"/>
      <w:numFmt w:val="lowerLetter"/>
      <w:start w:val="15"/>
    </w:lvl>
    <w:lvl w:ilvl="1">
      <w:lvlJc w:val="left"/>
      <w:lvlText w:val="(%2)"/>
      <w:numFmt w:val="lowerRoman"/>
      <w:start w:val="1"/>
    </w:lvl>
  </w:abstractNum>
  <w:abstractNum w:abstractNumId="210">
    <w:nsid w:val="2C106A57"/>
    <w:multiLevelType w:val="hybridMultilevel"/>
    <w:lvl w:ilvl="0">
      <w:lvlJc w:val="left"/>
      <w:lvlText w:val="(%1)"/>
      <w:numFmt w:val="lowerRoman"/>
      <w:start w:val="2"/>
    </w:lvl>
    <w:lvl w:ilvl="1">
      <w:lvlJc w:val="left"/>
      <w:lvlText w:val="(%2)"/>
      <w:numFmt w:val="upperLetter"/>
      <w:start w:val="1"/>
    </w:lvl>
  </w:abstractNum>
  <w:abstractNum w:abstractNumId="211">
    <w:nsid w:val="684EED59"/>
    <w:multiLevelType w:val="hybridMultilevel"/>
    <w:lvl w:ilvl="0">
      <w:lvlJc w:val="left"/>
      <w:lvlText w:val="%1"/>
      <w:numFmt w:val="lowerRoman"/>
      <w:start w:val="1"/>
    </w:lvl>
    <w:lvl w:ilvl="1">
      <w:lvlJc w:val="left"/>
      <w:lvlText w:val="(%2)"/>
      <w:numFmt w:val="upperLetter"/>
      <w:start w:val="1"/>
    </w:lvl>
  </w:abstractNum>
  <w:abstractNum w:abstractNumId="212">
    <w:nsid w:val="545EE5D3"/>
    <w:multiLevelType w:val="hybridMultilevel"/>
    <w:lvl w:ilvl="0">
      <w:lvlJc w:val="left"/>
      <w:lvlText w:val="(%1)"/>
      <w:numFmt w:val="lowerRoman"/>
      <w:start w:val="3"/>
    </w:lvl>
    <w:lvl w:ilvl="1">
      <w:lvlJc w:val="left"/>
      <w:lvlText w:val="%2"/>
      <w:numFmt w:val="upperLetter"/>
      <w:start w:val="1"/>
    </w:lvl>
  </w:abstractNum>
  <w:abstractNum w:abstractNumId="213">
    <w:nsid w:val="4A66051"/>
    <w:multiLevelType w:val="hybridMultilevel"/>
    <w:lvl w:ilvl="0">
      <w:lvlJc w:val="left"/>
      <w:lvlText w:val="(%1)"/>
      <w:numFmt w:val="lowerLetter"/>
      <w:start w:val="16"/>
    </w:lvl>
  </w:abstractNum>
  <w:abstractNum w:abstractNumId="214">
    <w:nsid w:val="20F4BDAD"/>
    <w:multiLevelType w:val="hybridMultilevel"/>
    <w:lvl w:ilvl="0">
      <w:lvlJc w:val="left"/>
      <w:lvlText w:val="(%1)"/>
      <w:numFmt w:val="lowerLetter"/>
      <w:start w:val="17"/>
    </w:lvl>
  </w:abstractNum>
  <w:abstractNum w:abstractNumId="215">
    <w:nsid w:val="639DEFA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2026-06-12T05:15:54Z</dcterms:created>
  <dcterms:modified xsi:type="dcterms:W3CDTF">2026-06-12T05:15:54Z</dcterms:modified>
</cp:coreProperties>
</file>